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196" w:rsidP="00F40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UEPOPS424 Coordinate local H.V. networks</w:t>
      </w:r>
      <w:r>
        <w:fldChar w:fldCharType="end"/>
      </w:r>
    </w:p>
    <w:p w:rsidR="00F40196" w:rsidP="00F40196">
      <w:pPr>
        <w:pStyle w:val="Version"/>
        <w:sectPr w:rsidSect="000D6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B15" w:rsidP="000D6B15">
      <w:pPr>
        <w:pStyle w:val="SuperHeading"/>
      </w:pPr>
      <w:r w:rsidRPr="000D6B15">
        <w:t>UEPOPS424 Coordinate local H.V. networks</w:t>
      </w:r>
    </w:p>
    <w:p w:rsidR="00000000" w:rsidRPr="000D6B15" w:rsidP="000D6B15">
      <w:pPr>
        <w:pStyle w:val="Heading1"/>
      </w:pPr>
      <w:bookmarkStart w:id="1" w:name="O_984046"/>
      <w:bookmarkEnd w:id="1"/>
      <w:r w:rsidRPr="000D6B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Release 1.</w:t>
            </w:r>
            <w:r w:rsidRPr="000D6B15">
              <w:t xml:space="preserve"> This is the first release of this unit of competency in the UEP Generation Training Package.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2" w:name="O_984047"/>
      <w:bookmarkEnd w:id="2"/>
      <w:r w:rsidRPr="000D6B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This unit involves the skills and knowledge required to coordinate the control and management of Hig</w:t>
            </w:r>
            <w:r w:rsidRPr="000D6B15">
              <w:t>h Voltage (H.V.) substations and/or local networks.</w:t>
            </w:r>
          </w:p>
          <w:p w:rsidR="00000000" w:rsidRPr="000D6B15" w:rsidP="000D6B15">
            <w:pPr>
              <w:pStyle w:val="BodyText"/>
            </w:pPr>
            <w:r w:rsidRPr="000D6B15">
              <w:t>H.V. substations are a node point in power generation infrastructure. They transform voltage from high to low, or the reverse, and enable the reliable transmission of large amounts of power.</w:t>
            </w:r>
          </w:p>
          <w:p w:rsidR="00000000" w:rsidRPr="000D6B15" w:rsidP="000D6B15">
            <w:pPr>
              <w:pStyle w:val="BodyText"/>
            </w:pPr>
            <w:r w:rsidRPr="000D6B15">
              <w:t>Competency in</w:t>
            </w:r>
            <w:r w:rsidRPr="000D6B15">
              <w:t xml:space="preserve"> this unit requires the ability to plan and prepare work; operate, monitor and control H.V. substation and local network; analyse and respond to H.V. substation or local network faults or incidents; review incident response and preventative procedures and </w:t>
            </w:r>
            <w:r w:rsidRPr="000D6B15">
              <w:t xml:space="preserve">complete all documentation. Individuals will, in general, work as an operator with responsibility for H.V. network coordination, in a power generation facility. </w:t>
            </w:r>
          </w:p>
          <w:p w:rsidR="00000000" w:rsidRPr="000D6B15" w:rsidP="000D6B15">
            <w:pPr>
              <w:pStyle w:val="BodyText"/>
            </w:pPr>
            <w:r w:rsidRPr="000D6B15">
              <w:t>Power generation plant operators are typically trained and authorised to isolate, prepare plan</w:t>
            </w:r>
            <w:r w:rsidRPr="000D6B15">
              <w:t>t and issue permits to work.</w:t>
            </w:r>
          </w:p>
          <w:p w:rsidR="00000000" w:rsidRPr="000D6B15" w:rsidP="000D6B15">
            <w:pPr>
              <w:pStyle w:val="BodyText"/>
            </w:pPr>
            <w:r w:rsidRPr="000D6B15">
              <w:t>No licensing, legislative or certification requirements apply to this unit at the time of publication.</w:t>
            </w:r>
          </w:p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Note: Workplace practice</w:t>
            </w:r>
          </w:p>
          <w:p w:rsidR="00000000" w:rsidRPr="000D6B15" w:rsidP="000D6B15">
            <w:pPr>
              <w:pStyle w:val="BodyText"/>
            </w:pPr>
            <w:r w:rsidRPr="000D6B15">
              <w:t>The application of the skills and knowledge described in this unit may require a licence or trainin</w:t>
            </w:r>
            <w:r w:rsidRPr="000D6B15">
              <w:t>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3" w:name="O_984048"/>
      <w:bookmarkEnd w:id="3"/>
      <w:r w:rsidRPr="000D6B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There ar</w:t>
            </w:r>
            <w:r w:rsidRPr="000D6B15">
              <w:t>e no prerequisite units.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4" w:name="O_984049"/>
      <w:bookmarkEnd w:id="4"/>
      <w:r w:rsidRPr="000D6B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Operations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5" w:name="O_984050"/>
      <w:bookmarkEnd w:id="5"/>
      <w:r w:rsidRPr="000D6B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Electricity generation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6" w:name="O_984051"/>
      <w:bookmarkEnd w:id="6"/>
      <w:r w:rsidRPr="000D6B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PERFORMANCE CRITERIA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Performance criteria describe the performance needed to demonstrate achievement of the element.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Documentation to determine High Voltage (H.V.) substation and/or local network status is assessed and evaluated, in accordance wi</w:t>
            </w:r>
            <w:r w:rsidRPr="000D6B15">
              <w:t>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H.V. substation or local network equipment operational prerequisites are established, in accordance with manufacturers</w:t>
            </w:r>
            <w:r>
              <w:t>’</w:t>
            </w:r>
            <w:r w:rsidRPr="000D6B15">
              <w:t xml:space="preserve"> requirements and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Sequence for operating local network section and equipm</w:t>
            </w:r>
            <w:r w:rsidRPr="000D6B15">
              <w:t>ent is determined, in accordance with workplace procedures and site requirements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Information to forecast and plan response for efficient operation of H.V substation or local network is utilised,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Regular</w:t>
            </w:r>
            <w:r w:rsidRPr="000D6B15">
              <w:t xml:space="preserve"> consultation with key stakeholders is maintained, in accordance with workplace procedures 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Implications of operator</w:t>
            </w:r>
            <w:r>
              <w:t>’</w:t>
            </w:r>
            <w:r w:rsidRPr="000D6B15">
              <w:t>s actions to H.V substation or local network are identified and assessed,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Operate, monito</w:t>
            </w:r>
            <w:r w:rsidRPr="000D6B15">
              <w:rPr>
                <w:rStyle w:val="SpecialBold"/>
              </w:rPr>
              <w:t>r and control H.V. substation and</w:t>
            </w:r>
            <w:r w:rsidRPr="000D6B15">
              <w:t xml:space="preserve"> </w:t>
            </w:r>
            <w:r w:rsidRPr="000D6B15">
              <w:rPr>
                <w:rStyle w:val="SpecialBold"/>
              </w:rPr>
              <w:t>local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Local network is operated and coordinated,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Local network voltage and current requirements are assessed and evaluated, in accordance with workplace procedures, to maintain stability and system integrity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Voltage and/or load profiles are identified and adhered to, in accordance with workplace p</w:t>
            </w:r>
            <w:r w:rsidRPr="000D6B15">
              <w:t>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Corrective actions to rectify H.V. substation or local network abnormalities are implemented following analysis of data, in accordance with manufacturers</w:t>
            </w:r>
            <w:r>
              <w:t>’</w:t>
            </w:r>
            <w:r w:rsidRPr="000D6B15">
              <w:t xml:space="preserve"> requirements and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Resources are identified and coordinated to meet H.V. substation or local network system requirements,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Analyse and respond to H.V. substation and</w:t>
            </w:r>
            <w:r w:rsidRPr="000D6B15">
              <w:t xml:space="preserve"> </w:t>
            </w:r>
            <w:r w:rsidRPr="000D6B15">
              <w:rPr>
                <w:rStyle w:val="SpecialBold"/>
              </w:rPr>
              <w:t>local network faults or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Cause of H.V. substation or local network fault conditions are identified, in accordance with workplace procedures, by analysing technical and operational information in consultation with system control personnel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 xml:space="preserve">Operation of protection systems for </w:t>
            </w:r>
            <w:r w:rsidRPr="000D6B15">
              <w:t>H.V. substation or local network is identified and assessed, in accordance with workplace procedures, to evaluate nature and cause of fault conditions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Communication is established with key stakeholders, in accordance with workplace procedures, to id</w:t>
            </w:r>
            <w:r w:rsidRPr="000D6B15">
              <w:t xml:space="preserve">entify nature or source of H.V. substation or local network system interference 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Corrective action is taken,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Local system integrity and personnel safety are maintained, in accordance with workplace procedures, through consultation with appropriate personnel and operational documentation and contingency plans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Review incident response and preventative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Incident or fault responses are assessed and reviewed,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Alternative responses or contingency plan strategies are identified and assessed,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Alternative response</w:t>
            </w:r>
            <w:r w:rsidRPr="000D6B15">
              <w:t>s or contingency plan strategies are documented and approved,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>H.V. substation or local network problems, movements and status are reported, in accordance with workplace procedures</w:t>
            </w:r>
          </w:p>
        </w:tc>
      </w:tr>
      <w:tr w:rsidTr="000D6B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Documentation is updated, in accordance with workplace procedures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7" w:name="O_984052"/>
      <w:bookmarkEnd w:id="7"/>
      <w:r w:rsidRPr="000D6B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Foundation skills essential to performance are explicit in the performance criteria of this unit of competency.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8" w:name="O_984053"/>
      <w:bookmarkEnd w:id="8"/>
      <w:r w:rsidRPr="000D6B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R</w:t>
            </w:r>
            <w:r w:rsidRPr="000D6B15">
              <w:t>ange is restricted to essential operating conditions and any other variables essential to the work environment.</w:t>
            </w:r>
          </w:p>
          <w:p w:rsidR="00000000" w:rsidRPr="000D6B15" w:rsidP="000D6B15">
            <w:pPr>
              <w:pStyle w:val="BodyText"/>
            </w:pPr>
            <w:r w:rsidRPr="000D6B15">
              <w:t>Non-essential conditions may be found in the Companion Volume Implementation Guide.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9" w:name="O_984054"/>
      <w:bookmarkEnd w:id="9"/>
      <w:r w:rsidRPr="000D6B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Thi</w:t>
            </w:r>
            <w:r w:rsidRPr="000D6B15">
              <w:t>s unit replaces and is equivalent to UEPOPS424B Coordinate local H.V. networks.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10" w:name="O_984061"/>
      <w:bookmarkEnd w:id="10"/>
      <w:r w:rsidRPr="000D6B15">
        <w:t>Links</w:t>
      </w:r>
    </w:p>
    <w:p w:rsidR="00000000" w:rsidRPr="000D6B15" w:rsidP="00F40196">
      <w:pPr>
        <w:pStyle w:val="BodyText"/>
      </w:pPr>
      <w:r w:rsidRPr="000D6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1073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D6B15" w:rsidP="00F40196">
      <w:pPr>
        <w:pStyle w:val="BodyText"/>
        <w:sectPr w:rsidSect="000D6B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B15" w:rsidP="000D6B15">
      <w:pPr>
        <w:pStyle w:val="SuperHeading"/>
      </w:pPr>
      <w:r w:rsidRPr="000D6B15">
        <w:t>Assessment Requirements for UEPOPS424 Coordinate local H.V. networks</w:t>
      </w:r>
    </w:p>
    <w:p w:rsidR="00000000" w:rsidRPr="000D6B15" w:rsidP="000D6B15">
      <w:pPr>
        <w:pStyle w:val="Heading1"/>
      </w:pPr>
      <w:bookmarkStart w:id="11" w:name="O_984056"/>
      <w:bookmarkEnd w:id="11"/>
      <w:r w:rsidRPr="000D6B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>Release 1. This is the first release of this unit of competency in the UEP Generation Training Package.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12" w:name="O_984057"/>
      <w:bookmarkEnd w:id="12"/>
      <w:r w:rsidRPr="000D6B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 xml:space="preserve">Evidence required to demonstrate competence in this unit must be relevant to and satisfy all the requirements of the elements, performance criteria and range </w:t>
            </w:r>
            <w:r w:rsidRPr="000D6B15">
              <w:t xml:space="preserve">of conditions on at least two separate occasions and includes: </w:t>
            </w:r>
          </w:p>
        </w:tc>
      </w:tr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ListBullet"/>
            </w:pPr>
            <w:r w:rsidRPr="000D6B15">
              <w:t>analysing and responding to H.V. substation and/or local network faults or incidents</w:t>
            </w:r>
          </w:p>
          <w:p w:rsidR="00000000" w:rsidRPr="000D6B15" w:rsidP="000D6B15">
            <w:pPr>
              <w:pStyle w:val="ListBullet"/>
            </w:pPr>
            <w:r w:rsidRPr="000D6B15">
              <w:t>applying Work, Health and Safety (WHS)/Occupational Health and Safety (OHS) requirements including:</w:t>
            </w:r>
          </w:p>
          <w:p w:rsidR="00000000" w:rsidRPr="000D6B15" w:rsidP="000D6B15">
            <w:pPr>
              <w:pStyle w:val="ListBullet2"/>
            </w:pPr>
            <w:r w:rsidRPr="000D6B15">
              <w:t>emer</w:t>
            </w:r>
            <w:r w:rsidRPr="000D6B15">
              <w:t>gency procedures</w:t>
            </w:r>
          </w:p>
          <w:p w:rsidR="00000000" w:rsidRPr="000D6B15" w:rsidP="000D6B15">
            <w:pPr>
              <w:pStyle w:val="ListBullet2"/>
            </w:pPr>
            <w:r w:rsidRPr="000D6B15">
              <w:t>risk control measures</w:t>
            </w:r>
          </w:p>
          <w:p w:rsidR="00000000" w:rsidRPr="000D6B15" w:rsidP="000D6B15">
            <w:pPr>
              <w:pStyle w:val="ListBullet2"/>
            </w:pPr>
            <w:r w:rsidRPr="000D6B15">
              <w:t>safe working practices</w:t>
            </w:r>
          </w:p>
          <w:p w:rsidR="00000000" w:rsidRPr="000D6B15" w:rsidP="000D6B15">
            <w:pPr>
              <w:pStyle w:val="ListBullet"/>
            </w:pPr>
            <w:r w:rsidRPr="000D6B15">
              <w:t>communicating with key stakeholders</w:t>
            </w:r>
          </w:p>
          <w:p w:rsidR="00000000" w:rsidRPr="000D6B15" w:rsidP="000D6B15">
            <w:pPr>
              <w:pStyle w:val="ListBullet"/>
            </w:pPr>
            <w:r w:rsidRPr="000D6B15">
              <w:t xml:space="preserve">communicating with personnel and external agencies  </w:t>
            </w:r>
          </w:p>
          <w:p w:rsidR="00000000" w:rsidRPr="000D6B15" w:rsidP="000D6B15">
            <w:pPr>
              <w:pStyle w:val="ListBullet"/>
            </w:pPr>
            <w:r w:rsidRPr="000D6B15">
              <w:t>completing documentation using recording procedures</w:t>
            </w:r>
          </w:p>
          <w:p w:rsidR="00000000" w:rsidRPr="000D6B15" w:rsidP="000D6B15">
            <w:pPr>
              <w:pStyle w:val="ListBullet"/>
            </w:pPr>
            <w:r w:rsidRPr="000D6B15">
              <w:t>identifying power generation plant status</w:t>
            </w:r>
          </w:p>
          <w:p w:rsidR="00000000" w:rsidRPr="000D6B15" w:rsidP="000D6B15">
            <w:pPr>
              <w:pStyle w:val="ListBullet"/>
            </w:pPr>
            <w:r w:rsidRPr="000D6B15">
              <w:t>implementing legislation, industry standards, codes of practice and regulations</w:t>
            </w:r>
          </w:p>
          <w:p w:rsidR="00000000" w:rsidRPr="000D6B15" w:rsidP="000D6B15">
            <w:pPr>
              <w:pStyle w:val="ListBullet"/>
            </w:pPr>
            <w:r w:rsidRPr="000D6B15">
              <w:t>interpreting manufacturers</w:t>
            </w:r>
            <w:r>
              <w:t>’</w:t>
            </w:r>
            <w:r w:rsidRPr="000D6B15">
              <w:t xml:space="preserve"> specifications and manuals</w:t>
            </w:r>
          </w:p>
          <w:p w:rsidR="00000000" w:rsidRPr="000D6B15" w:rsidP="000D6B15">
            <w:pPr>
              <w:pStyle w:val="ListBullet"/>
            </w:pPr>
            <w:r w:rsidRPr="000D6B15">
              <w:t>operating, monitoring and controlling local High Voltage (H.V.) substation and/or local network</w:t>
            </w:r>
          </w:p>
          <w:p w:rsidR="00000000" w:rsidRPr="000D6B15" w:rsidP="000D6B15">
            <w:pPr>
              <w:pStyle w:val="ListBullet"/>
            </w:pPr>
            <w:r w:rsidRPr="000D6B15">
              <w:t>preparing for H.V. networ</w:t>
            </w:r>
            <w:r w:rsidRPr="000D6B15">
              <w:t>k system operations</w:t>
            </w:r>
          </w:p>
          <w:p w:rsidR="00000000" w:rsidRPr="000D6B15" w:rsidP="000D6B15">
            <w:pPr>
              <w:pStyle w:val="ListBullet"/>
            </w:pPr>
            <w:r w:rsidRPr="000D6B15">
              <w:t>recognising and responding to abnormal H.V. substations and local network operating conditions using data analysis techniques and tools</w:t>
            </w:r>
          </w:p>
          <w:p w:rsidR="00000000" w:rsidRPr="000D6B15" w:rsidP="000D6B15">
            <w:pPr>
              <w:pStyle w:val="ListBullet"/>
            </w:pPr>
            <w:r w:rsidRPr="000D6B15">
              <w:t>reviewing incident response and preventative procedures</w:t>
            </w:r>
          </w:p>
          <w:p w:rsidR="00000000" w:rsidRPr="000D6B15" w:rsidP="000D6B15">
            <w:pPr>
              <w:pStyle w:val="ListBullet"/>
            </w:pPr>
            <w:r w:rsidRPr="000D6B15">
              <w:t>using contingency plans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13" w:name="O_984058"/>
      <w:bookmarkEnd w:id="13"/>
      <w:r w:rsidRPr="000D6B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15">
            <w:pPr>
              <w:pStyle w:val="BodyText"/>
              <w:rPr>
                <w:lang w:val="en-NZ"/>
              </w:rPr>
            </w:pPr>
            <w:r w:rsidRPr="000D6B15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ListBullet"/>
            </w:pPr>
            <w:r w:rsidRPr="000D6B15">
              <w:t>abnormal operating conditions in H.</w:t>
            </w:r>
            <w:r w:rsidRPr="000D6B15">
              <w:t>V substations and local networks</w:t>
            </w:r>
          </w:p>
          <w:p w:rsidR="00000000" w:rsidRPr="000D6B15" w:rsidP="000D6B15">
            <w:pPr>
              <w:pStyle w:val="ListBullet"/>
            </w:pPr>
            <w:r w:rsidRPr="000D6B15">
              <w:t>contingency plans</w:t>
            </w:r>
          </w:p>
          <w:p w:rsidR="00000000" w:rsidRPr="000D6B15" w:rsidP="000D6B15">
            <w:pPr>
              <w:pStyle w:val="ListBullet"/>
            </w:pPr>
            <w:r w:rsidRPr="000D6B15">
              <w:t>coordination of H.V substations and local networks</w:t>
            </w:r>
          </w:p>
          <w:p w:rsidR="00000000" w:rsidRPr="000D6B15" w:rsidP="000D6B15">
            <w:pPr>
              <w:pStyle w:val="ListBullet"/>
            </w:pPr>
            <w:r w:rsidRPr="000D6B15">
              <w:t>H.V substations and local network types and characteristics</w:t>
            </w:r>
          </w:p>
          <w:p w:rsidR="00000000" w:rsidRPr="000D6B15" w:rsidP="000D6B15">
            <w:pPr>
              <w:pStyle w:val="ListBullet"/>
            </w:pPr>
            <w:r w:rsidRPr="000D6B15">
              <w:t>legislation, industry standards, codes of practice and regulations</w:t>
            </w:r>
          </w:p>
          <w:p w:rsidR="00000000" w:rsidRPr="000D6B15" w:rsidP="000D6B15">
            <w:pPr>
              <w:pStyle w:val="ListBullet"/>
            </w:pPr>
            <w:r w:rsidRPr="000D6B15">
              <w:t>manufacturers</w:t>
            </w:r>
            <w:r>
              <w:t>’</w:t>
            </w:r>
            <w:r w:rsidRPr="000D6B15">
              <w:t xml:space="preserve"> specificatio</w:t>
            </w:r>
            <w:r w:rsidRPr="000D6B15">
              <w:t>ns and manuals</w:t>
            </w:r>
          </w:p>
          <w:p w:rsidR="00000000" w:rsidRPr="000D6B15" w:rsidP="000D6B15">
            <w:pPr>
              <w:pStyle w:val="ListBullet"/>
            </w:pPr>
            <w:r w:rsidRPr="000D6B15">
              <w:t>power generating plant and equipment, its location and operating parameters</w:t>
            </w:r>
          </w:p>
          <w:p w:rsidR="00000000" w:rsidRPr="000D6B15" w:rsidP="000D6B15">
            <w:pPr>
              <w:pStyle w:val="ListBullet"/>
            </w:pPr>
            <w:r w:rsidRPr="000D6B15">
              <w:t>power generating plant status</w:t>
            </w:r>
          </w:p>
          <w:p w:rsidR="00000000" w:rsidRPr="000D6B15" w:rsidP="000D6B15">
            <w:pPr>
              <w:pStyle w:val="ListBullet"/>
            </w:pPr>
            <w:r w:rsidRPr="000D6B15">
              <w:t>typical arrangements of power production plant</w:t>
            </w:r>
          </w:p>
          <w:p w:rsidR="00000000" w:rsidRPr="000D6B15" w:rsidP="000D6B15">
            <w:pPr>
              <w:pStyle w:val="ListBullet"/>
            </w:pPr>
            <w:r w:rsidRPr="000D6B15">
              <w:t>WHS/OHS legislated requirements including:</w:t>
            </w:r>
          </w:p>
          <w:p w:rsidR="00000000" w:rsidRPr="000D6B15" w:rsidP="000D6B15">
            <w:pPr>
              <w:pStyle w:val="ListBullet2"/>
            </w:pPr>
            <w:r w:rsidRPr="000D6B15">
              <w:t>emergency procedures</w:t>
            </w:r>
          </w:p>
          <w:p w:rsidR="00000000" w:rsidRPr="000D6B15" w:rsidP="000D6B15">
            <w:pPr>
              <w:pStyle w:val="ListBullet2"/>
            </w:pPr>
            <w:r w:rsidRPr="000D6B15">
              <w:t>risk control measures</w:t>
            </w:r>
          </w:p>
          <w:p w:rsidR="00000000" w:rsidRPr="000D6B15" w:rsidP="000D6B15">
            <w:pPr>
              <w:pStyle w:val="ListBullet2"/>
            </w:pPr>
            <w:r w:rsidRPr="000D6B15">
              <w:t>safe working practices</w:t>
            </w:r>
          </w:p>
          <w:p w:rsidR="00000000" w:rsidRPr="000D6B15" w:rsidP="000D6B15">
            <w:pPr>
              <w:pStyle w:val="ListBullet"/>
            </w:pPr>
            <w:r w:rsidRPr="000D6B15">
              <w:t>workplace documentation</w:t>
            </w:r>
          </w:p>
          <w:p w:rsidR="00000000" w:rsidRPr="000D6B15" w:rsidP="000D6B15">
            <w:pPr>
              <w:pStyle w:val="ListBullet"/>
            </w:pPr>
            <w:r w:rsidRPr="000D6B15">
              <w:t>workplace policies and procedures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14" w:name="O_984059"/>
      <w:bookmarkEnd w:id="14"/>
      <w:r w:rsidRPr="000D6B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15" w:rsidP="000D6B15">
            <w:pPr>
              <w:pStyle w:val="BodyText"/>
            </w:pPr>
            <w:r w:rsidRPr="000D6B1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D6B15" w:rsidP="000D6B15">
            <w:pPr>
              <w:pStyle w:val="BodyText"/>
            </w:pPr>
            <w:r w:rsidRPr="000D6B15">
              <w:t>As a minimum, assessment must satisfy applicable regulatory requi</w:t>
            </w:r>
            <w:r w:rsidRPr="000D6B15">
              <w:t>rements, which include requirements in the Standards for Registered Training Organisations current at the time of assessment.</w:t>
            </w:r>
          </w:p>
          <w:p w:rsidR="00000000" w:rsidRPr="000D6B15" w:rsidP="000D6B15">
            <w:pPr>
              <w:pStyle w:val="BodyText"/>
            </w:pPr>
            <w:r w:rsidRPr="000D6B15">
              <w:t>Assessment processes and techniques must be appropriate to the language, literacy and numeracy requirements of the work being perf</w:t>
            </w:r>
            <w:r w:rsidRPr="000D6B15">
              <w:t>ormed and the needs of the candidate.</w:t>
            </w:r>
          </w:p>
          <w:p w:rsidR="00000000" w:rsidRPr="000D6B15" w:rsidP="000D6B15">
            <w:pPr>
              <w:pStyle w:val="BodyText"/>
            </w:pPr>
            <w:r w:rsidRPr="000D6B1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D6B15" w:rsidP="000D6B15">
            <w:pPr>
              <w:pStyle w:val="BodyText"/>
            </w:pPr>
            <w:r w:rsidRPr="000D6B15">
              <w:t xml:space="preserve">Resources for assessment </w:t>
            </w:r>
            <w:r w:rsidRPr="000D6B15">
              <w:t>must include access to:</w:t>
            </w:r>
          </w:p>
          <w:p w:rsidR="00000000" w:rsidRPr="000D6B15" w:rsidP="000D6B15">
            <w:pPr>
              <w:pStyle w:val="ListBullet"/>
            </w:pPr>
            <w:r w:rsidRPr="000D6B15">
              <w:t>a range of relevant exercises, case studies and/or other simulations</w:t>
            </w:r>
          </w:p>
          <w:p w:rsidR="00000000" w:rsidRPr="000D6B15" w:rsidP="000D6B15">
            <w:pPr>
              <w:pStyle w:val="ListBullet"/>
            </w:pPr>
            <w:r w:rsidRPr="000D6B15">
              <w:t xml:space="preserve">relevant and appropriate materials, tools, equipment and personal protective equipment currently used in industry </w:t>
            </w:r>
          </w:p>
          <w:p w:rsidR="00000000" w:rsidRPr="000D6B15" w:rsidP="000D6B15">
            <w:pPr>
              <w:pStyle w:val="ListBullet"/>
            </w:pPr>
            <w:r w:rsidRPr="000D6B15">
              <w:t>applicable documentation including workplace pr</w:t>
            </w:r>
            <w:r w:rsidRPr="000D6B15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0D6B15" w:rsidP="000D6B15">
      <w:pPr>
        <w:pStyle w:val="NoPaddingFontSize1"/>
      </w:pPr>
    </w:p>
    <w:p w:rsidR="00000000" w:rsidRPr="000D6B15" w:rsidP="000D6B15">
      <w:pPr>
        <w:pStyle w:val="AllowPageBreak"/>
      </w:pPr>
    </w:p>
    <w:p w:rsidR="00000000" w:rsidRPr="000D6B15" w:rsidP="000D6B15">
      <w:pPr>
        <w:pStyle w:val="Heading1"/>
      </w:pPr>
      <w:bookmarkStart w:id="15" w:name="O_984062"/>
      <w:bookmarkEnd w:id="15"/>
      <w:r w:rsidRPr="000D6B15">
        <w:t>Links</w:t>
      </w:r>
    </w:p>
    <w:p w:rsidR="00000000" w:rsidRPr="000D6B15" w:rsidP="00F40196">
      <w:pPr>
        <w:pStyle w:val="BodyText"/>
      </w:pPr>
      <w:r w:rsidRPr="000D6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1073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D6B15" w:rsidP="000D6B15"/>
    <w:sectPr w:rsidSect="000D6B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 w:rsidRPr="00F40196" w:rsidP="00F40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96" w:rsidP="000D6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196" w:rsidP="000D6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0196" w:rsidP="000D6B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 w:rsidP="000D6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196">
      <w:t>Approved</w:t>
    </w:r>
    <w:r w:rsidR="00F401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1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196">
      <w:rPr>
        <w:noProof/>
      </w:rPr>
      <w:t>5</w:t>
    </w:r>
    <w:r>
      <w:rPr>
        <w:noProof/>
      </w:rPr>
      <w:fldChar w:fldCharType="end"/>
    </w:r>
  </w:p>
  <w:p w:rsidR="000D6B15" w:rsidP="000D6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1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196">
      <w:t>Powering Skills Organisation</w:t>
    </w:r>
    <w:r w:rsidR="00F40196">
      <w:fldChar w:fldCharType="end"/>
    </w:r>
  </w:p>
  <w:p w:rsidR="000D6B15" w:rsidP="000D6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B15" w:rsidRPr="00F40196" w:rsidP="00F40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96" w:rsidRPr="002D2AF8" w:rsidP="000D6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UEPOPS424 Coordinate local H.V.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0196" w:rsidP="000D6B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15" w:rsidRPr="002D2AF8" w:rsidP="000D6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196">
      <w:t>UEPOPS424 Coordinate local H.V. networks</w:t>
    </w:r>
    <w:r w:rsidR="00F401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196">
      <w:rPr>
        <w:noProof/>
      </w:rPr>
      <w:t>1 March 2025</w:t>
    </w:r>
    <w:r>
      <w:fldChar w:fldCharType="end"/>
    </w:r>
  </w:p>
  <w:p w:rsidR="000D6B15" w:rsidP="000D6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B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88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64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B15"/>
  </w:style>
  <w:style w:type="character" w:customStyle="1" w:styleId="Heading1Char">
    <w:name w:val="Heading 1 Char"/>
    <w:basedOn w:val="DefaultParagraphFont"/>
    <w:link w:val="Heading1"/>
    <w:rsid w:val="000D6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B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B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B15"/>
    <w:rPr>
      <w:b/>
      <w:spacing w:val="0"/>
    </w:rPr>
  </w:style>
  <w:style w:type="paragraph" w:styleId="ListBullet2">
    <w:name w:val="List Bullet 2"/>
    <w:basedOn w:val="List2"/>
    <w:rsid w:val="000D6B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6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6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B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B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B15"/>
    <w:rPr>
      <w:i/>
    </w:rPr>
  </w:style>
  <w:style w:type="paragraph" w:styleId="Caption">
    <w:name w:val="caption"/>
    <w:basedOn w:val="BodyText"/>
    <w:next w:val="Normal"/>
    <w:qFormat/>
    <w:rsid w:val="000D6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B15"/>
  </w:style>
  <w:style w:type="paragraph" w:styleId="TableofFigures">
    <w:name w:val="table of figures"/>
    <w:basedOn w:val="Normal"/>
    <w:next w:val="Normal"/>
    <w:semiHidden/>
    <w:rsid w:val="000D6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B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B15"/>
    <w:rPr>
      <w:rFonts w:ascii="Wingdings" w:hAnsi="Wingdings"/>
    </w:rPr>
  </w:style>
  <w:style w:type="paragraph" w:customStyle="1" w:styleId="TableHeading">
    <w:name w:val="Table Heading"/>
    <w:basedOn w:val="HeadingBase"/>
    <w:rsid w:val="000D6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B15"/>
    <w:rPr>
      <w:color w:val="0033CC"/>
      <w:u w:val="none"/>
    </w:rPr>
  </w:style>
  <w:style w:type="paragraph" w:customStyle="1" w:styleId="BodyTextRight">
    <w:name w:val="Body Text Right"/>
    <w:basedOn w:val="BodyText"/>
    <w:rsid w:val="000D6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B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B15"/>
    <w:rPr>
      <w:sz w:val="32"/>
    </w:rPr>
  </w:style>
  <w:style w:type="paragraph" w:customStyle="1" w:styleId="HeadingProcedure">
    <w:name w:val="Heading Procedure"/>
    <w:basedOn w:val="HeadingBase"/>
    <w:next w:val="Normal"/>
    <w:rsid w:val="000D6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B15"/>
    <w:pPr>
      <w:spacing w:before="60" w:after="60"/>
    </w:pPr>
  </w:style>
  <w:style w:type="paragraph" w:styleId="ListContinue">
    <w:name w:val="List Continue"/>
    <w:basedOn w:val="List"/>
    <w:rsid w:val="000D6B15"/>
    <w:pPr>
      <w:ind w:firstLine="0"/>
    </w:pPr>
  </w:style>
  <w:style w:type="paragraph" w:customStyle="1" w:styleId="ListNote">
    <w:name w:val="List Note"/>
    <w:basedOn w:val="List"/>
    <w:rsid w:val="000D6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B15"/>
    <w:rPr>
      <w:rFonts w:ascii="Courier New" w:hAnsi="Courier New"/>
    </w:rPr>
  </w:style>
  <w:style w:type="paragraph" w:customStyle="1" w:styleId="NoteBullet">
    <w:name w:val="Note Bullet"/>
    <w:basedOn w:val="Note"/>
    <w:rsid w:val="000D6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B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B15"/>
    <w:rPr>
      <w:b/>
      <w:smallCaps/>
    </w:rPr>
  </w:style>
  <w:style w:type="paragraph" w:customStyle="1" w:styleId="TableListNumber">
    <w:name w:val="Table List Number"/>
    <w:basedOn w:val="ListNumber"/>
    <w:rsid w:val="000D6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B15"/>
    <w:pPr>
      <w:numPr>
        <w:numId w:val="9"/>
      </w:numPr>
    </w:pPr>
  </w:style>
  <w:style w:type="paragraph" w:customStyle="1" w:styleId="ListAlpha2">
    <w:name w:val="List Alpha 2"/>
    <w:basedOn w:val="List2"/>
    <w:rsid w:val="000D6B15"/>
    <w:pPr>
      <w:numPr>
        <w:numId w:val="8"/>
      </w:numPr>
    </w:pPr>
  </w:style>
  <w:style w:type="paragraph" w:styleId="List2">
    <w:name w:val="List 2"/>
    <w:basedOn w:val="BodyText"/>
    <w:rsid w:val="000D6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B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B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B15"/>
    <w:pPr>
      <w:numPr>
        <w:numId w:val="4"/>
      </w:numPr>
    </w:pPr>
  </w:style>
  <w:style w:type="paragraph" w:styleId="ListContinue2">
    <w:name w:val="List Continue 2"/>
    <w:basedOn w:val="List2"/>
    <w:rsid w:val="000D6B15"/>
    <w:pPr>
      <w:ind w:firstLine="0"/>
    </w:pPr>
  </w:style>
  <w:style w:type="paragraph" w:styleId="ListContinue3">
    <w:name w:val="List Continue 3"/>
    <w:basedOn w:val="List3"/>
    <w:rsid w:val="000D6B15"/>
    <w:pPr>
      <w:ind w:left="1021" w:firstLine="0"/>
    </w:pPr>
  </w:style>
  <w:style w:type="paragraph" w:styleId="ListContinue4">
    <w:name w:val="List Continue 4"/>
    <w:basedOn w:val="List4"/>
    <w:rsid w:val="000D6B15"/>
    <w:pPr>
      <w:ind w:firstLine="0"/>
    </w:pPr>
  </w:style>
  <w:style w:type="paragraph" w:styleId="ListContinue5">
    <w:name w:val="List Continue 5"/>
    <w:basedOn w:val="List5"/>
    <w:rsid w:val="000D6B15"/>
    <w:pPr>
      <w:ind w:firstLine="0"/>
    </w:pPr>
  </w:style>
  <w:style w:type="paragraph" w:styleId="ListNumber3">
    <w:name w:val="List Number 3"/>
    <w:basedOn w:val="List3"/>
    <w:rsid w:val="000D6B15"/>
    <w:pPr>
      <w:numPr>
        <w:numId w:val="5"/>
      </w:numPr>
    </w:pPr>
  </w:style>
  <w:style w:type="paragraph" w:styleId="ListNumber4">
    <w:name w:val="List Number 4"/>
    <w:basedOn w:val="List4"/>
    <w:rsid w:val="000D6B15"/>
    <w:pPr>
      <w:numPr>
        <w:numId w:val="6"/>
      </w:numPr>
    </w:pPr>
  </w:style>
  <w:style w:type="paragraph" w:styleId="ListNumber5">
    <w:name w:val="List Number 5"/>
    <w:basedOn w:val="List5"/>
    <w:rsid w:val="000D6B15"/>
    <w:pPr>
      <w:numPr>
        <w:numId w:val="7"/>
      </w:numPr>
    </w:pPr>
  </w:style>
  <w:style w:type="paragraph" w:styleId="BlockText">
    <w:name w:val="Block Text"/>
    <w:basedOn w:val="Normal"/>
    <w:rsid w:val="000D6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B15"/>
    <w:rPr>
      <w:sz w:val="16"/>
      <w:vertAlign w:val="superscript"/>
    </w:rPr>
  </w:style>
  <w:style w:type="character" w:customStyle="1" w:styleId="Symbols">
    <w:name w:val="Symbols"/>
    <w:basedOn w:val="DefaultParagraphFont"/>
    <w:rsid w:val="000D6B15"/>
    <w:rPr>
      <w:rFonts w:ascii="Symbol" w:hAnsi="Symbol"/>
    </w:rPr>
  </w:style>
  <w:style w:type="character" w:customStyle="1" w:styleId="MenuOptions">
    <w:name w:val="Menu Options"/>
    <w:basedOn w:val="DefaultParagraphFont"/>
    <w:rsid w:val="000D6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B15"/>
    <w:rPr>
      <w:b/>
    </w:rPr>
  </w:style>
  <w:style w:type="character" w:customStyle="1" w:styleId="Underlined">
    <w:name w:val="Underlined"/>
    <w:basedOn w:val="DefaultParagraphFont"/>
    <w:rsid w:val="000D6B15"/>
    <w:rPr>
      <w:u w:val="single"/>
    </w:rPr>
  </w:style>
  <w:style w:type="paragraph" w:customStyle="1" w:styleId="TableBodyTextRight">
    <w:name w:val="Table Body Text Right"/>
    <w:basedOn w:val="TableBodyText"/>
    <w:rsid w:val="000D6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B15"/>
    <w:rPr>
      <w:sz w:val="18"/>
    </w:rPr>
  </w:style>
  <w:style w:type="paragraph" w:customStyle="1" w:styleId="BodySmallRight">
    <w:name w:val="Body Small Right"/>
    <w:basedOn w:val="BodyTextRight"/>
    <w:rsid w:val="000D6B15"/>
    <w:rPr>
      <w:sz w:val="18"/>
      <w:szCs w:val="18"/>
    </w:rPr>
  </w:style>
  <w:style w:type="paragraph" w:customStyle="1" w:styleId="MarginEdition">
    <w:name w:val="Margin Edition"/>
    <w:basedOn w:val="MarginNote"/>
    <w:rsid w:val="000D6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B15"/>
    <w:rPr>
      <w:sz w:val="2"/>
      <w:szCs w:val="2"/>
    </w:rPr>
  </w:style>
  <w:style w:type="character" w:customStyle="1" w:styleId="Small">
    <w:name w:val="Small"/>
    <w:basedOn w:val="DefaultParagraphFont"/>
    <w:rsid w:val="000D6B15"/>
    <w:rPr>
      <w:sz w:val="16"/>
    </w:rPr>
  </w:style>
  <w:style w:type="paragraph" w:customStyle="1" w:styleId="WideTable">
    <w:name w:val="Wide Table"/>
    <w:basedOn w:val="Normal"/>
    <w:rsid w:val="000D6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B15"/>
  </w:style>
  <w:style w:type="paragraph" w:styleId="Quote">
    <w:name w:val="Quote"/>
    <w:basedOn w:val="Heading1"/>
    <w:link w:val="QuoteChar"/>
    <w:qFormat/>
    <w:rsid w:val="000D6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B15"/>
    <w:pPr>
      <w:pageBreakBefore/>
    </w:pPr>
  </w:style>
  <w:style w:type="paragraph" w:customStyle="1" w:styleId="Border">
    <w:name w:val="Border"/>
    <w:basedOn w:val="Normal"/>
    <w:qFormat/>
    <w:rsid w:val="000D6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B15"/>
    <w:rPr>
      <w:u w:val="single"/>
    </w:rPr>
  </w:style>
  <w:style w:type="character" w:customStyle="1" w:styleId="BoldandItalics">
    <w:name w:val="Bold and Italics"/>
    <w:qFormat/>
    <w:rsid w:val="000D6B15"/>
    <w:rPr>
      <w:b/>
      <w:i/>
      <w:u w:val="none"/>
    </w:rPr>
  </w:style>
  <w:style w:type="paragraph" w:styleId="BalloonText">
    <w:name w:val="Balloon Text"/>
    <w:basedOn w:val="Normal"/>
    <w:link w:val="BalloonTextChar"/>
    <w:rsid w:val="000D6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B15"/>
    <w:pPr>
      <w:spacing w:before="0" w:after="0"/>
    </w:pPr>
  </w:style>
  <w:style w:type="paragraph" w:customStyle="1" w:styleId="BodyTextBold">
    <w:name w:val="Body Text Bold"/>
    <w:basedOn w:val="BodyText"/>
    <w:qFormat/>
    <w:rsid w:val="000D6B15"/>
    <w:rPr>
      <w:b/>
    </w:rPr>
  </w:style>
  <w:style w:type="character" w:styleId="Hyperlink">
    <w:name w:val="Hyperlink"/>
    <w:basedOn w:val="DefaultParagraphFont"/>
    <w:uiPriority w:val="99"/>
    <w:unhideWhenUsed/>
    <w:rsid w:val="00F40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8328</Characters>
  <Application>Microsoft Office Word</Application>
  <DocSecurity>0</DocSecurity>
  <Lines>297</Lines>
  <Paragraphs>159</Paragraphs>
  <ScaleCrop>false</ScaleCrop>
  <Company>Author-it Software Corporation Ltd.</Company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UEPOPS424 Coordinate local H.V.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