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E5F" w:rsidP="00CE0E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UEPOPS372 Operate and monitor generator/alternator auxiliary plant</w:t>
      </w:r>
      <w:r>
        <w:fldChar w:fldCharType="end"/>
      </w:r>
    </w:p>
    <w:p w:rsidR="00CE0E5F" w:rsidP="00CE0E5F">
      <w:pPr>
        <w:pStyle w:val="Version"/>
        <w:sectPr w:rsidSect="001E7B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B19" w:rsidP="001E7B19">
      <w:pPr>
        <w:pStyle w:val="SuperHeading"/>
      </w:pPr>
      <w:r w:rsidRPr="001E7B19">
        <w:t>UEPOPS372 Operate and monitor generator/alternator auxiliary plant</w:t>
      </w:r>
    </w:p>
    <w:p w:rsidR="00000000" w:rsidRPr="001E7B19" w:rsidP="001E7B19">
      <w:pPr>
        <w:pStyle w:val="Heading1"/>
      </w:pPr>
      <w:bookmarkStart w:id="1" w:name="O_983666"/>
      <w:bookmarkEnd w:id="1"/>
      <w:r w:rsidRPr="001E7B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7B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rPr>
                <w:rStyle w:val="SpecialBold"/>
              </w:rPr>
              <w:t>Release 1</w:t>
            </w:r>
            <w:r w:rsidRPr="001E7B19">
              <w:t>. This is the first release of this unit of competency in the UEP Generation Training Package.</w:t>
            </w:r>
          </w:p>
        </w:tc>
      </w:tr>
    </w:tbl>
    <w:p w:rsidR="00000000" w:rsidRPr="001E7B19" w:rsidP="001E7B19">
      <w:pPr>
        <w:pStyle w:val="NoPaddingFontSize1"/>
      </w:pPr>
    </w:p>
    <w:p w:rsidR="00000000" w:rsidRPr="001E7B19" w:rsidP="001E7B19">
      <w:pPr>
        <w:pStyle w:val="AllowPageBreak"/>
      </w:pPr>
    </w:p>
    <w:p w:rsidR="00000000" w:rsidRPr="001E7B19" w:rsidP="001E7B19">
      <w:pPr>
        <w:pStyle w:val="Heading1"/>
      </w:pPr>
      <w:bookmarkStart w:id="2" w:name="O_983667"/>
      <w:bookmarkEnd w:id="2"/>
      <w:r w:rsidRPr="001E7B1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7B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t>This unit involves the skills and knowledge required to operate, inspect and monitor generator and/or alternator auxiliary plant, including stator water systems, hydrogen cooling systems, seal oil and lubricating oil systems.</w:t>
            </w:r>
          </w:p>
          <w:p w:rsidR="00000000" w:rsidRPr="001E7B19" w:rsidP="001E7B19">
            <w:pPr>
              <w:pStyle w:val="BodyText"/>
            </w:pPr>
            <w:r w:rsidRPr="001E7B19">
              <w:t>A power generation facility</w:t>
            </w:r>
            <w:r>
              <w:t>’</w:t>
            </w:r>
            <w:r w:rsidRPr="001E7B19">
              <w:t xml:space="preserve">s </w:t>
            </w:r>
            <w:r w:rsidRPr="001E7B19">
              <w:t>auxiliary equipment and systems are designed to keep power generating plant operating smoothly in a variety of circumstances.</w:t>
            </w:r>
          </w:p>
          <w:p w:rsidR="00000000" w:rsidRPr="001E7B19" w:rsidP="001E7B19">
            <w:pPr>
              <w:pStyle w:val="BodyText"/>
            </w:pPr>
            <w:r w:rsidRPr="001E7B19">
              <w:t>Competency in this unit requires the ability to plan work, operate generator and/or alternator auxiliary plant, test generator and</w:t>
            </w:r>
            <w:r w:rsidRPr="001E7B19">
              <w:t xml:space="preserve">/or alternator auxiliary plant, analyse generator and/or alternator auxiliary plant faults, monitor and inspect generator and/or alternator auxiliary plant and the completion of all documentation. Individuals will, in general, work under supervision, in a </w:t>
            </w:r>
            <w:r w:rsidRPr="001E7B19">
              <w:t>power generation facility as an operator.</w:t>
            </w:r>
          </w:p>
          <w:p w:rsidR="00000000" w:rsidRPr="001E7B19" w:rsidP="001E7B19">
            <w:pPr>
              <w:pStyle w:val="BodyText"/>
            </w:pPr>
            <w:r w:rsidRPr="001E7B19">
              <w:t>Power generation plant operators are typically trained and authorised to isolate, prepare plant and issue permits to work.</w:t>
            </w:r>
          </w:p>
          <w:p w:rsidR="00000000" w:rsidRPr="001E7B19" w:rsidP="001E7B19">
            <w:pPr>
              <w:pStyle w:val="BodyText"/>
            </w:pPr>
            <w:r w:rsidRPr="001E7B19">
              <w:t>No licensing, legislative or certification requirements apply to this unit at the time of p</w:t>
            </w:r>
            <w:r w:rsidRPr="001E7B19">
              <w:t>ublication.</w:t>
            </w:r>
          </w:p>
          <w:p w:rsidR="00000000" w:rsidRPr="001E7B19" w:rsidP="001E7B19">
            <w:pPr>
              <w:pStyle w:val="BodyText"/>
            </w:pPr>
            <w:r w:rsidRPr="001E7B19">
              <w:rPr>
                <w:rStyle w:val="SpecialBold"/>
              </w:rPr>
              <w:t>Note: Workplace practice</w:t>
            </w:r>
          </w:p>
          <w:p w:rsidR="00000000" w:rsidRPr="001E7B19" w:rsidP="001E7B19">
            <w:pPr>
              <w:pStyle w:val="BodyText"/>
            </w:pPr>
            <w:r w:rsidRPr="001E7B19">
              <w:t>The application of the skills and knowledge described in this unit may require a licence or training permit to practice in the workplace where work is carried out on gas and electrical installations. Additional conditio</w:t>
            </w:r>
            <w:r w:rsidRPr="001E7B19">
              <w:t>ns may apply under state and territory legislative and regulatory licensing requirements.</w:t>
            </w:r>
          </w:p>
        </w:tc>
      </w:tr>
    </w:tbl>
    <w:p w:rsidR="00000000" w:rsidRPr="001E7B19" w:rsidP="001E7B19">
      <w:pPr>
        <w:pStyle w:val="NoPaddingFontSize1"/>
      </w:pPr>
    </w:p>
    <w:p w:rsidR="00000000" w:rsidRPr="001E7B19" w:rsidP="001E7B19">
      <w:pPr>
        <w:pStyle w:val="AllowPageBreak"/>
      </w:pPr>
    </w:p>
    <w:p w:rsidR="00000000" w:rsidRPr="001E7B19" w:rsidP="001E7B19">
      <w:pPr>
        <w:pStyle w:val="Heading1"/>
      </w:pPr>
      <w:bookmarkStart w:id="3" w:name="O_983668"/>
      <w:bookmarkEnd w:id="3"/>
      <w:r w:rsidRPr="001E7B1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7B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t>There are no prerequisite units.</w:t>
            </w:r>
          </w:p>
        </w:tc>
      </w:tr>
    </w:tbl>
    <w:p w:rsidR="00000000" w:rsidRPr="001E7B19" w:rsidP="001E7B19">
      <w:pPr>
        <w:pStyle w:val="NoPaddingFontSize1"/>
      </w:pPr>
    </w:p>
    <w:p w:rsidR="00000000" w:rsidRPr="001E7B19" w:rsidP="001E7B19">
      <w:pPr>
        <w:pStyle w:val="AllowPageBreak"/>
      </w:pPr>
    </w:p>
    <w:p w:rsidR="00000000" w:rsidRPr="001E7B19" w:rsidP="001E7B19">
      <w:pPr>
        <w:pStyle w:val="Heading1"/>
      </w:pPr>
      <w:bookmarkStart w:id="4" w:name="O_983669"/>
      <w:bookmarkEnd w:id="4"/>
      <w:r w:rsidRPr="001E7B1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7B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t>Operations</w:t>
            </w:r>
          </w:p>
        </w:tc>
      </w:tr>
    </w:tbl>
    <w:p w:rsidR="00000000" w:rsidRPr="001E7B19" w:rsidP="001E7B19">
      <w:pPr>
        <w:pStyle w:val="NoPaddingFontSize1"/>
      </w:pPr>
    </w:p>
    <w:p w:rsidR="00000000" w:rsidRPr="001E7B19" w:rsidP="001E7B19">
      <w:pPr>
        <w:pStyle w:val="AllowPageBreak"/>
      </w:pPr>
    </w:p>
    <w:p w:rsidR="00000000" w:rsidRPr="001E7B19" w:rsidP="001E7B19">
      <w:pPr>
        <w:pStyle w:val="Heading1"/>
      </w:pPr>
      <w:bookmarkStart w:id="5" w:name="O_983670"/>
      <w:bookmarkEnd w:id="5"/>
      <w:r w:rsidRPr="001E7B1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7B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t>Electricity generation</w:t>
            </w:r>
          </w:p>
        </w:tc>
      </w:tr>
    </w:tbl>
    <w:p w:rsidR="00000000" w:rsidRPr="001E7B19" w:rsidP="001E7B19">
      <w:pPr>
        <w:pStyle w:val="NoPaddingFontSize1"/>
      </w:pPr>
    </w:p>
    <w:p w:rsidR="00000000" w:rsidRPr="001E7B19" w:rsidP="001E7B19">
      <w:pPr>
        <w:pStyle w:val="AllowPageBreak"/>
      </w:pPr>
    </w:p>
    <w:p w:rsidR="00000000" w:rsidRPr="001E7B19" w:rsidP="001E7B19">
      <w:pPr>
        <w:pStyle w:val="Heading1"/>
      </w:pPr>
      <w:bookmarkStart w:id="6" w:name="O_983671"/>
      <w:bookmarkEnd w:id="6"/>
      <w:r w:rsidRPr="001E7B1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PERFORMANCE CRITERIA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Performance criteria describe the performance needed to demonstrate achievement of the element.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Safety issues related to operating and monitoring generator and/or alternator auxiliary plant are identified, in accordance with workplace procedures and Work, Health and Safety (WHS)/Occupational Health and Safety(OHS) regulation</w:t>
            </w:r>
            <w:r w:rsidRPr="001E7B19">
              <w:t>s and legislative requirements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Work requirements and generator and/or alternator auxiliary plant are identified from appropriate personnel and documentation, in accordance with workplace procedures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Generator and/or alternator auxiliary running up and loading schedule is ascertained from relevant documentation, in accordance with workplace procedures and site requirements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Inspection, preoperational tests and field preparations for generator and</w:t>
            </w:r>
            <w:r w:rsidRPr="001E7B19">
              <w:t>/or alternator auxiliary plant service are carried out, in accordance with workplace procedures and manufacturers</w:t>
            </w:r>
            <w:r>
              <w:t>’</w:t>
            </w:r>
            <w:r w:rsidRPr="001E7B19">
              <w:t xml:space="preserve"> recommendations 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Generator and/or alternator auxiliary plant operational prerequisites are established, in accordance with workplace p</w:t>
            </w:r>
            <w:r w:rsidRPr="001E7B19">
              <w:t>rocedures and manufacturers</w:t>
            </w:r>
            <w:r>
              <w:t>’</w:t>
            </w:r>
            <w:r w:rsidRPr="001E7B19">
              <w:t xml:space="preserve"> recommendations 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Sequence for recommissioning of generator and/or alternator auxiliary plant is determined, in accordance with workplace procedures and site requirements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rPr>
                <w:rStyle w:val="SpecialBold"/>
              </w:rPr>
              <w:t>Operate generator/alternator auxiliary</w:t>
            </w:r>
            <w:r w:rsidRPr="001E7B19">
              <w:t xml:space="preserve"> </w:t>
            </w:r>
            <w:r w:rsidRPr="001E7B19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Generator and/or alternator auxiliary plant is operated within limits of its</w:t>
            </w:r>
            <w:r>
              <w:t>’</w:t>
            </w:r>
            <w:r w:rsidRPr="001E7B19">
              <w:t xml:space="preserve"> design and regulators requirements, in accordance with workplace procedures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Generator and/or alternator auxiliary plant is monitored and observed, in accordance with w</w:t>
            </w:r>
            <w:r w:rsidRPr="001E7B19">
              <w:t>orkplace procedures, to detect deviations from required operating conditions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Corrective actions are taken to rectify generator and/or alternator auxiliary plant abnormalities, in accordance with workplace procedures and manufactu</w:t>
            </w:r>
            <w:r w:rsidRPr="001E7B19">
              <w:t>rers</w:t>
            </w:r>
            <w:r>
              <w:t>’</w:t>
            </w:r>
            <w:r w:rsidRPr="001E7B19">
              <w:t xml:space="preserve"> recommendations 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rPr>
                <w:rStyle w:val="SpecialBold"/>
              </w:rPr>
              <w:t>Test generator/alternator auxiliary</w:t>
            </w:r>
            <w:r w:rsidRPr="001E7B19">
              <w:t xml:space="preserve"> </w:t>
            </w:r>
            <w:r w:rsidRPr="001E7B19">
              <w:rPr>
                <w:rStyle w:val="SpecialBold"/>
              </w:rPr>
              <w:t>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 xml:space="preserve">Operational tests are performed, in accordance with workplace procedures 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 xml:space="preserve">Generator and/or alternator auxiliary plant is observed for correct operational response, in </w:t>
            </w:r>
            <w:r w:rsidRPr="001E7B19">
              <w:t>accordance with workplace procedures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Corrective action is taken, in accordance with workplace procedures, when response does not meet with documentation, generator or alternator auxiliary plant integrity or personnel safety requirements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Generator and/or alternator auxiliary plant is returned to required operational status upon completion of testing, in accordance with workplace procedures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rPr>
                <w:rStyle w:val="SpecialBold"/>
              </w:rPr>
              <w:t>Analyse generator/alternator auxiliary</w:t>
            </w:r>
            <w:r w:rsidRPr="001E7B19">
              <w:t xml:space="preserve"> </w:t>
            </w:r>
            <w:r w:rsidRPr="001E7B19">
              <w:rPr>
                <w:rStyle w:val="SpecialBold"/>
              </w:rPr>
              <w:t>plant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Cause of abnormal generator and/or alterna</w:t>
            </w:r>
            <w:r w:rsidRPr="001E7B19">
              <w:t xml:space="preserve">tor auxiliary plant operating conditions are identified, in accordance with workplace procedures, by analysing technical and operational information 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Corrective actions to rectify generator and/or alternator auxiliary plant faults are determined, in</w:t>
            </w:r>
            <w:r w:rsidRPr="001E7B19">
              <w:t xml:space="preserve"> accordance with workplace procedures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 xml:space="preserve">Generator and/or alternator auxiliary plant integrity and personnel safety is maintained, in accordance with workplace procedures, and in consultation </w:t>
            </w:r>
            <w:r w:rsidRPr="001E7B19">
              <w:t>with appropriate personnel and technical and operational documentation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rPr>
                <w:rStyle w:val="SpecialBold"/>
              </w:rPr>
              <w:t>Monitor and inspect generator/alternator auxiliary</w:t>
            </w:r>
            <w:r w:rsidRPr="001E7B19">
              <w:t xml:space="preserve"> </w:t>
            </w:r>
            <w:r w:rsidRPr="001E7B19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Generator and/or alternator auxiliary plant to be monitored and inspected is physically identified, in accordance with wo</w:t>
            </w:r>
            <w:r w:rsidRPr="001E7B19">
              <w:t>rkplace procedures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Generator and/or alternator auxiliary plant is monitored and inspected, in accordance with workplace procedures, for normal operation or to detect deviations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Corrective action is taken, in accordance with workplace procedur</w:t>
            </w:r>
            <w:r w:rsidRPr="001E7B19">
              <w:t>es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Appropriate personnel are notified, in accordance with workplace procedures, when defects are detected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t>Generator and/or alternator auxiliary plant problems, movements, and status are reported, in accordance with workplace procedures</w:t>
            </w:r>
          </w:p>
        </w:tc>
      </w:tr>
      <w:tr w:rsidTr="001E7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19">
            <w:pPr>
              <w:pStyle w:val="BodyText"/>
              <w:rPr>
                <w:lang w:val="en-NZ"/>
              </w:rPr>
            </w:pPr>
            <w:r w:rsidRPr="001E7B19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t>Documentation is updated, in accordance with workplace procedures</w:t>
            </w:r>
          </w:p>
        </w:tc>
      </w:tr>
    </w:tbl>
    <w:p w:rsidR="00000000" w:rsidRPr="001E7B19" w:rsidP="001E7B19">
      <w:pPr>
        <w:pStyle w:val="NoPaddingFontSize1"/>
      </w:pPr>
    </w:p>
    <w:p w:rsidR="00000000" w:rsidRPr="001E7B19" w:rsidP="001E7B19">
      <w:pPr>
        <w:pStyle w:val="AllowPageBreak"/>
      </w:pPr>
    </w:p>
    <w:p w:rsidR="00000000" w:rsidRPr="001E7B19" w:rsidP="001E7B19">
      <w:pPr>
        <w:pStyle w:val="Heading1"/>
      </w:pPr>
      <w:bookmarkStart w:id="7" w:name="O_983672"/>
      <w:bookmarkEnd w:id="7"/>
      <w:r w:rsidRPr="001E7B1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7B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t>Foundation skill</w:t>
            </w:r>
            <w:r w:rsidRPr="001E7B19">
              <w:t>s essential to performance are explicit in the performance criteria of this unit of competency.</w:t>
            </w:r>
          </w:p>
        </w:tc>
      </w:tr>
    </w:tbl>
    <w:p w:rsidR="00000000" w:rsidRPr="001E7B19" w:rsidP="001E7B19">
      <w:pPr>
        <w:pStyle w:val="NoPaddingFontSize1"/>
      </w:pPr>
    </w:p>
    <w:p w:rsidR="00000000" w:rsidRPr="001E7B19" w:rsidP="001E7B19">
      <w:pPr>
        <w:pStyle w:val="AllowPageBreak"/>
      </w:pPr>
    </w:p>
    <w:p w:rsidR="00000000" w:rsidRPr="001E7B19" w:rsidP="001E7B19">
      <w:pPr>
        <w:pStyle w:val="Heading1"/>
      </w:pPr>
      <w:bookmarkStart w:id="8" w:name="O_983673"/>
      <w:bookmarkEnd w:id="8"/>
      <w:r w:rsidRPr="001E7B1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7B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t>Range is restricted to essential operating conditions and any other variables essential to the work environment.</w:t>
            </w:r>
          </w:p>
          <w:p w:rsidR="00000000" w:rsidRPr="001E7B19" w:rsidP="001E7B19">
            <w:pPr>
              <w:pStyle w:val="BodyText"/>
            </w:pPr>
            <w:r w:rsidRPr="001E7B19">
              <w:t>Non-essential conditions may be found in the Companion Volume Implementation Guide.</w:t>
            </w:r>
          </w:p>
        </w:tc>
      </w:tr>
    </w:tbl>
    <w:p w:rsidR="00000000" w:rsidRPr="001E7B19" w:rsidP="001E7B19">
      <w:pPr>
        <w:pStyle w:val="NoPaddingFontSize1"/>
      </w:pPr>
    </w:p>
    <w:p w:rsidR="00000000" w:rsidRPr="001E7B19" w:rsidP="001E7B19">
      <w:pPr>
        <w:pStyle w:val="AllowPageBreak"/>
      </w:pPr>
    </w:p>
    <w:p w:rsidR="00000000" w:rsidRPr="001E7B19" w:rsidP="001E7B19">
      <w:pPr>
        <w:pStyle w:val="Heading1"/>
      </w:pPr>
      <w:bookmarkStart w:id="9" w:name="O_983674"/>
      <w:bookmarkEnd w:id="9"/>
      <w:r w:rsidRPr="001E7B1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7B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19" w:rsidP="001E7B19">
            <w:pPr>
              <w:pStyle w:val="BodyText"/>
            </w:pPr>
            <w:r w:rsidRPr="001E7B19">
              <w:t>This unit replaces and is equivalent to UEPOPS372A Operate and monitor generator/alternator auxiliary plant.</w:t>
            </w:r>
          </w:p>
        </w:tc>
      </w:tr>
    </w:tbl>
    <w:p w:rsidR="00000000" w:rsidRPr="001E7B19" w:rsidP="001E7B19">
      <w:pPr>
        <w:pStyle w:val="NoPaddingFontSize1"/>
      </w:pPr>
    </w:p>
    <w:p w:rsidR="00000000" w:rsidRPr="001E7B19" w:rsidP="001E7B19">
      <w:pPr>
        <w:pStyle w:val="AllowPageBreak"/>
      </w:pPr>
    </w:p>
    <w:p w:rsidR="00000000" w:rsidRPr="001E7B19" w:rsidP="001E7B19">
      <w:pPr>
        <w:pStyle w:val="Heading1"/>
      </w:pPr>
      <w:bookmarkStart w:id="10" w:name="O_983681"/>
      <w:bookmarkEnd w:id="10"/>
      <w:r w:rsidRPr="001E7B19">
        <w:t>Links</w:t>
      </w:r>
    </w:p>
    <w:p w:rsidR="00000000" w:rsidRPr="001E7B19" w:rsidP="00CE0E5F">
      <w:pPr>
        <w:pStyle w:val="BodyText"/>
      </w:pPr>
      <w:r w:rsidRPr="001E7B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F66A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E7B19" w:rsidP="001E7B19"/>
    <w:sectPr w:rsidSect="001E7B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19" w:rsidRPr="00CE0E5F" w:rsidP="00CE0E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5F" w:rsidP="001E7B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0E5F" w:rsidP="001E7B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E0E5F" w:rsidP="001E7B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B19" w:rsidRPr="00CE0E5F" w:rsidP="00CE0E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5F" w:rsidRPr="002D2AF8" w:rsidP="001E7B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UEPOPS372 Operate and monitor generator/alternator auxiliary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CE0E5F" w:rsidP="001E7B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B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B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B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B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B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B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B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B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B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B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B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B19"/>
  </w:style>
  <w:style w:type="character" w:customStyle="1" w:styleId="Heading1Char">
    <w:name w:val="Heading 1 Char"/>
    <w:basedOn w:val="DefaultParagraphFont"/>
    <w:link w:val="Heading1"/>
    <w:rsid w:val="001E7B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B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B1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E7B19"/>
    <w:rPr>
      <w:b/>
      <w:spacing w:val="0"/>
    </w:rPr>
  </w:style>
  <w:style w:type="paragraph" w:customStyle="1" w:styleId="SuperHeading">
    <w:name w:val="SuperHeading"/>
    <w:basedOn w:val="Normal"/>
    <w:rsid w:val="001E7B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B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7B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B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B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B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B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B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B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B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B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B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B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B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B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B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B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7B1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7B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7B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B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B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7B1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7B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B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B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B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B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B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B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B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B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7B19"/>
    <w:rPr>
      <w:i/>
    </w:rPr>
  </w:style>
  <w:style w:type="paragraph" w:styleId="Caption">
    <w:name w:val="caption"/>
    <w:basedOn w:val="BodyText"/>
    <w:next w:val="Normal"/>
    <w:qFormat/>
    <w:rsid w:val="001E7B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B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B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B19"/>
  </w:style>
  <w:style w:type="paragraph" w:styleId="TableofFigures">
    <w:name w:val="table of figures"/>
    <w:basedOn w:val="Normal"/>
    <w:next w:val="Normal"/>
    <w:semiHidden/>
    <w:rsid w:val="001E7B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B1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E7B19"/>
    <w:rPr>
      <w:rFonts w:ascii="Wingdings" w:hAnsi="Wingdings"/>
    </w:rPr>
  </w:style>
  <w:style w:type="paragraph" w:customStyle="1" w:styleId="TableHeading">
    <w:name w:val="Table Heading"/>
    <w:basedOn w:val="HeadingBase"/>
    <w:rsid w:val="001E7B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B19"/>
    <w:rPr>
      <w:color w:val="0033CC"/>
      <w:u w:val="none"/>
    </w:rPr>
  </w:style>
  <w:style w:type="paragraph" w:customStyle="1" w:styleId="BodyTextRight">
    <w:name w:val="Body Text Right"/>
    <w:basedOn w:val="BodyText"/>
    <w:rsid w:val="001E7B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B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B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B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B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B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B19"/>
    <w:rPr>
      <w:sz w:val="32"/>
    </w:rPr>
  </w:style>
  <w:style w:type="paragraph" w:customStyle="1" w:styleId="HeadingProcedure">
    <w:name w:val="Heading Procedure"/>
    <w:basedOn w:val="HeadingBase"/>
    <w:next w:val="Normal"/>
    <w:rsid w:val="001E7B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B19"/>
    <w:pPr>
      <w:spacing w:before="60" w:after="60"/>
    </w:pPr>
  </w:style>
  <w:style w:type="paragraph" w:styleId="ListContinue">
    <w:name w:val="List Continue"/>
    <w:basedOn w:val="List"/>
    <w:rsid w:val="001E7B19"/>
    <w:pPr>
      <w:ind w:firstLine="0"/>
    </w:pPr>
  </w:style>
  <w:style w:type="paragraph" w:customStyle="1" w:styleId="ListNote">
    <w:name w:val="List Note"/>
    <w:basedOn w:val="List"/>
    <w:rsid w:val="001E7B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B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B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B19"/>
    <w:rPr>
      <w:rFonts w:ascii="Courier New" w:hAnsi="Courier New"/>
    </w:rPr>
  </w:style>
  <w:style w:type="paragraph" w:customStyle="1" w:styleId="NoteBullet">
    <w:name w:val="Note Bullet"/>
    <w:basedOn w:val="Note"/>
    <w:rsid w:val="001E7B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B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B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B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B1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E7B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B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B19"/>
    <w:rPr>
      <w:b/>
      <w:smallCaps/>
    </w:rPr>
  </w:style>
  <w:style w:type="paragraph" w:customStyle="1" w:styleId="TableListNumber">
    <w:name w:val="Table List Number"/>
    <w:basedOn w:val="ListNumber"/>
    <w:rsid w:val="001E7B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B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B19"/>
    <w:pPr>
      <w:numPr>
        <w:numId w:val="7"/>
      </w:numPr>
    </w:pPr>
  </w:style>
  <w:style w:type="paragraph" w:customStyle="1" w:styleId="ListAlpha2">
    <w:name w:val="List Alpha 2"/>
    <w:basedOn w:val="List2"/>
    <w:rsid w:val="001E7B19"/>
    <w:pPr>
      <w:numPr>
        <w:numId w:val="6"/>
      </w:numPr>
    </w:pPr>
  </w:style>
  <w:style w:type="paragraph" w:styleId="List2">
    <w:name w:val="List 2"/>
    <w:basedOn w:val="BodyText"/>
    <w:rsid w:val="001E7B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B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B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B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B1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B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7B19"/>
    <w:pPr>
      <w:numPr>
        <w:numId w:val="2"/>
      </w:numPr>
    </w:pPr>
  </w:style>
  <w:style w:type="paragraph" w:styleId="ListContinue2">
    <w:name w:val="List Continue 2"/>
    <w:basedOn w:val="List2"/>
    <w:rsid w:val="001E7B19"/>
    <w:pPr>
      <w:ind w:firstLine="0"/>
    </w:pPr>
  </w:style>
  <w:style w:type="paragraph" w:styleId="ListContinue3">
    <w:name w:val="List Continue 3"/>
    <w:basedOn w:val="List3"/>
    <w:rsid w:val="001E7B19"/>
    <w:pPr>
      <w:ind w:left="1021" w:firstLine="0"/>
    </w:pPr>
  </w:style>
  <w:style w:type="paragraph" w:styleId="ListContinue4">
    <w:name w:val="List Continue 4"/>
    <w:basedOn w:val="List4"/>
    <w:rsid w:val="001E7B19"/>
    <w:pPr>
      <w:ind w:firstLine="0"/>
    </w:pPr>
  </w:style>
  <w:style w:type="paragraph" w:styleId="ListContinue5">
    <w:name w:val="List Continue 5"/>
    <w:basedOn w:val="List5"/>
    <w:rsid w:val="001E7B19"/>
    <w:pPr>
      <w:ind w:firstLine="0"/>
    </w:pPr>
  </w:style>
  <w:style w:type="paragraph" w:styleId="ListNumber3">
    <w:name w:val="List Number 3"/>
    <w:basedOn w:val="List3"/>
    <w:rsid w:val="001E7B19"/>
    <w:pPr>
      <w:numPr>
        <w:numId w:val="3"/>
      </w:numPr>
    </w:pPr>
  </w:style>
  <w:style w:type="paragraph" w:styleId="ListNumber4">
    <w:name w:val="List Number 4"/>
    <w:basedOn w:val="List4"/>
    <w:rsid w:val="001E7B19"/>
    <w:pPr>
      <w:numPr>
        <w:numId w:val="4"/>
      </w:numPr>
    </w:pPr>
  </w:style>
  <w:style w:type="paragraph" w:styleId="ListNumber5">
    <w:name w:val="List Number 5"/>
    <w:basedOn w:val="List5"/>
    <w:rsid w:val="001E7B19"/>
    <w:pPr>
      <w:numPr>
        <w:numId w:val="5"/>
      </w:numPr>
    </w:pPr>
  </w:style>
  <w:style w:type="paragraph" w:styleId="BlockText">
    <w:name w:val="Block Text"/>
    <w:basedOn w:val="Normal"/>
    <w:rsid w:val="001E7B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B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B19"/>
    <w:rPr>
      <w:sz w:val="16"/>
      <w:vertAlign w:val="superscript"/>
    </w:rPr>
  </w:style>
  <w:style w:type="character" w:customStyle="1" w:styleId="Symbols">
    <w:name w:val="Symbols"/>
    <w:basedOn w:val="DefaultParagraphFont"/>
    <w:rsid w:val="001E7B19"/>
    <w:rPr>
      <w:rFonts w:ascii="Symbol" w:hAnsi="Symbol"/>
    </w:rPr>
  </w:style>
  <w:style w:type="character" w:customStyle="1" w:styleId="MenuOptions">
    <w:name w:val="Menu Options"/>
    <w:basedOn w:val="DefaultParagraphFont"/>
    <w:rsid w:val="001E7B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B19"/>
    <w:rPr>
      <w:b/>
    </w:rPr>
  </w:style>
  <w:style w:type="character" w:customStyle="1" w:styleId="Underlined">
    <w:name w:val="Underlined"/>
    <w:basedOn w:val="DefaultParagraphFont"/>
    <w:rsid w:val="001E7B19"/>
    <w:rPr>
      <w:u w:val="single"/>
    </w:rPr>
  </w:style>
  <w:style w:type="paragraph" w:customStyle="1" w:styleId="TableBodyTextRight">
    <w:name w:val="Table Body Text Right"/>
    <w:basedOn w:val="TableBodyText"/>
    <w:rsid w:val="001E7B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B19"/>
    <w:rPr>
      <w:sz w:val="18"/>
    </w:rPr>
  </w:style>
  <w:style w:type="paragraph" w:customStyle="1" w:styleId="BodySmallRight">
    <w:name w:val="Body Small Right"/>
    <w:basedOn w:val="BodyTextRight"/>
    <w:rsid w:val="001E7B19"/>
    <w:rPr>
      <w:sz w:val="18"/>
      <w:szCs w:val="18"/>
    </w:rPr>
  </w:style>
  <w:style w:type="paragraph" w:customStyle="1" w:styleId="MarginEdition">
    <w:name w:val="Margin Edition"/>
    <w:basedOn w:val="MarginNote"/>
    <w:rsid w:val="001E7B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B19"/>
    <w:rPr>
      <w:sz w:val="2"/>
      <w:szCs w:val="2"/>
    </w:rPr>
  </w:style>
  <w:style w:type="character" w:customStyle="1" w:styleId="Small">
    <w:name w:val="Small"/>
    <w:basedOn w:val="DefaultParagraphFont"/>
    <w:rsid w:val="001E7B19"/>
    <w:rPr>
      <w:sz w:val="16"/>
    </w:rPr>
  </w:style>
  <w:style w:type="paragraph" w:customStyle="1" w:styleId="WideTable">
    <w:name w:val="Wide Table"/>
    <w:basedOn w:val="Normal"/>
    <w:rsid w:val="001E7B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B19"/>
  </w:style>
  <w:style w:type="paragraph" w:styleId="Quote">
    <w:name w:val="Quote"/>
    <w:basedOn w:val="Heading1"/>
    <w:link w:val="QuoteChar"/>
    <w:qFormat/>
    <w:rsid w:val="001E7B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B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B19"/>
    <w:pPr>
      <w:pageBreakBefore/>
    </w:pPr>
  </w:style>
  <w:style w:type="paragraph" w:customStyle="1" w:styleId="Border">
    <w:name w:val="Border"/>
    <w:basedOn w:val="Normal"/>
    <w:qFormat/>
    <w:rsid w:val="001E7B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B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B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B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B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B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B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B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B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B19"/>
    <w:rPr>
      <w:u w:val="single"/>
    </w:rPr>
  </w:style>
  <w:style w:type="character" w:customStyle="1" w:styleId="BoldandItalics">
    <w:name w:val="Bold and Italics"/>
    <w:qFormat/>
    <w:rsid w:val="001E7B19"/>
    <w:rPr>
      <w:b/>
      <w:i/>
      <w:u w:val="none"/>
    </w:rPr>
  </w:style>
  <w:style w:type="paragraph" w:styleId="BalloonText">
    <w:name w:val="Balloon Text"/>
    <w:basedOn w:val="Normal"/>
    <w:link w:val="BalloonTextChar"/>
    <w:rsid w:val="001E7B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B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B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B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B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B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B19"/>
    <w:pPr>
      <w:spacing w:before="0" w:after="0"/>
    </w:pPr>
  </w:style>
  <w:style w:type="paragraph" w:customStyle="1" w:styleId="BodyTextBold">
    <w:name w:val="Body Text Bold"/>
    <w:basedOn w:val="BodyText"/>
    <w:qFormat/>
    <w:rsid w:val="001E7B19"/>
    <w:rPr>
      <w:b/>
    </w:rPr>
  </w:style>
  <w:style w:type="character" w:styleId="Hyperlink">
    <w:name w:val="Hyperlink"/>
    <w:basedOn w:val="DefaultParagraphFont"/>
    <w:uiPriority w:val="99"/>
    <w:unhideWhenUsed/>
    <w:rsid w:val="00CE0E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849</Words>
  <Characters>5755</Characters>
  <Application>Microsoft Office Word</Application>
  <DocSecurity>0</DocSecurity>
  <Lines>230</Lines>
  <Paragraphs>104</Paragraphs>
  <ScaleCrop>false</ScaleCrop>
  <Company>Author-it Software Corporation Ltd.</Company>
  <LinksUpToDate>false</LinksUpToDate>
  <CharactersWithSpaces>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UEPOPS372 Operate and monitor generator/alternator auxiliary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2021-04-21T07:35:00Z</dcterms:created>
  <dcterms:modified xsi:type="dcterms:W3CDTF">2021-04-21T07:36:00Z</dcterms:modified>
</cp:coreProperties>
</file>