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B6174" w:rsidP="003B617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UEPOPS370 Facilitate the use of contingency plans for power generation facilities</w:t>
      </w:r>
      <w:r>
        <w:fldChar w:fldCharType="end"/>
      </w:r>
    </w:p>
    <w:p w:rsidR="003B6174" w:rsidP="003B6174">
      <w:pPr>
        <w:pStyle w:val="Version"/>
        <w:sectPr w:rsidSect="006A722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A7221" w:rsidP="006A7221">
      <w:pPr>
        <w:pStyle w:val="SuperHeading"/>
      </w:pPr>
      <w:r w:rsidRPr="006A7221">
        <w:t>UEPOPS370 Facilitate the use of contingency plans for power generation facilities</w:t>
      </w:r>
    </w:p>
    <w:p w:rsidR="00000000" w:rsidRPr="006A7221" w:rsidP="006A7221">
      <w:pPr>
        <w:pStyle w:val="Heading1"/>
      </w:pPr>
      <w:bookmarkStart w:id="1" w:name="O_983628"/>
      <w:bookmarkEnd w:id="1"/>
      <w:r w:rsidRPr="006A722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72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221" w:rsidP="006A7221">
            <w:pPr>
              <w:pStyle w:val="BodyText"/>
            </w:pPr>
            <w:r w:rsidRPr="006A7221">
              <w:rPr>
                <w:rStyle w:val="SpecialBold"/>
              </w:rPr>
              <w:t>Release 1.</w:t>
            </w:r>
            <w:r w:rsidRPr="006A7221">
              <w:t xml:space="preserve"> This is the first release of this unit of competency in the UEP Generation Training Package.</w:t>
            </w:r>
          </w:p>
        </w:tc>
      </w:tr>
    </w:tbl>
    <w:p w:rsidR="00000000" w:rsidRPr="006A7221" w:rsidP="006A7221">
      <w:pPr>
        <w:pStyle w:val="NoPaddingFontSize1"/>
      </w:pPr>
    </w:p>
    <w:p w:rsidR="00000000" w:rsidRPr="006A7221" w:rsidP="006A7221">
      <w:pPr>
        <w:pStyle w:val="AllowPageBreak"/>
      </w:pPr>
    </w:p>
    <w:p w:rsidR="00000000" w:rsidRPr="006A7221" w:rsidP="006A7221">
      <w:pPr>
        <w:pStyle w:val="Heading1"/>
      </w:pPr>
      <w:bookmarkStart w:id="2" w:name="O_983629"/>
      <w:bookmarkEnd w:id="2"/>
      <w:r w:rsidRPr="006A722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72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221" w:rsidP="006A7221">
            <w:pPr>
              <w:pStyle w:val="BodyText"/>
            </w:pPr>
            <w:r w:rsidRPr="006A7221">
              <w:t xml:space="preserve">This unit involves the skills and knowledge required to facilitate the use of contingency plans that are developed to support the integrity of power generation facilities. </w:t>
            </w:r>
          </w:p>
          <w:p w:rsidR="00000000" w:rsidRPr="006A7221" w:rsidP="006A7221">
            <w:pPr>
              <w:pStyle w:val="BodyText"/>
            </w:pPr>
            <w:r w:rsidRPr="006A7221">
              <w:t>A contingency plan is a course of action designed by a power generation facility to</w:t>
            </w:r>
            <w:r w:rsidRPr="006A7221">
              <w:t xml:space="preserve"> respond to potentially disruptive situations. </w:t>
            </w:r>
          </w:p>
          <w:p w:rsidR="00000000" w:rsidRPr="006A7221" w:rsidP="006A7221">
            <w:pPr>
              <w:pStyle w:val="BodyText"/>
            </w:pPr>
            <w:r w:rsidRPr="006A7221">
              <w:t>Competency in this unit requires the ability to identify contingencies, identify preferred contingency plans and complete all documentation. Individuals will, in general, work as an operator with responsibili</w:t>
            </w:r>
            <w:r w:rsidRPr="006A7221">
              <w:t xml:space="preserve">ty for contingency planning or risk management, in a power generation facility. </w:t>
            </w:r>
          </w:p>
          <w:p w:rsidR="00000000" w:rsidRPr="006A7221" w:rsidP="006A7221">
            <w:pPr>
              <w:pStyle w:val="BodyText"/>
            </w:pPr>
            <w:r w:rsidRPr="006A7221">
              <w:t>Power generation plant operators are typically trained and authorised to isolate, prepare plant and issue permits to work.</w:t>
            </w:r>
          </w:p>
          <w:p w:rsidR="00000000" w:rsidRPr="006A7221" w:rsidP="006A7221">
            <w:pPr>
              <w:pStyle w:val="BodyText"/>
            </w:pPr>
            <w:r w:rsidRPr="006A7221">
              <w:t>No licensing, legislative or certification requireme</w:t>
            </w:r>
            <w:r w:rsidRPr="006A7221">
              <w:t>nts apply to this unit at the time of publication.</w:t>
            </w:r>
          </w:p>
          <w:p w:rsidR="00000000" w:rsidRPr="006A7221" w:rsidP="006A7221">
            <w:pPr>
              <w:pStyle w:val="BodyText"/>
            </w:pPr>
            <w:r w:rsidRPr="006A7221">
              <w:rPr>
                <w:rStyle w:val="SpecialBold"/>
              </w:rPr>
              <w:t>Note: Workplace practice</w:t>
            </w:r>
          </w:p>
          <w:p w:rsidR="00000000" w:rsidRPr="006A7221" w:rsidP="006A7221">
            <w:pPr>
              <w:pStyle w:val="BodyText"/>
            </w:pPr>
            <w:r w:rsidRPr="006A7221">
              <w:t>The application of the skills and knowledge described in this unit may require a licence or training permit to practice in the workplace where work is carried out on gas and electr</w:t>
            </w:r>
            <w:r w:rsidRPr="006A7221">
              <w:t>ical installations. Additional conditions may apply under state and territory legislative and regulatory licensing requirements.</w:t>
            </w:r>
          </w:p>
        </w:tc>
      </w:tr>
    </w:tbl>
    <w:p w:rsidR="00000000" w:rsidRPr="006A7221" w:rsidP="006A7221">
      <w:pPr>
        <w:pStyle w:val="NoPaddingFontSize1"/>
      </w:pPr>
    </w:p>
    <w:p w:rsidR="00000000" w:rsidRPr="006A7221" w:rsidP="006A7221">
      <w:pPr>
        <w:pStyle w:val="AllowPageBreak"/>
      </w:pPr>
    </w:p>
    <w:p w:rsidR="00000000" w:rsidRPr="006A7221" w:rsidP="006A7221">
      <w:pPr>
        <w:pStyle w:val="Heading1"/>
      </w:pPr>
      <w:bookmarkStart w:id="3" w:name="O_983630"/>
      <w:bookmarkEnd w:id="3"/>
      <w:r w:rsidRPr="006A722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72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221" w:rsidP="006A7221">
            <w:pPr>
              <w:pStyle w:val="BodyText"/>
            </w:pPr>
            <w:r w:rsidRPr="006A7221">
              <w:t>There are no prerequisite units.</w:t>
            </w:r>
          </w:p>
        </w:tc>
      </w:tr>
    </w:tbl>
    <w:p w:rsidR="00000000" w:rsidRPr="006A7221" w:rsidP="006A7221">
      <w:pPr>
        <w:pStyle w:val="NoPaddingFontSize1"/>
      </w:pPr>
    </w:p>
    <w:p w:rsidR="00000000" w:rsidRPr="006A7221" w:rsidP="006A7221">
      <w:pPr>
        <w:pStyle w:val="AllowPageBreak"/>
      </w:pPr>
    </w:p>
    <w:p w:rsidR="00000000" w:rsidRPr="006A7221" w:rsidP="006A7221">
      <w:pPr>
        <w:pStyle w:val="Heading1"/>
      </w:pPr>
      <w:bookmarkStart w:id="4" w:name="O_983631"/>
      <w:bookmarkEnd w:id="4"/>
      <w:r w:rsidRPr="006A722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72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221" w:rsidP="006A7221">
            <w:pPr>
              <w:pStyle w:val="BodyText"/>
            </w:pPr>
            <w:r w:rsidRPr="006A7221">
              <w:t>Operations</w:t>
            </w:r>
          </w:p>
        </w:tc>
      </w:tr>
    </w:tbl>
    <w:p w:rsidR="00000000" w:rsidRPr="006A7221" w:rsidP="006A7221">
      <w:pPr>
        <w:pStyle w:val="NoPaddingFontSize1"/>
      </w:pPr>
    </w:p>
    <w:p w:rsidR="00000000" w:rsidRPr="006A7221" w:rsidP="006A7221">
      <w:pPr>
        <w:pStyle w:val="AllowPageBreak"/>
      </w:pPr>
    </w:p>
    <w:p w:rsidR="00000000" w:rsidRPr="006A7221" w:rsidP="006A7221">
      <w:pPr>
        <w:pStyle w:val="Heading1"/>
      </w:pPr>
      <w:bookmarkStart w:id="5" w:name="O_983632"/>
      <w:bookmarkEnd w:id="5"/>
      <w:r w:rsidRPr="006A722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72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221" w:rsidP="006A7221">
            <w:pPr>
              <w:pStyle w:val="BodyText"/>
            </w:pPr>
            <w:r w:rsidRPr="006A7221">
              <w:t>Electricity generation</w:t>
            </w:r>
          </w:p>
        </w:tc>
      </w:tr>
    </w:tbl>
    <w:p w:rsidR="00000000" w:rsidRPr="006A7221" w:rsidP="006A7221">
      <w:pPr>
        <w:pStyle w:val="NoPaddingFontSize1"/>
      </w:pPr>
    </w:p>
    <w:p w:rsidR="00000000" w:rsidRPr="006A7221" w:rsidP="006A7221">
      <w:pPr>
        <w:pStyle w:val="AllowPageBreak"/>
      </w:pPr>
    </w:p>
    <w:p w:rsidR="00000000" w:rsidRPr="006A7221" w:rsidP="006A7221">
      <w:pPr>
        <w:pStyle w:val="Heading1"/>
      </w:pPr>
      <w:bookmarkStart w:id="6" w:name="O_983633"/>
      <w:bookmarkEnd w:id="6"/>
      <w:r w:rsidRPr="006A7221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6A722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221" w:rsidP="006A7221">
            <w:pPr>
              <w:pStyle w:val="BodyText"/>
            </w:pPr>
            <w:r w:rsidRPr="006A7221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221">
            <w:pPr>
              <w:pStyle w:val="BodyText"/>
              <w:rPr>
                <w:lang w:val="en-NZ"/>
              </w:rPr>
            </w:pPr>
            <w:r w:rsidRPr="006A7221">
              <w:rPr>
                <w:rStyle w:val="SpecialBold"/>
              </w:rPr>
              <w:t>PERFORMANCE CRITERIA</w:t>
            </w:r>
          </w:p>
        </w:tc>
      </w:tr>
      <w:tr w:rsidTr="006A722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221">
            <w:pPr>
              <w:pStyle w:val="BodyText"/>
              <w:rPr>
                <w:lang w:val="en-NZ"/>
              </w:rPr>
            </w:pPr>
            <w:r w:rsidRPr="006A7221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221">
            <w:pPr>
              <w:pStyle w:val="BodyText"/>
              <w:rPr>
                <w:lang w:val="en-NZ"/>
              </w:rPr>
            </w:pPr>
            <w:r w:rsidRPr="006A7221">
              <w:t>Performance criteria describe the performance needed to demonstrate achievement of the element.</w:t>
            </w:r>
          </w:p>
        </w:tc>
      </w:tr>
      <w:tr w:rsidTr="006A722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221" w:rsidP="006A7221">
            <w:pPr>
              <w:pStyle w:val="BodyText"/>
            </w:pPr>
            <w:r w:rsidRPr="006A7221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221" w:rsidP="006A7221">
            <w:pPr>
              <w:pStyle w:val="BodyText"/>
            </w:pPr>
            <w:r w:rsidRPr="006A7221">
              <w:rPr>
                <w:rStyle w:val="SpecialBold"/>
              </w:rPr>
              <w:t>Identify contingencies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221">
            <w:pPr>
              <w:pStyle w:val="BodyText"/>
              <w:rPr>
                <w:lang w:val="en-NZ"/>
              </w:rPr>
            </w:pPr>
            <w:r w:rsidRPr="006A7221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221">
            <w:pPr>
              <w:pStyle w:val="BodyText"/>
              <w:rPr>
                <w:lang w:val="en-NZ"/>
              </w:rPr>
            </w:pPr>
            <w:r w:rsidRPr="006A7221">
              <w:t>Potential contingencies are identified, in accordance with legislative requirements and industry standards from a risk assessmen</w:t>
            </w:r>
            <w:r w:rsidRPr="006A7221">
              <w:t xml:space="preserve">t of functions which are critical to the performance of the power generation facility </w:t>
            </w:r>
          </w:p>
        </w:tc>
      </w:tr>
      <w:tr w:rsidTr="006A722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22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221">
            <w:pPr>
              <w:pStyle w:val="BodyText"/>
              <w:rPr>
                <w:lang w:val="en-NZ"/>
              </w:rPr>
            </w:pPr>
            <w:r w:rsidRPr="006A7221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221">
            <w:pPr>
              <w:pStyle w:val="BodyText"/>
              <w:rPr>
                <w:lang w:val="en-NZ"/>
              </w:rPr>
            </w:pPr>
            <w:r w:rsidRPr="006A7221">
              <w:t>Likelihood and impact of risks is assessed and evaluated, in accordance with workplace procedures and the risk management system, and is also discussed with appro</w:t>
            </w:r>
            <w:r w:rsidRPr="006A7221">
              <w:t>priate personnel and stakeholders</w:t>
            </w:r>
          </w:p>
        </w:tc>
      </w:tr>
      <w:tr w:rsidTr="006A722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221" w:rsidP="006A7221">
            <w:pPr>
              <w:pStyle w:val="BodyText"/>
            </w:pPr>
            <w:r w:rsidRPr="006A7221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221" w:rsidP="006A7221">
            <w:pPr>
              <w:pStyle w:val="BodyText"/>
            </w:pPr>
            <w:r w:rsidRPr="006A7221">
              <w:rPr>
                <w:rStyle w:val="SpecialBold"/>
              </w:rPr>
              <w:t>Identify contingency plan processes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221">
            <w:pPr>
              <w:pStyle w:val="BodyText"/>
              <w:rPr>
                <w:lang w:val="en-NZ"/>
              </w:rPr>
            </w:pPr>
            <w:r w:rsidRPr="006A7221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221">
            <w:pPr>
              <w:pStyle w:val="BodyText"/>
              <w:rPr>
                <w:lang w:val="en-NZ"/>
              </w:rPr>
            </w:pPr>
            <w:r w:rsidRPr="006A7221">
              <w:t xml:space="preserve">Contingency plan processes are identified and applied, in accordance with workplace procedures </w:t>
            </w:r>
          </w:p>
        </w:tc>
      </w:tr>
      <w:tr w:rsidTr="006A722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22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221">
            <w:pPr>
              <w:pStyle w:val="BodyText"/>
              <w:rPr>
                <w:lang w:val="en-NZ"/>
              </w:rPr>
            </w:pPr>
            <w:r w:rsidRPr="006A7221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221">
            <w:pPr>
              <w:pStyle w:val="BodyText"/>
              <w:rPr>
                <w:lang w:val="en-NZ"/>
              </w:rPr>
            </w:pPr>
            <w:r w:rsidRPr="006A7221">
              <w:t xml:space="preserve">Roles and responsibilities for the contingency plan are identified, in accordance with workplace procedures </w:t>
            </w:r>
          </w:p>
        </w:tc>
      </w:tr>
      <w:tr w:rsidTr="006A722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221" w:rsidP="006A7221">
            <w:pPr>
              <w:pStyle w:val="BodyText"/>
            </w:pPr>
            <w:r w:rsidRPr="006A7221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221" w:rsidP="006A7221">
            <w:pPr>
              <w:pStyle w:val="BodyText"/>
            </w:pPr>
            <w:r w:rsidRPr="006A7221">
              <w:rPr>
                <w:rStyle w:val="SpecialBold"/>
              </w:rPr>
              <w:t>Complete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221">
            <w:pPr>
              <w:pStyle w:val="BodyText"/>
              <w:rPr>
                <w:lang w:val="en-NZ"/>
              </w:rPr>
            </w:pPr>
            <w:r w:rsidRPr="006A7221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221">
            <w:pPr>
              <w:pStyle w:val="BodyText"/>
              <w:rPr>
                <w:lang w:val="en-NZ"/>
              </w:rPr>
            </w:pPr>
            <w:r w:rsidRPr="006A7221">
              <w:t>Power generating plant problems, movements and status are reported, in accordance with workplace procedures and conti</w:t>
            </w:r>
            <w:r w:rsidRPr="006A7221">
              <w:t>ngency plan</w:t>
            </w:r>
          </w:p>
        </w:tc>
      </w:tr>
      <w:tr w:rsidTr="006A722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22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221">
            <w:pPr>
              <w:pStyle w:val="BodyText"/>
              <w:rPr>
                <w:lang w:val="en-NZ"/>
              </w:rPr>
            </w:pPr>
            <w:r w:rsidRPr="006A7221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221" w:rsidP="006A7221">
            <w:pPr>
              <w:pStyle w:val="BodyText"/>
            </w:pPr>
            <w:r w:rsidRPr="006A7221">
              <w:t>Documentation is updated, in accordance with workplace procedures</w:t>
            </w:r>
          </w:p>
        </w:tc>
      </w:tr>
    </w:tbl>
    <w:p w:rsidR="00000000" w:rsidRPr="006A7221" w:rsidP="006A7221">
      <w:pPr>
        <w:pStyle w:val="NoPaddingFontSize1"/>
      </w:pPr>
    </w:p>
    <w:p w:rsidR="00000000" w:rsidRPr="006A7221" w:rsidP="006A7221">
      <w:pPr>
        <w:pStyle w:val="AllowPageBreak"/>
      </w:pPr>
    </w:p>
    <w:p w:rsidR="00000000" w:rsidRPr="006A7221" w:rsidP="006A7221">
      <w:pPr>
        <w:pStyle w:val="Heading1"/>
      </w:pPr>
      <w:bookmarkStart w:id="7" w:name="O_983634"/>
      <w:bookmarkEnd w:id="7"/>
      <w:r w:rsidRPr="006A722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72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221" w:rsidP="006A7221">
            <w:pPr>
              <w:pStyle w:val="BodyText"/>
            </w:pPr>
            <w:r w:rsidRPr="006A7221">
              <w:t>Foundation skills essential to performance are explicit in the performance criteria of this unit of competency.</w:t>
            </w:r>
          </w:p>
        </w:tc>
      </w:tr>
    </w:tbl>
    <w:p w:rsidR="00000000" w:rsidRPr="006A7221" w:rsidP="006A7221">
      <w:pPr>
        <w:pStyle w:val="NoPaddingFontSize1"/>
      </w:pPr>
    </w:p>
    <w:p w:rsidR="00000000" w:rsidRPr="006A7221" w:rsidP="006A7221">
      <w:pPr>
        <w:pStyle w:val="AllowPageBreak"/>
      </w:pPr>
    </w:p>
    <w:p w:rsidR="00000000" w:rsidRPr="006A7221" w:rsidP="006A7221">
      <w:pPr>
        <w:pStyle w:val="Heading1"/>
      </w:pPr>
      <w:bookmarkStart w:id="8" w:name="O_983635"/>
      <w:bookmarkEnd w:id="8"/>
      <w:r w:rsidRPr="006A722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72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221" w:rsidP="006A7221">
            <w:pPr>
              <w:pStyle w:val="BodyText"/>
            </w:pPr>
            <w:r w:rsidRPr="006A7221">
              <w:t>Range is restricted to essential operating conditions and any other variables essential to the work environment.</w:t>
            </w:r>
          </w:p>
          <w:p w:rsidR="00000000" w:rsidRPr="006A7221" w:rsidP="006A7221">
            <w:pPr>
              <w:pStyle w:val="BodyText"/>
            </w:pPr>
            <w:r w:rsidRPr="006A7221">
              <w:t>Non-essential conditions may be found in the Companion Volume Implementation Guide.</w:t>
            </w:r>
          </w:p>
        </w:tc>
      </w:tr>
    </w:tbl>
    <w:p w:rsidR="00000000" w:rsidRPr="006A7221" w:rsidP="006A7221">
      <w:pPr>
        <w:pStyle w:val="NoPaddingFontSize1"/>
      </w:pPr>
    </w:p>
    <w:p w:rsidR="00000000" w:rsidRPr="006A7221" w:rsidP="006A7221">
      <w:pPr>
        <w:pStyle w:val="AllowPageBreak"/>
      </w:pPr>
    </w:p>
    <w:p w:rsidR="00000000" w:rsidRPr="006A7221" w:rsidP="006A7221">
      <w:pPr>
        <w:pStyle w:val="Heading1"/>
      </w:pPr>
      <w:bookmarkStart w:id="9" w:name="O_983636"/>
      <w:bookmarkEnd w:id="9"/>
      <w:r w:rsidRPr="006A7221">
        <w:t>Unit Mapping Informa</w:t>
      </w:r>
      <w:r w:rsidRPr="006A7221">
        <w:t>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72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221" w:rsidP="006A7221">
            <w:pPr>
              <w:pStyle w:val="BodyText"/>
            </w:pPr>
            <w:r w:rsidRPr="006A7221">
              <w:t>This unit replaces and is equivalent to UEPOPS370A Facilitate the use of contingency plans.</w:t>
            </w:r>
          </w:p>
        </w:tc>
      </w:tr>
    </w:tbl>
    <w:p w:rsidR="00000000" w:rsidRPr="006A7221" w:rsidP="006A7221">
      <w:pPr>
        <w:pStyle w:val="NoPaddingFontSize1"/>
      </w:pPr>
    </w:p>
    <w:p w:rsidR="00000000" w:rsidRPr="006A7221" w:rsidP="006A7221">
      <w:pPr>
        <w:pStyle w:val="AllowPageBreak"/>
      </w:pPr>
    </w:p>
    <w:p w:rsidR="00000000" w:rsidRPr="006A7221" w:rsidP="006A7221">
      <w:pPr>
        <w:pStyle w:val="Heading1"/>
      </w:pPr>
      <w:bookmarkStart w:id="10" w:name="O_983643"/>
      <w:bookmarkEnd w:id="10"/>
      <w:r w:rsidRPr="006A7221">
        <w:t>Links</w:t>
      </w:r>
    </w:p>
    <w:p w:rsidR="00000000" w:rsidRPr="006A7221" w:rsidP="003B6174">
      <w:pPr>
        <w:pStyle w:val="BodyText"/>
      </w:pPr>
      <w:r w:rsidRPr="006A722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E7708C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6A7221" w:rsidP="006A7221"/>
    <w:sectPr w:rsidSect="006A722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22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221" w:rsidRPr="003B6174" w:rsidP="003B617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22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174" w:rsidP="006A72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B6174" w:rsidP="006A72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3B6174" w:rsidP="006A722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22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17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A7221" w:rsidRPr="003B6174" w:rsidP="003B617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22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174" w:rsidRPr="002D2AF8" w:rsidP="006A72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UEPOPS370 Facilitate the use of contingency plans for power generation facilities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April 2021</w:t>
    </w:r>
    <w:r>
      <w:fldChar w:fldCharType="end"/>
    </w:r>
  </w:p>
  <w:p w:rsidR="003B6174" w:rsidP="006A722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722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A722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A722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A722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A722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A722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A722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A722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A722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A722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A722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A7221"/>
  </w:style>
  <w:style w:type="character" w:customStyle="1" w:styleId="Heading1Char">
    <w:name w:val="Heading 1 Char"/>
    <w:basedOn w:val="DefaultParagraphFont"/>
    <w:link w:val="Heading1"/>
    <w:rsid w:val="006A722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A722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A722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A7221"/>
    <w:rPr>
      <w:b/>
      <w:spacing w:val="0"/>
    </w:rPr>
  </w:style>
  <w:style w:type="paragraph" w:customStyle="1" w:styleId="SuperHeading">
    <w:name w:val="SuperHeading"/>
    <w:basedOn w:val="Normal"/>
    <w:rsid w:val="006A722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A722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A722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A722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A722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A72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A72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A72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A72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A722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A722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A722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A722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A722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A722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A722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A722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A722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A722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A722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A722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A722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A722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A722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A722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A722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A722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A722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A722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A722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A722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A722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A722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A722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A722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A722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A7221"/>
    <w:rPr>
      <w:i/>
    </w:rPr>
  </w:style>
  <w:style w:type="paragraph" w:styleId="Caption">
    <w:name w:val="caption"/>
    <w:basedOn w:val="BodyText"/>
    <w:next w:val="Normal"/>
    <w:qFormat/>
    <w:rsid w:val="006A722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A722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A722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A7221"/>
  </w:style>
  <w:style w:type="paragraph" w:styleId="TableofFigures">
    <w:name w:val="table of figures"/>
    <w:basedOn w:val="Normal"/>
    <w:next w:val="Normal"/>
    <w:semiHidden/>
    <w:rsid w:val="006A722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A722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A7221"/>
    <w:rPr>
      <w:rFonts w:ascii="Wingdings" w:hAnsi="Wingdings"/>
    </w:rPr>
  </w:style>
  <w:style w:type="paragraph" w:customStyle="1" w:styleId="TableHeading">
    <w:name w:val="Table Heading"/>
    <w:basedOn w:val="HeadingBase"/>
    <w:rsid w:val="006A722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A7221"/>
    <w:rPr>
      <w:color w:val="0033CC"/>
      <w:u w:val="none"/>
    </w:rPr>
  </w:style>
  <w:style w:type="paragraph" w:customStyle="1" w:styleId="BodyTextRight">
    <w:name w:val="Body Text Right"/>
    <w:basedOn w:val="BodyText"/>
    <w:rsid w:val="006A722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A722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A722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A722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A722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A722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A7221"/>
    <w:rPr>
      <w:sz w:val="32"/>
    </w:rPr>
  </w:style>
  <w:style w:type="paragraph" w:customStyle="1" w:styleId="HeadingProcedure">
    <w:name w:val="Heading Procedure"/>
    <w:basedOn w:val="HeadingBase"/>
    <w:next w:val="Normal"/>
    <w:rsid w:val="006A722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A7221"/>
    <w:pPr>
      <w:spacing w:before="60" w:after="60"/>
    </w:pPr>
  </w:style>
  <w:style w:type="paragraph" w:styleId="ListContinue">
    <w:name w:val="List Continue"/>
    <w:basedOn w:val="List"/>
    <w:rsid w:val="006A7221"/>
    <w:pPr>
      <w:ind w:firstLine="0"/>
    </w:pPr>
  </w:style>
  <w:style w:type="paragraph" w:customStyle="1" w:styleId="ListNote">
    <w:name w:val="List Note"/>
    <w:basedOn w:val="List"/>
    <w:rsid w:val="006A722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A722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A722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A7221"/>
    <w:rPr>
      <w:rFonts w:ascii="Courier New" w:hAnsi="Courier New"/>
    </w:rPr>
  </w:style>
  <w:style w:type="paragraph" w:customStyle="1" w:styleId="NoteBullet">
    <w:name w:val="Note Bullet"/>
    <w:basedOn w:val="Note"/>
    <w:rsid w:val="006A722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A722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A722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A722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A722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A722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A722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A7221"/>
    <w:rPr>
      <w:b/>
      <w:smallCaps/>
    </w:rPr>
  </w:style>
  <w:style w:type="paragraph" w:customStyle="1" w:styleId="TableListNumber">
    <w:name w:val="Table List Number"/>
    <w:basedOn w:val="ListNumber"/>
    <w:rsid w:val="006A722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A722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A7221"/>
    <w:pPr>
      <w:numPr>
        <w:numId w:val="7"/>
      </w:numPr>
    </w:pPr>
  </w:style>
  <w:style w:type="paragraph" w:customStyle="1" w:styleId="ListAlpha2">
    <w:name w:val="List Alpha 2"/>
    <w:basedOn w:val="List2"/>
    <w:rsid w:val="006A7221"/>
    <w:pPr>
      <w:numPr>
        <w:numId w:val="6"/>
      </w:numPr>
    </w:pPr>
  </w:style>
  <w:style w:type="paragraph" w:styleId="List2">
    <w:name w:val="List 2"/>
    <w:basedOn w:val="BodyText"/>
    <w:rsid w:val="006A722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A722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A722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A722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A722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A722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A7221"/>
    <w:pPr>
      <w:numPr>
        <w:numId w:val="2"/>
      </w:numPr>
    </w:pPr>
  </w:style>
  <w:style w:type="paragraph" w:styleId="ListContinue2">
    <w:name w:val="List Continue 2"/>
    <w:basedOn w:val="List2"/>
    <w:rsid w:val="006A7221"/>
    <w:pPr>
      <w:ind w:firstLine="0"/>
    </w:pPr>
  </w:style>
  <w:style w:type="paragraph" w:styleId="ListContinue3">
    <w:name w:val="List Continue 3"/>
    <w:basedOn w:val="List3"/>
    <w:rsid w:val="006A7221"/>
    <w:pPr>
      <w:ind w:left="1021" w:firstLine="0"/>
    </w:pPr>
  </w:style>
  <w:style w:type="paragraph" w:styleId="ListContinue4">
    <w:name w:val="List Continue 4"/>
    <w:basedOn w:val="List4"/>
    <w:rsid w:val="006A7221"/>
    <w:pPr>
      <w:ind w:firstLine="0"/>
    </w:pPr>
  </w:style>
  <w:style w:type="paragraph" w:styleId="ListContinue5">
    <w:name w:val="List Continue 5"/>
    <w:basedOn w:val="List5"/>
    <w:rsid w:val="006A7221"/>
    <w:pPr>
      <w:ind w:firstLine="0"/>
    </w:pPr>
  </w:style>
  <w:style w:type="paragraph" w:styleId="ListNumber3">
    <w:name w:val="List Number 3"/>
    <w:basedOn w:val="List3"/>
    <w:rsid w:val="006A7221"/>
    <w:pPr>
      <w:numPr>
        <w:numId w:val="3"/>
      </w:numPr>
    </w:pPr>
  </w:style>
  <w:style w:type="paragraph" w:styleId="ListNumber4">
    <w:name w:val="List Number 4"/>
    <w:basedOn w:val="List4"/>
    <w:rsid w:val="006A7221"/>
    <w:pPr>
      <w:numPr>
        <w:numId w:val="4"/>
      </w:numPr>
    </w:pPr>
  </w:style>
  <w:style w:type="paragraph" w:styleId="ListNumber5">
    <w:name w:val="List Number 5"/>
    <w:basedOn w:val="List5"/>
    <w:rsid w:val="006A7221"/>
    <w:pPr>
      <w:numPr>
        <w:numId w:val="5"/>
      </w:numPr>
    </w:pPr>
  </w:style>
  <w:style w:type="paragraph" w:styleId="BlockText">
    <w:name w:val="Block Text"/>
    <w:basedOn w:val="Normal"/>
    <w:rsid w:val="006A722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A722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A7221"/>
    <w:rPr>
      <w:sz w:val="16"/>
      <w:vertAlign w:val="superscript"/>
    </w:rPr>
  </w:style>
  <w:style w:type="character" w:customStyle="1" w:styleId="Symbols">
    <w:name w:val="Symbols"/>
    <w:basedOn w:val="DefaultParagraphFont"/>
    <w:rsid w:val="006A7221"/>
    <w:rPr>
      <w:rFonts w:ascii="Symbol" w:hAnsi="Symbol"/>
    </w:rPr>
  </w:style>
  <w:style w:type="character" w:customStyle="1" w:styleId="MenuOptions">
    <w:name w:val="Menu Options"/>
    <w:basedOn w:val="DefaultParagraphFont"/>
    <w:rsid w:val="006A722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A7221"/>
    <w:rPr>
      <w:b/>
    </w:rPr>
  </w:style>
  <w:style w:type="character" w:customStyle="1" w:styleId="Underlined">
    <w:name w:val="Underlined"/>
    <w:basedOn w:val="DefaultParagraphFont"/>
    <w:rsid w:val="006A7221"/>
    <w:rPr>
      <w:u w:val="single"/>
    </w:rPr>
  </w:style>
  <w:style w:type="paragraph" w:customStyle="1" w:styleId="TableBodyTextRight">
    <w:name w:val="Table Body Text Right"/>
    <w:basedOn w:val="TableBodyText"/>
    <w:rsid w:val="006A722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A7221"/>
    <w:rPr>
      <w:sz w:val="18"/>
    </w:rPr>
  </w:style>
  <w:style w:type="paragraph" w:customStyle="1" w:styleId="BodySmallRight">
    <w:name w:val="Body Small Right"/>
    <w:basedOn w:val="BodyTextRight"/>
    <w:rsid w:val="006A7221"/>
    <w:rPr>
      <w:sz w:val="18"/>
      <w:szCs w:val="18"/>
    </w:rPr>
  </w:style>
  <w:style w:type="paragraph" w:customStyle="1" w:styleId="MarginEdition">
    <w:name w:val="Margin Edition"/>
    <w:basedOn w:val="MarginNote"/>
    <w:rsid w:val="006A722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A7221"/>
    <w:rPr>
      <w:sz w:val="2"/>
      <w:szCs w:val="2"/>
    </w:rPr>
  </w:style>
  <w:style w:type="character" w:customStyle="1" w:styleId="Small">
    <w:name w:val="Small"/>
    <w:basedOn w:val="DefaultParagraphFont"/>
    <w:rsid w:val="006A7221"/>
    <w:rPr>
      <w:sz w:val="16"/>
    </w:rPr>
  </w:style>
  <w:style w:type="paragraph" w:customStyle="1" w:styleId="WideTable">
    <w:name w:val="Wide Table"/>
    <w:basedOn w:val="Normal"/>
    <w:rsid w:val="006A722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A7221"/>
  </w:style>
  <w:style w:type="paragraph" w:styleId="Quote">
    <w:name w:val="Quote"/>
    <w:basedOn w:val="Heading1"/>
    <w:link w:val="QuoteChar"/>
    <w:qFormat/>
    <w:rsid w:val="006A722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A722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A7221"/>
    <w:pPr>
      <w:pageBreakBefore/>
    </w:pPr>
  </w:style>
  <w:style w:type="paragraph" w:customStyle="1" w:styleId="Border">
    <w:name w:val="Border"/>
    <w:basedOn w:val="Normal"/>
    <w:qFormat/>
    <w:rsid w:val="006A722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A722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722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722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A722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A722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A722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A722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A722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A7221"/>
    <w:rPr>
      <w:u w:val="single"/>
    </w:rPr>
  </w:style>
  <w:style w:type="character" w:customStyle="1" w:styleId="BoldandItalics">
    <w:name w:val="Bold and Italics"/>
    <w:qFormat/>
    <w:rsid w:val="006A7221"/>
    <w:rPr>
      <w:b/>
      <w:i/>
      <w:u w:val="none"/>
    </w:rPr>
  </w:style>
  <w:style w:type="paragraph" w:styleId="BalloonText">
    <w:name w:val="Balloon Text"/>
    <w:basedOn w:val="Normal"/>
    <w:link w:val="BalloonTextChar"/>
    <w:rsid w:val="006A72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A722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A722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A722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A722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A722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A7221"/>
    <w:pPr>
      <w:spacing w:before="0" w:after="0"/>
    </w:pPr>
  </w:style>
  <w:style w:type="paragraph" w:customStyle="1" w:styleId="BodyTextBold">
    <w:name w:val="Body Text Bold"/>
    <w:basedOn w:val="BodyText"/>
    <w:qFormat/>
    <w:rsid w:val="006A7221"/>
    <w:rPr>
      <w:b/>
    </w:rPr>
  </w:style>
  <w:style w:type="character" w:styleId="Hyperlink">
    <w:name w:val="Hyperlink"/>
    <w:basedOn w:val="DefaultParagraphFont"/>
    <w:uiPriority w:val="99"/>
    <w:unhideWhenUsed/>
    <w:rsid w:val="003B617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480</Words>
  <Characters>3053</Characters>
  <Application>Microsoft Office Word</Application>
  <DocSecurity>0</DocSecurity>
  <Lines>113</Lines>
  <Paragraphs>61</Paragraphs>
  <ScaleCrop>false</ScaleCrop>
  <Company>Author-it Software Corporation Ltd.</Company>
  <LinksUpToDate>false</LinksUpToDate>
  <CharactersWithSpaces>3472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UEPOPS370 Facilitate the use of contingency plans for power generation facilities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2021-04-21T08:01:00Z</dcterms:created>
  <dcterms:modified xsi:type="dcterms:W3CDTF">2021-04-21T08:01:00Z</dcterms:modified>
</cp:coreProperties>
</file>