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877D2" w:rsidP="00C877D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UEPOPS370 Facilitate the use of contingency plans for power generation facilities</w:t>
      </w:r>
      <w:r>
        <w:fldChar w:fldCharType="end"/>
      </w:r>
    </w:p>
    <w:p w:rsidR="00C877D2" w:rsidP="00C877D2">
      <w:pPr>
        <w:pStyle w:val="Version"/>
        <w:sectPr w:rsidSect="00AC04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C04F0" w:rsidP="00AC04F0">
      <w:pPr>
        <w:pStyle w:val="SuperHeading"/>
      </w:pPr>
      <w:r w:rsidRPr="00AC04F0">
        <w:t>UEPOPS370 Facilitate the use of contingency plans for power generation facilities</w:t>
      </w:r>
    </w:p>
    <w:p w:rsidR="00000000" w:rsidRPr="00AC04F0" w:rsidP="00AC04F0">
      <w:pPr>
        <w:pStyle w:val="Heading1"/>
      </w:pPr>
      <w:bookmarkStart w:id="1" w:name="O_983628"/>
      <w:bookmarkEnd w:id="1"/>
      <w:r w:rsidRPr="00AC04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rPr>
                <w:rStyle w:val="SpecialBold"/>
              </w:rPr>
              <w:t>Release 1.</w:t>
            </w:r>
            <w:r w:rsidRPr="00AC04F0">
              <w:t xml:space="preserve"> This is the first release of this unit of competency in the UEP Generation Training Package.</w:t>
            </w:r>
          </w:p>
        </w:tc>
      </w:tr>
    </w:tbl>
    <w:p w:rsidR="00000000" w:rsidRPr="00AC04F0" w:rsidP="00AC04F0">
      <w:pPr>
        <w:pStyle w:val="NoPaddingFontSize1"/>
      </w:pPr>
    </w:p>
    <w:p w:rsidR="00000000" w:rsidRPr="00AC04F0" w:rsidP="00AC04F0">
      <w:pPr>
        <w:pStyle w:val="AllowPageBreak"/>
      </w:pPr>
    </w:p>
    <w:p w:rsidR="00000000" w:rsidRPr="00AC04F0" w:rsidP="00AC04F0">
      <w:pPr>
        <w:pStyle w:val="Heading1"/>
      </w:pPr>
      <w:bookmarkStart w:id="2" w:name="O_983629"/>
      <w:bookmarkEnd w:id="2"/>
      <w:r w:rsidRPr="00AC04F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t xml:space="preserve">This unit involves the skills and knowledge required to facilitate the use of contingency plans that are developed to support the integrity of power generation facilities. </w:t>
            </w:r>
          </w:p>
          <w:p w:rsidR="00000000" w:rsidRPr="00AC04F0" w:rsidP="00AC04F0">
            <w:pPr>
              <w:pStyle w:val="BodyText"/>
            </w:pPr>
            <w:r w:rsidRPr="00AC04F0">
              <w:t>A contingency plan is a course of action designed by a power generation facility to</w:t>
            </w:r>
            <w:r w:rsidRPr="00AC04F0">
              <w:t xml:space="preserve"> respond to potentially disruptive situations. </w:t>
            </w:r>
          </w:p>
          <w:p w:rsidR="00000000" w:rsidRPr="00AC04F0" w:rsidP="00AC04F0">
            <w:pPr>
              <w:pStyle w:val="BodyText"/>
            </w:pPr>
            <w:r w:rsidRPr="00AC04F0">
              <w:t>Competency in this unit requires the ability to identify contingencies, identify preferred contingency plans and complete all documentation. Individuals will, in general, work as an operator with responsibili</w:t>
            </w:r>
            <w:r w:rsidRPr="00AC04F0">
              <w:t xml:space="preserve">ty for contingency planning or risk management, in a power generation facility. </w:t>
            </w:r>
          </w:p>
          <w:p w:rsidR="00000000" w:rsidRPr="00AC04F0" w:rsidP="00AC04F0">
            <w:pPr>
              <w:pStyle w:val="BodyText"/>
            </w:pPr>
            <w:r w:rsidRPr="00AC04F0">
              <w:t>Power generation plant operators are typically trained and authorised to isolate, prepare plant and issue permits to work.</w:t>
            </w:r>
          </w:p>
          <w:p w:rsidR="00000000" w:rsidRPr="00AC04F0" w:rsidP="00AC04F0">
            <w:pPr>
              <w:pStyle w:val="BodyText"/>
            </w:pPr>
            <w:r w:rsidRPr="00AC04F0">
              <w:t>No licensing, legislative or certification requireme</w:t>
            </w:r>
            <w:r w:rsidRPr="00AC04F0">
              <w:t>nts apply to this unit at the time of publication.</w:t>
            </w:r>
          </w:p>
          <w:p w:rsidR="00000000" w:rsidRPr="00AC04F0" w:rsidP="00AC04F0">
            <w:pPr>
              <w:pStyle w:val="BodyText"/>
            </w:pPr>
            <w:r w:rsidRPr="00AC04F0">
              <w:rPr>
                <w:rStyle w:val="SpecialBold"/>
              </w:rPr>
              <w:t>Note: Workplace practice</w:t>
            </w:r>
          </w:p>
          <w:p w:rsidR="00000000" w:rsidRPr="00AC04F0" w:rsidP="00AC04F0">
            <w:pPr>
              <w:pStyle w:val="BodyText"/>
            </w:pPr>
            <w:r w:rsidRPr="00AC04F0">
              <w:t>The application of the skills and knowledge described in this unit may require a licence or training permit to practice in the workplace where work is carried out on gas and electr</w:t>
            </w:r>
            <w:r w:rsidRPr="00AC04F0">
              <w:t>ical installations. Additional conditions may apply under state and territory legislative and regulatory licensing requirements.</w:t>
            </w:r>
          </w:p>
        </w:tc>
      </w:tr>
    </w:tbl>
    <w:p w:rsidR="00000000" w:rsidRPr="00AC04F0" w:rsidP="00AC04F0">
      <w:pPr>
        <w:pStyle w:val="NoPaddingFontSize1"/>
      </w:pPr>
    </w:p>
    <w:p w:rsidR="00000000" w:rsidRPr="00AC04F0" w:rsidP="00AC04F0">
      <w:pPr>
        <w:pStyle w:val="AllowPageBreak"/>
      </w:pPr>
    </w:p>
    <w:p w:rsidR="00000000" w:rsidRPr="00AC04F0" w:rsidP="00AC04F0">
      <w:pPr>
        <w:pStyle w:val="Heading1"/>
      </w:pPr>
      <w:bookmarkStart w:id="3" w:name="O_983630"/>
      <w:bookmarkEnd w:id="3"/>
      <w:r w:rsidRPr="00AC04F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t>There are no prerequisite units.</w:t>
            </w:r>
          </w:p>
        </w:tc>
      </w:tr>
    </w:tbl>
    <w:p w:rsidR="00000000" w:rsidRPr="00AC04F0" w:rsidP="00AC04F0">
      <w:pPr>
        <w:pStyle w:val="NoPaddingFontSize1"/>
      </w:pPr>
    </w:p>
    <w:p w:rsidR="00000000" w:rsidRPr="00AC04F0" w:rsidP="00AC04F0">
      <w:pPr>
        <w:pStyle w:val="AllowPageBreak"/>
      </w:pPr>
    </w:p>
    <w:p w:rsidR="00000000" w:rsidRPr="00AC04F0" w:rsidP="00AC04F0">
      <w:pPr>
        <w:pStyle w:val="Heading1"/>
      </w:pPr>
      <w:bookmarkStart w:id="4" w:name="O_983631"/>
      <w:bookmarkEnd w:id="4"/>
      <w:r w:rsidRPr="00AC04F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t>Operations</w:t>
            </w:r>
          </w:p>
        </w:tc>
      </w:tr>
    </w:tbl>
    <w:p w:rsidR="00000000" w:rsidRPr="00AC04F0" w:rsidP="00AC04F0">
      <w:pPr>
        <w:pStyle w:val="NoPaddingFontSize1"/>
      </w:pPr>
    </w:p>
    <w:p w:rsidR="00000000" w:rsidRPr="00AC04F0" w:rsidP="00AC04F0">
      <w:pPr>
        <w:pStyle w:val="AllowPageBreak"/>
      </w:pPr>
    </w:p>
    <w:p w:rsidR="00000000" w:rsidRPr="00AC04F0" w:rsidP="00AC04F0">
      <w:pPr>
        <w:pStyle w:val="Heading1"/>
      </w:pPr>
      <w:bookmarkStart w:id="5" w:name="O_983632"/>
      <w:bookmarkEnd w:id="5"/>
      <w:r w:rsidRPr="00AC04F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t>Electricity generation</w:t>
            </w:r>
          </w:p>
        </w:tc>
      </w:tr>
    </w:tbl>
    <w:p w:rsidR="00000000" w:rsidRPr="00AC04F0" w:rsidP="00AC04F0">
      <w:pPr>
        <w:pStyle w:val="NoPaddingFontSize1"/>
      </w:pPr>
    </w:p>
    <w:p w:rsidR="00000000" w:rsidRPr="00AC04F0" w:rsidP="00AC04F0">
      <w:pPr>
        <w:pStyle w:val="AllowPageBreak"/>
      </w:pPr>
    </w:p>
    <w:p w:rsidR="00000000" w:rsidRPr="00AC04F0" w:rsidP="00AC04F0">
      <w:pPr>
        <w:pStyle w:val="Heading1"/>
      </w:pPr>
      <w:bookmarkStart w:id="6" w:name="O_983633"/>
      <w:bookmarkEnd w:id="6"/>
      <w:r w:rsidRPr="00AC04F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AC04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F0">
            <w:pPr>
              <w:pStyle w:val="BodyText"/>
              <w:rPr>
                <w:lang w:val="en-NZ"/>
              </w:rPr>
            </w:pPr>
            <w:r w:rsidRPr="00AC04F0">
              <w:rPr>
                <w:rStyle w:val="SpecialBold"/>
              </w:rPr>
              <w:t>PERFORMANCE CRITERIA</w:t>
            </w:r>
          </w:p>
        </w:tc>
      </w:tr>
      <w:tr w:rsidTr="00AC04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F0">
            <w:pPr>
              <w:pStyle w:val="BodyText"/>
              <w:rPr>
                <w:lang w:val="en-NZ"/>
              </w:rPr>
            </w:pPr>
            <w:r w:rsidRPr="00AC04F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F0">
            <w:pPr>
              <w:pStyle w:val="BodyText"/>
              <w:rPr>
                <w:lang w:val="en-NZ"/>
              </w:rPr>
            </w:pPr>
            <w:r w:rsidRPr="00AC04F0">
              <w:t>Performance criteria describe the performance needed to demonstrate achievement of the element.</w:t>
            </w:r>
          </w:p>
        </w:tc>
      </w:tr>
      <w:tr w:rsidTr="00AC04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rPr>
                <w:rStyle w:val="SpecialBold"/>
              </w:rPr>
              <w:t>Identify contingencies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F0">
            <w:pPr>
              <w:pStyle w:val="BodyText"/>
              <w:rPr>
                <w:lang w:val="en-NZ"/>
              </w:rPr>
            </w:pPr>
            <w:r w:rsidRPr="00AC04F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F0">
            <w:pPr>
              <w:pStyle w:val="BodyText"/>
              <w:rPr>
                <w:lang w:val="en-NZ"/>
              </w:rPr>
            </w:pPr>
            <w:r w:rsidRPr="00AC04F0">
              <w:t>Potential contingencies are identified, in accordance with legislative requirements and industry standards from a risk assessmen</w:t>
            </w:r>
            <w:r w:rsidRPr="00AC04F0">
              <w:t xml:space="preserve">t of functions which are critical to the performance of the power generation facility </w:t>
            </w:r>
          </w:p>
        </w:tc>
      </w:tr>
      <w:tr w:rsidTr="00AC04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F0">
            <w:pPr>
              <w:pStyle w:val="BodyText"/>
              <w:rPr>
                <w:lang w:val="en-NZ"/>
              </w:rPr>
            </w:pPr>
            <w:r w:rsidRPr="00AC04F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F0">
            <w:pPr>
              <w:pStyle w:val="BodyText"/>
              <w:rPr>
                <w:lang w:val="en-NZ"/>
              </w:rPr>
            </w:pPr>
            <w:r w:rsidRPr="00AC04F0">
              <w:t>Likelihood and impact of risks is assessed and evaluated, in accordance with workplace procedures and the risk management system, and is also discussed with appro</w:t>
            </w:r>
            <w:r w:rsidRPr="00AC04F0">
              <w:t>priate personnel and stakeholders</w:t>
            </w:r>
          </w:p>
        </w:tc>
      </w:tr>
      <w:tr w:rsidTr="00AC04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rPr>
                <w:rStyle w:val="SpecialBold"/>
              </w:rPr>
              <w:t>Identify contingency plan processes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F0">
            <w:pPr>
              <w:pStyle w:val="BodyText"/>
              <w:rPr>
                <w:lang w:val="en-NZ"/>
              </w:rPr>
            </w:pPr>
            <w:r w:rsidRPr="00AC04F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F0">
            <w:pPr>
              <w:pStyle w:val="BodyText"/>
              <w:rPr>
                <w:lang w:val="en-NZ"/>
              </w:rPr>
            </w:pPr>
            <w:r w:rsidRPr="00AC04F0">
              <w:t xml:space="preserve">Contingency plan processes are identified and applied, in accordance with workplace procedures </w:t>
            </w:r>
          </w:p>
        </w:tc>
      </w:tr>
      <w:tr w:rsidTr="00AC04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F0">
            <w:pPr>
              <w:pStyle w:val="BodyText"/>
              <w:rPr>
                <w:lang w:val="en-NZ"/>
              </w:rPr>
            </w:pPr>
            <w:r w:rsidRPr="00AC04F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F0">
            <w:pPr>
              <w:pStyle w:val="BodyText"/>
              <w:rPr>
                <w:lang w:val="en-NZ"/>
              </w:rPr>
            </w:pPr>
            <w:r w:rsidRPr="00AC04F0">
              <w:t xml:space="preserve">Roles and responsibilities for the contingency plan are identified, in accordance with workplace procedures </w:t>
            </w:r>
          </w:p>
        </w:tc>
      </w:tr>
      <w:tr w:rsidTr="00AC04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rPr>
                <w:rStyle w:val="SpecialBold"/>
              </w:rPr>
              <w:t>Complete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F0">
            <w:pPr>
              <w:pStyle w:val="BodyText"/>
              <w:rPr>
                <w:lang w:val="en-NZ"/>
              </w:rPr>
            </w:pPr>
            <w:r w:rsidRPr="00AC04F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F0">
            <w:pPr>
              <w:pStyle w:val="BodyText"/>
              <w:rPr>
                <w:lang w:val="en-NZ"/>
              </w:rPr>
            </w:pPr>
            <w:r w:rsidRPr="00AC04F0">
              <w:t>Power generating plant problems, movements and status are reported, in accordance with workplace procedures and conti</w:t>
            </w:r>
            <w:r w:rsidRPr="00AC04F0">
              <w:t>ngency plan</w:t>
            </w:r>
          </w:p>
        </w:tc>
      </w:tr>
      <w:tr w:rsidTr="00AC04F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F0">
            <w:pPr>
              <w:pStyle w:val="BodyText"/>
              <w:rPr>
                <w:lang w:val="en-NZ"/>
              </w:rPr>
            </w:pPr>
            <w:r w:rsidRPr="00AC04F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t>Documentation is updated, in accordance with workplace procedures</w:t>
            </w:r>
          </w:p>
        </w:tc>
      </w:tr>
    </w:tbl>
    <w:p w:rsidR="00000000" w:rsidRPr="00AC04F0" w:rsidP="00AC04F0">
      <w:pPr>
        <w:pStyle w:val="NoPaddingFontSize1"/>
      </w:pPr>
    </w:p>
    <w:p w:rsidR="00000000" w:rsidRPr="00AC04F0" w:rsidP="00AC04F0">
      <w:pPr>
        <w:pStyle w:val="AllowPageBreak"/>
      </w:pPr>
    </w:p>
    <w:p w:rsidR="00000000" w:rsidRPr="00AC04F0" w:rsidP="00AC04F0">
      <w:pPr>
        <w:pStyle w:val="Heading1"/>
      </w:pPr>
      <w:bookmarkStart w:id="7" w:name="O_983634"/>
      <w:bookmarkEnd w:id="7"/>
      <w:r w:rsidRPr="00AC04F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t>Foundation skills essential to performance are explicit in the performance criteria of this unit of competency.</w:t>
            </w:r>
          </w:p>
        </w:tc>
      </w:tr>
    </w:tbl>
    <w:p w:rsidR="00000000" w:rsidRPr="00AC04F0" w:rsidP="00AC04F0">
      <w:pPr>
        <w:pStyle w:val="NoPaddingFontSize1"/>
      </w:pPr>
    </w:p>
    <w:p w:rsidR="00000000" w:rsidRPr="00AC04F0" w:rsidP="00AC04F0">
      <w:pPr>
        <w:pStyle w:val="AllowPageBreak"/>
      </w:pPr>
    </w:p>
    <w:p w:rsidR="00000000" w:rsidRPr="00AC04F0" w:rsidP="00AC04F0">
      <w:pPr>
        <w:pStyle w:val="Heading1"/>
      </w:pPr>
      <w:bookmarkStart w:id="8" w:name="O_983635"/>
      <w:bookmarkEnd w:id="8"/>
      <w:r w:rsidRPr="00AC04F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t>Range is restricted to essential operating conditions and any other variables essential to the work environment.</w:t>
            </w:r>
          </w:p>
          <w:p w:rsidR="00000000" w:rsidRPr="00AC04F0" w:rsidP="00AC04F0">
            <w:pPr>
              <w:pStyle w:val="BodyText"/>
            </w:pPr>
            <w:r w:rsidRPr="00AC04F0">
              <w:t>Non-essential conditions may be found in the Companion Volume Implementation Guide.</w:t>
            </w:r>
          </w:p>
        </w:tc>
      </w:tr>
    </w:tbl>
    <w:p w:rsidR="00000000" w:rsidRPr="00AC04F0" w:rsidP="00AC04F0">
      <w:pPr>
        <w:pStyle w:val="NoPaddingFontSize1"/>
      </w:pPr>
    </w:p>
    <w:p w:rsidR="00000000" w:rsidRPr="00AC04F0" w:rsidP="00AC04F0">
      <w:pPr>
        <w:pStyle w:val="AllowPageBreak"/>
      </w:pPr>
    </w:p>
    <w:p w:rsidR="00000000" w:rsidRPr="00AC04F0" w:rsidP="00AC04F0">
      <w:pPr>
        <w:pStyle w:val="Heading1"/>
      </w:pPr>
      <w:bookmarkStart w:id="9" w:name="O_983636"/>
      <w:bookmarkEnd w:id="9"/>
      <w:r w:rsidRPr="00AC04F0">
        <w:t>Unit Mapping Informa</w:t>
      </w:r>
      <w:r w:rsidRPr="00AC04F0">
        <w:t>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t>This unit replaces and is equivalent to UEPOPS370A Facilitate the use of contingency plans.</w:t>
            </w:r>
          </w:p>
        </w:tc>
      </w:tr>
    </w:tbl>
    <w:p w:rsidR="00000000" w:rsidRPr="00AC04F0" w:rsidP="00AC04F0">
      <w:pPr>
        <w:pStyle w:val="NoPaddingFontSize1"/>
      </w:pPr>
    </w:p>
    <w:p w:rsidR="00000000" w:rsidRPr="00AC04F0" w:rsidP="00AC04F0">
      <w:pPr>
        <w:pStyle w:val="AllowPageBreak"/>
      </w:pPr>
    </w:p>
    <w:p w:rsidR="00000000" w:rsidRPr="00AC04F0" w:rsidP="00AC04F0">
      <w:pPr>
        <w:pStyle w:val="Heading1"/>
      </w:pPr>
      <w:bookmarkStart w:id="10" w:name="O_983643"/>
      <w:bookmarkEnd w:id="10"/>
      <w:r w:rsidRPr="00AC04F0">
        <w:t>Links</w:t>
      </w:r>
    </w:p>
    <w:p w:rsidR="00000000" w:rsidRPr="00AC04F0" w:rsidP="00C877D2">
      <w:pPr>
        <w:pStyle w:val="BodyText"/>
      </w:pPr>
      <w:r w:rsidRPr="00AC04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11AC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C04F0" w:rsidP="00C877D2">
      <w:pPr>
        <w:pStyle w:val="BodyText"/>
        <w:sectPr w:rsidSect="00AC04F0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C04F0" w:rsidP="00AC04F0">
      <w:pPr>
        <w:pStyle w:val="SuperHeading"/>
      </w:pPr>
      <w:r w:rsidRPr="00AC04F0">
        <w:t>Assessment Requirements for UEPOPS370 Facilitate the use of contingency plans for power generation facilities</w:t>
      </w:r>
    </w:p>
    <w:p w:rsidR="00000000" w:rsidRPr="00AC04F0" w:rsidP="00AC04F0">
      <w:pPr>
        <w:pStyle w:val="Heading1"/>
      </w:pPr>
      <w:bookmarkStart w:id="11" w:name="O_983638"/>
      <w:bookmarkEnd w:id="11"/>
      <w:r w:rsidRPr="00AC04F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t>Release 1. This is the first release of this unit of competency in the UEP Generation Training Package.</w:t>
            </w:r>
          </w:p>
        </w:tc>
      </w:tr>
    </w:tbl>
    <w:p w:rsidR="00000000" w:rsidRPr="00AC04F0" w:rsidP="00AC04F0">
      <w:pPr>
        <w:pStyle w:val="NoPaddingFontSize1"/>
      </w:pPr>
    </w:p>
    <w:p w:rsidR="00000000" w:rsidRPr="00AC04F0" w:rsidP="00AC04F0">
      <w:pPr>
        <w:pStyle w:val="AllowPageBreak"/>
      </w:pPr>
    </w:p>
    <w:p w:rsidR="00000000" w:rsidRPr="00AC04F0" w:rsidP="00AC04F0">
      <w:pPr>
        <w:pStyle w:val="Heading1"/>
      </w:pPr>
      <w:bookmarkStart w:id="12" w:name="O_983639"/>
      <w:bookmarkEnd w:id="12"/>
      <w:r w:rsidRPr="00AC04F0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F0">
            <w:pPr>
              <w:pStyle w:val="BodyText"/>
              <w:rPr>
                <w:lang w:val="en-NZ"/>
              </w:rPr>
            </w:pPr>
            <w:r w:rsidRPr="00AC04F0">
              <w:t>Evidence required to demonstrate competence in this unit must be relevant to and satisfy all the requirements of</w:t>
            </w:r>
            <w:r w:rsidRPr="00AC04F0">
              <w:t xml:space="preserve"> the elements, performance criteria and range of conditions on at least two separate occasions and includes: </w:t>
            </w:r>
          </w:p>
        </w:tc>
      </w:tr>
      <w:tr w:rsidTr="00AC0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ListBullet"/>
            </w:pPr>
            <w:r w:rsidRPr="00AC04F0">
              <w:t>applying Work, Health and Safety (WHS)/Occupational Health and Safety (OHS) requirements including:</w:t>
            </w:r>
          </w:p>
          <w:p w:rsidR="00000000" w:rsidRPr="00AC04F0" w:rsidP="00AC04F0">
            <w:pPr>
              <w:pStyle w:val="ListBullet2"/>
            </w:pPr>
            <w:r w:rsidRPr="00AC04F0">
              <w:t>emergency procedures</w:t>
            </w:r>
          </w:p>
          <w:p w:rsidR="00000000" w:rsidRPr="00AC04F0" w:rsidP="00AC04F0">
            <w:pPr>
              <w:pStyle w:val="ListBullet2"/>
            </w:pPr>
            <w:r w:rsidRPr="00AC04F0">
              <w:t>risk control measures</w:t>
            </w:r>
          </w:p>
          <w:p w:rsidR="00000000" w:rsidRPr="00AC04F0" w:rsidP="00AC04F0">
            <w:pPr>
              <w:pStyle w:val="ListBullet2"/>
            </w:pPr>
            <w:r w:rsidRPr="00AC04F0">
              <w:t>safe working practices</w:t>
            </w:r>
          </w:p>
          <w:p w:rsidR="00000000" w:rsidRPr="00AC04F0" w:rsidP="00AC04F0">
            <w:pPr>
              <w:pStyle w:val="ListBullet"/>
            </w:pPr>
            <w:r w:rsidRPr="00AC04F0">
              <w:t>communicating with personnel and stakeholders</w:t>
            </w:r>
          </w:p>
          <w:p w:rsidR="00000000" w:rsidRPr="00AC04F0" w:rsidP="00AC04F0">
            <w:pPr>
              <w:pStyle w:val="ListBullet"/>
            </w:pPr>
            <w:r w:rsidRPr="00AC04F0">
              <w:t xml:space="preserve">completing documentation </w:t>
            </w:r>
          </w:p>
          <w:p w:rsidR="00000000" w:rsidRPr="00AC04F0" w:rsidP="00AC04F0">
            <w:pPr>
              <w:pStyle w:val="ListBullet"/>
            </w:pPr>
            <w:r w:rsidRPr="00AC04F0">
              <w:t>identifying potential contingencies to support the integrity of power generation facilities</w:t>
            </w:r>
          </w:p>
          <w:p w:rsidR="00000000" w:rsidRPr="00AC04F0" w:rsidP="00AC04F0">
            <w:pPr>
              <w:pStyle w:val="ListBullet"/>
            </w:pPr>
            <w:r w:rsidRPr="00AC04F0">
              <w:t xml:space="preserve">implementing legislation, industry standards, codes of practice and </w:t>
            </w:r>
            <w:r w:rsidRPr="00AC04F0">
              <w:t>regulations</w:t>
            </w:r>
          </w:p>
          <w:p w:rsidR="00000000" w:rsidRPr="00AC04F0" w:rsidP="00AC04F0">
            <w:pPr>
              <w:pStyle w:val="ListBullet"/>
            </w:pPr>
            <w:r w:rsidRPr="00AC04F0">
              <w:t xml:space="preserve">recognising and using contingency plan processes </w:t>
            </w:r>
          </w:p>
        </w:tc>
      </w:tr>
    </w:tbl>
    <w:p w:rsidR="00000000" w:rsidRPr="00AC04F0" w:rsidP="00AC04F0">
      <w:pPr>
        <w:pStyle w:val="NoPaddingFontSize1"/>
      </w:pPr>
    </w:p>
    <w:p w:rsidR="00000000" w:rsidRPr="00AC04F0" w:rsidP="00AC04F0">
      <w:pPr>
        <w:pStyle w:val="AllowPageBreak"/>
      </w:pPr>
    </w:p>
    <w:p w:rsidR="00000000" w:rsidRPr="00AC04F0" w:rsidP="00AC04F0">
      <w:pPr>
        <w:pStyle w:val="Heading1"/>
      </w:pPr>
      <w:bookmarkStart w:id="13" w:name="O_983640"/>
      <w:bookmarkEnd w:id="13"/>
      <w:r w:rsidRPr="00AC04F0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C04F0">
            <w:pPr>
              <w:pStyle w:val="BodyText"/>
              <w:rPr>
                <w:lang w:val="en-NZ"/>
              </w:rPr>
            </w:pPr>
            <w:r w:rsidRPr="00AC04F0">
              <w:t xml:space="preserve">Evidence required to demonstrate competence in this unit must be relevant to and satisfy all the requirements of the elements, performance criteria and range of conditions and includes knowledge of: </w:t>
            </w:r>
          </w:p>
        </w:tc>
      </w:tr>
      <w:tr w:rsidTr="00AC0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ListBullet"/>
            </w:pPr>
            <w:r w:rsidRPr="00AC04F0">
              <w:t>application of contingency plans</w:t>
            </w:r>
          </w:p>
          <w:p w:rsidR="00000000" w:rsidRPr="00AC04F0" w:rsidP="00AC04F0">
            <w:pPr>
              <w:pStyle w:val="ListBullet"/>
            </w:pPr>
            <w:r w:rsidRPr="00AC04F0">
              <w:t>identification of con</w:t>
            </w:r>
            <w:r w:rsidRPr="00AC04F0">
              <w:t xml:space="preserve">tingency plan processes </w:t>
            </w:r>
          </w:p>
          <w:p w:rsidR="00000000" w:rsidRPr="00AC04F0" w:rsidP="00AC04F0">
            <w:pPr>
              <w:pStyle w:val="ListBullet"/>
            </w:pPr>
            <w:r w:rsidRPr="00AC04F0">
              <w:t>legislation, industry standards, codes of practice and regulations</w:t>
            </w:r>
          </w:p>
          <w:p w:rsidR="00000000" w:rsidRPr="00AC04F0" w:rsidP="00AC04F0">
            <w:pPr>
              <w:pStyle w:val="ListBullet"/>
            </w:pPr>
            <w:r w:rsidRPr="00AC04F0">
              <w:t>power generating plant and equipment, its location and operating parameters</w:t>
            </w:r>
          </w:p>
          <w:p w:rsidR="00000000" w:rsidRPr="00AC04F0" w:rsidP="00AC04F0">
            <w:pPr>
              <w:pStyle w:val="ListBullet"/>
            </w:pPr>
            <w:r w:rsidRPr="00AC04F0">
              <w:t>typical arrangements of power production plant</w:t>
            </w:r>
          </w:p>
          <w:p w:rsidR="00000000" w:rsidRPr="00AC04F0" w:rsidP="00AC04F0">
            <w:pPr>
              <w:pStyle w:val="ListBullet"/>
            </w:pPr>
            <w:r w:rsidRPr="00AC04F0">
              <w:t>WHS/OHS legislated requirements including</w:t>
            </w:r>
            <w:r w:rsidRPr="00AC04F0">
              <w:t>:</w:t>
            </w:r>
          </w:p>
          <w:p w:rsidR="00000000" w:rsidRPr="00AC04F0" w:rsidP="00AC04F0">
            <w:pPr>
              <w:pStyle w:val="ListBullet2"/>
            </w:pPr>
            <w:r w:rsidRPr="00AC04F0">
              <w:t>emergency procedures</w:t>
            </w:r>
          </w:p>
          <w:p w:rsidR="00000000" w:rsidRPr="00AC04F0" w:rsidP="00AC04F0">
            <w:pPr>
              <w:pStyle w:val="ListBullet2"/>
            </w:pPr>
            <w:r w:rsidRPr="00AC04F0">
              <w:t>risk control measures</w:t>
            </w:r>
          </w:p>
          <w:p w:rsidR="00000000" w:rsidRPr="00AC04F0" w:rsidP="00AC04F0">
            <w:pPr>
              <w:pStyle w:val="ListBullet2"/>
            </w:pPr>
            <w:r w:rsidRPr="00AC04F0">
              <w:t>safe working practices</w:t>
            </w:r>
          </w:p>
          <w:p w:rsidR="00000000" w:rsidRPr="00AC04F0" w:rsidP="00AC04F0">
            <w:pPr>
              <w:pStyle w:val="ListBullet"/>
            </w:pPr>
            <w:r w:rsidRPr="00AC04F0">
              <w:t>workplace documentation</w:t>
            </w:r>
          </w:p>
          <w:p w:rsidR="00000000" w:rsidRPr="00AC04F0" w:rsidP="00AC04F0">
            <w:pPr>
              <w:pStyle w:val="ListBullet"/>
            </w:pPr>
            <w:r w:rsidRPr="00AC04F0">
              <w:t>workplace policies and procedures</w:t>
            </w:r>
          </w:p>
        </w:tc>
      </w:tr>
    </w:tbl>
    <w:p w:rsidR="00000000" w:rsidRPr="00AC04F0" w:rsidP="00AC04F0">
      <w:pPr>
        <w:pStyle w:val="NoPaddingFontSize1"/>
      </w:pPr>
    </w:p>
    <w:p w:rsidR="00000000" w:rsidRPr="00AC04F0" w:rsidP="00AC04F0">
      <w:pPr>
        <w:pStyle w:val="AllowPageBreak"/>
      </w:pPr>
    </w:p>
    <w:p w:rsidR="00000000" w:rsidRPr="00AC04F0" w:rsidP="00AC04F0">
      <w:pPr>
        <w:pStyle w:val="Heading1"/>
      </w:pPr>
      <w:bookmarkStart w:id="14" w:name="O_983641"/>
      <w:bookmarkEnd w:id="14"/>
      <w:r w:rsidRPr="00AC04F0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C04F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C04F0" w:rsidP="00AC04F0">
            <w:pPr>
              <w:pStyle w:val="BodyText"/>
            </w:pPr>
            <w:r w:rsidRPr="00AC04F0">
              <w:t xml:space="preserve">As a minimum, assessors must satisfy applicable regulatory requirements, which include requirements in the Standards for Registered Training Organisations current at the time of assessment. </w:t>
            </w:r>
          </w:p>
          <w:p w:rsidR="00000000" w:rsidRPr="00AC04F0" w:rsidP="00AC04F0">
            <w:pPr>
              <w:pStyle w:val="BodyText"/>
            </w:pPr>
            <w:r w:rsidRPr="00AC04F0">
              <w:t>As a minimum, assessment must satisfy applicable regulatory requi</w:t>
            </w:r>
            <w:r w:rsidRPr="00AC04F0">
              <w:t>rements, which include requirements in the Standards for Registered Training Organisations current at the time of assessment.</w:t>
            </w:r>
          </w:p>
          <w:p w:rsidR="00000000" w:rsidRPr="00AC04F0" w:rsidP="00AC04F0">
            <w:pPr>
              <w:pStyle w:val="BodyText"/>
            </w:pPr>
            <w:r w:rsidRPr="00AC04F0">
              <w:t>Assessment processes and techniques must be appropriate to the language, literacy and numeracy requirements of the work being perf</w:t>
            </w:r>
            <w:r w:rsidRPr="00AC04F0">
              <w:t>ormed and the needs of the candidate.</w:t>
            </w:r>
          </w:p>
          <w:p w:rsidR="00000000" w:rsidRPr="00AC04F0" w:rsidP="00AC04F0">
            <w:pPr>
              <w:pStyle w:val="BodyText"/>
            </w:pPr>
            <w:r w:rsidRPr="00AC04F0">
              <w:t>Assessment must occur in workplace operational situations. Where this is not appropriate, assessment must occur in simulated workplace operational situations that reflect workplace conditions.</w:t>
            </w:r>
          </w:p>
          <w:p w:rsidR="00000000" w:rsidRPr="00AC04F0" w:rsidP="00AC04F0">
            <w:pPr>
              <w:pStyle w:val="BodyText"/>
            </w:pPr>
            <w:r w:rsidRPr="00AC04F0">
              <w:t xml:space="preserve">Resources for assessment </w:t>
            </w:r>
            <w:r w:rsidRPr="00AC04F0">
              <w:t>must include access to:</w:t>
            </w:r>
          </w:p>
          <w:p w:rsidR="00000000" w:rsidRPr="00AC04F0" w:rsidP="00AC04F0">
            <w:pPr>
              <w:pStyle w:val="ListBullet"/>
            </w:pPr>
            <w:r w:rsidRPr="00AC04F0">
              <w:t>a range of relevant exercises, case studies and/or other simulations</w:t>
            </w:r>
          </w:p>
          <w:p w:rsidR="00000000" w:rsidRPr="00AC04F0" w:rsidP="00AC04F0">
            <w:pPr>
              <w:pStyle w:val="ListBullet"/>
            </w:pPr>
            <w:r w:rsidRPr="00AC04F0">
              <w:t xml:space="preserve">relevant and appropriate materials, tools, equipment and personal protective equipment currently used in industry </w:t>
            </w:r>
          </w:p>
          <w:p w:rsidR="00000000" w:rsidRPr="00AC04F0" w:rsidP="00AC04F0">
            <w:pPr>
              <w:pStyle w:val="ListBullet"/>
            </w:pPr>
            <w:r w:rsidRPr="00AC04F0">
              <w:t>applicable documentation including workplace pr</w:t>
            </w:r>
            <w:r w:rsidRPr="00AC04F0">
              <w:t xml:space="preserve">ocedures, industry standards, equipment specifications, regulations, codes of practice and operation manuals. </w:t>
            </w:r>
          </w:p>
        </w:tc>
      </w:tr>
    </w:tbl>
    <w:p w:rsidR="00000000" w:rsidRPr="00AC04F0" w:rsidP="00AC04F0">
      <w:pPr>
        <w:pStyle w:val="NoPaddingFontSize1"/>
      </w:pPr>
    </w:p>
    <w:p w:rsidR="00000000" w:rsidRPr="00AC04F0" w:rsidP="00AC04F0">
      <w:pPr>
        <w:pStyle w:val="AllowPageBreak"/>
      </w:pPr>
    </w:p>
    <w:p w:rsidR="00000000" w:rsidRPr="00AC04F0" w:rsidP="00AC04F0">
      <w:pPr>
        <w:pStyle w:val="Heading1"/>
      </w:pPr>
      <w:bookmarkStart w:id="15" w:name="O_983644"/>
      <w:bookmarkEnd w:id="15"/>
      <w:r w:rsidRPr="00AC04F0">
        <w:t>Links</w:t>
      </w:r>
    </w:p>
    <w:p w:rsidR="00000000" w:rsidRPr="00AC04F0" w:rsidP="00C877D2">
      <w:pPr>
        <w:pStyle w:val="BodyText"/>
      </w:pPr>
      <w:r w:rsidRPr="00AC04F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211AC4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AC04F0" w:rsidP="00AC04F0"/>
    <w:sectPr w:rsidSect="00AC04F0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4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4F0" w:rsidRPr="00C877D2" w:rsidP="00C877D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4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D2" w:rsidP="00AC0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877D2" w:rsidP="00AC0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877D2" w:rsidP="00AC04F0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4F0" w:rsidP="00AC04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877D2">
      <w:t>Approved</w:t>
    </w:r>
    <w:r w:rsidR="00C877D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877D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877D2">
      <w:rPr>
        <w:noProof/>
      </w:rPr>
      <w:t>4</w:t>
    </w:r>
    <w:r>
      <w:rPr>
        <w:noProof/>
      </w:rPr>
      <w:fldChar w:fldCharType="end"/>
    </w:r>
  </w:p>
  <w:p w:rsidR="00AC04F0" w:rsidP="00AC04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877D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877D2">
      <w:t>Powering Skills Organisation</w:t>
    </w:r>
    <w:r w:rsidR="00C877D2">
      <w:fldChar w:fldCharType="end"/>
    </w:r>
  </w:p>
  <w:p w:rsidR="00AC04F0" w:rsidP="00AC04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4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D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C04F0" w:rsidRPr="00C877D2" w:rsidP="00C877D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4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877D2" w:rsidRPr="002D2AF8" w:rsidP="00AC0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UEPOPS370 Facilitate the use of contingency plans for power generation facilities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C877D2" w:rsidP="00AC04F0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C04F0" w:rsidRPr="002D2AF8" w:rsidP="00AC04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877D2">
      <w:t>UEPOPS370 Facilitate the use of contingency plans for power generation facilities</w:t>
    </w:r>
    <w:r w:rsidR="00C877D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877D2">
      <w:rPr>
        <w:noProof/>
      </w:rPr>
      <w:t>1 March 2025</w:t>
    </w:r>
    <w:r>
      <w:fldChar w:fldCharType="end"/>
    </w:r>
  </w:p>
  <w:p w:rsidR="00AC04F0" w:rsidP="00AC04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FCE10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842BAE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0DABD0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04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C04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C04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C04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C04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C04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C04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C04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C04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C04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C04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C04F0"/>
  </w:style>
  <w:style w:type="character" w:customStyle="1" w:styleId="Heading1Char">
    <w:name w:val="Heading 1 Char"/>
    <w:basedOn w:val="DefaultParagraphFont"/>
    <w:link w:val="Heading1"/>
    <w:rsid w:val="00AC04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C04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C04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C04F0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C04F0"/>
    <w:rPr>
      <w:b/>
      <w:spacing w:val="0"/>
    </w:rPr>
  </w:style>
  <w:style w:type="paragraph" w:styleId="ListBullet2">
    <w:name w:val="List Bullet 2"/>
    <w:basedOn w:val="List2"/>
    <w:rsid w:val="00AC04F0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C04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C04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C04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C04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C04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C0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C04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C0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C04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C04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C04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C04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C04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C04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C04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C04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C04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C04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C04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C04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C04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C04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C04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C04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C04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C04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C04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C04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C04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C04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C04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C04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C04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C04F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C04F0"/>
    <w:rPr>
      <w:i/>
    </w:rPr>
  </w:style>
  <w:style w:type="paragraph" w:styleId="Caption">
    <w:name w:val="caption"/>
    <w:basedOn w:val="BodyText"/>
    <w:next w:val="Normal"/>
    <w:qFormat/>
    <w:rsid w:val="00AC04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C04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C04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C04F0"/>
  </w:style>
  <w:style w:type="paragraph" w:styleId="TableofFigures">
    <w:name w:val="table of figures"/>
    <w:basedOn w:val="Normal"/>
    <w:next w:val="Normal"/>
    <w:semiHidden/>
    <w:rsid w:val="00AC04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C04F0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C04F0"/>
    <w:rPr>
      <w:rFonts w:ascii="Wingdings" w:hAnsi="Wingdings"/>
    </w:rPr>
  </w:style>
  <w:style w:type="paragraph" w:customStyle="1" w:styleId="TableHeading">
    <w:name w:val="Table Heading"/>
    <w:basedOn w:val="HeadingBase"/>
    <w:rsid w:val="00AC04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C04F0"/>
    <w:rPr>
      <w:color w:val="0033CC"/>
      <w:u w:val="none"/>
    </w:rPr>
  </w:style>
  <w:style w:type="paragraph" w:customStyle="1" w:styleId="BodyTextRight">
    <w:name w:val="Body Text Right"/>
    <w:basedOn w:val="BodyText"/>
    <w:rsid w:val="00AC04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C04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C04F0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C04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C04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C04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C04F0"/>
    <w:rPr>
      <w:sz w:val="32"/>
    </w:rPr>
  </w:style>
  <w:style w:type="paragraph" w:customStyle="1" w:styleId="HeadingProcedure">
    <w:name w:val="Heading Procedure"/>
    <w:basedOn w:val="HeadingBase"/>
    <w:next w:val="Normal"/>
    <w:rsid w:val="00AC04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C04F0"/>
    <w:pPr>
      <w:spacing w:before="60" w:after="60"/>
    </w:pPr>
  </w:style>
  <w:style w:type="paragraph" w:styleId="ListContinue">
    <w:name w:val="List Continue"/>
    <w:basedOn w:val="List"/>
    <w:rsid w:val="00AC04F0"/>
    <w:pPr>
      <w:ind w:firstLine="0"/>
    </w:pPr>
  </w:style>
  <w:style w:type="paragraph" w:customStyle="1" w:styleId="ListNote">
    <w:name w:val="List Note"/>
    <w:basedOn w:val="List"/>
    <w:rsid w:val="00AC04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C04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C04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C04F0"/>
    <w:rPr>
      <w:rFonts w:ascii="Courier New" w:hAnsi="Courier New"/>
    </w:rPr>
  </w:style>
  <w:style w:type="paragraph" w:customStyle="1" w:styleId="NoteBullet">
    <w:name w:val="Note Bullet"/>
    <w:basedOn w:val="Note"/>
    <w:rsid w:val="00AC04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C04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C04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C04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C04F0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C04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C04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C04F0"/>
    <w:rPr>
      <w:b/>
      <w:smallCaps/>
    </w:rPr>
  </w:style>
  <w:style w:type="paragraph" w:customStyle="1" w:styleId="TableListNumber">
    <w:name w:val="Table List Number"/>
    <w:basedOn w:val="ListNumber"/>
    <w:rsid w:val="00AC04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C04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C04F0"/>
    <w:pPr>
      <w:numPr>
        <w:numId w:val="9"/>
      </w:numPr>
    </w:pPr>
  </w:style>
  <w:style w:type="paragraph" w:customStyle="1" w:styleId="ListAlpha2">
    <w:name w:val="List Alpha 2"/>
    <w:basedOn w:val="List2"/>
    <w:rsid w:val="00AC04F0"/>
    <w:pPr>
      <w:numPr>
        <w:numId w:val="8"/>
      </w:numPr>
    </w:pPr>
  </w:style>
  <w:style w:type="paragraph" w:styleId="List2">
    <w:name w:val="List 2"/>
    <w:basedOn w:val="BodyText"/>
    <w:rsid w:val="00AC04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C04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C04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C04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C04F0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C04F0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C04F0"/>
    <w:pPr>
      <w:numPr>
        <w:numId w:val="4"/>
      </w:numPr>
    </w:pPr>
  </w:style>
  <w:style w:type="paragraph" w:styleId="ListContinue2">
    <w:name w:val="List Continue 2"/>
    <w:basedOn w:val="List2"/>
    <w:rsid w:val="00AC04F0"/>
    <w:pPr>
      <w:ind w:firstLine="0"/>
    </w:pPr>
  </w:style>
  <w:style w:type="paragraph" w:styleId="ListContinue3">
    <w:name w:val="List Continue 3"/>
    <w:basedOn w:val="List3"/>
    <w:rsid w:val="00AC04F0"/>
    <w:pPr>
      <w:ind w:left="1021" w:firstLine="0"/>
    </w:pPr>
  </w:style>
  <w:style w:type="paragraph" w:styleId="ListContinue4">
    <w:name w:val="List Continue 4"/>
    <w:basedOn w:val="List4"/>
    <w:rsid w:val="00AC04F0"/>
    <w:pPr>
      <w:ind w:firstLine="0"/>
    </w:pPr>
  </w:style>
  <w:style w:type="paragraph" w:styleId="ListContinue5">
    <w:name w:val="List Continue 5"/>
    <w:basedOn w:val="List5"/>
    <w:rsid w:val="00AC04F0"/>
    <w:pPr>
      <w:ind w:firstLine="0"/>
    </w:pPr>
  </w:style>
  <w:style w:type="paragraph" w:styleId="ListNumber3">
    <w:name w:val="List Number 3"/>
    <w:basedOn w:val="List3"/>
    <w:rsid w:val="00AC04F0"/>
    <w:pPr>
      <w:numPr>
        <w:numId w:val="5"/>
      </w:numPr>
    </w:pPr>
  </w:style>
  <w:style w:type="paragraph" w:styleId="ListNumber4">
    <w:name w:val="List Number 4"/>
    <w:basedOn w:val="List4"/>
    <w:rsid w:val="00AC04F0"/>
    <w:pPr>
      <w:numPr>
        <w:numId w:val="6"/>
      </w:numPr>
    </w:pPr>
  </w:style>
  <w:style w:type="paragraph" w:styleId="ListNumber5">
    <w:name w:val="List Number 5"/>
    <w:basedOn w:val="List5"/>
    <w:rsid w:val="00AC04F0"/>
    <w:pPr>
      <w:numPr>
        <w:numId w:val="7"/>
      </w:numPr>
    </w:pPr>
  </w:style>
  <w:style w:type="paragraph" w:styleId="BlockText">
    <w:name w:val="Block Text"/>
    <w:basedOn w:val="Normal"/>
    <w:rsid w:val="00AC04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C04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C04F0"/>
    <w:rPr>
      <w:sz w:val="16"/>
      <w:vertAlign w:val="superscript"/>
    </w:rPr>
  </w:style>
  <w:style w:type="character" w:customStyle="1" w:styleId="Symbols">
    <w:name w:val="Symbols"/>
    <w:basedOn w:val="DefaultParagraphFont"/>
    <w:rsid w:val="00AC04F0"/>
    <w:rPr>
      <w:rFonts w:ascii="Symbol" w:hAnsi="Symbol"/>
    </w:rPr>
  </w:style>
  <w:style w:type="character" w:customStyle="1" w:styleId="MenuOptions">
    <w:name w:val="Menu Options"/>
    <w:basedOn w:val="DefaultParagraphFont"/>
    <w:rsid w:val="00AC04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C04F0"/>
    <w:rPr>
      <w:b/>
    </w:rPr>
  </w:style>
  <w:style w:type="character" w:customStyle="1" w:styleId="Underlined">
    <w:name w:val="Underlined"/>
    <w:basedOn w:val="DefaultParagraphFont"/>
    <w:rsid w:val="00AC04F0"/>
    <w:rPr>
      <w:u w:val="single"/>
    </w:rPr>
  </w:style>
  <w:style w:type="paragraph" w:customStyle="1" w:styleId="TableBodyTextRight">
    <w:name w:val="Table Body Text Right"/>
    <w:basedOn w:val="TableBodyText"/>
    <w:rsid w:val="00AC04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C04F0"/>
    <w:rPr>
      <w:sz w:val="18"/>
    </w:rPr>
  </w:style>
  <w:style w:type="paragraph" w:customStyle="1" w:styleId="BodySmallRight">
    <w:name w:val="Body Small Right"/>
    <w:basedOn w:val="BodyTextRight"/>
    <w:rsid w:val="00AC04F0"/>
    <w:rPr>
      <w:sz w:val="18"/>
      <w:szCs w:val="18"/>
    </w:rPr>
  </w:style>
  <w:style w:type="paragraph" w:customStyle="1" w:styleId="MarginEdition">
    <w:name w:val="Margin Edition"/>
    <w:basedOn w:val="MarginNote"/>
    <w:rsid w:val="00AC04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C04F0"/>
    <w:rPr>
      <w:sz w:val="2"/>
      <w:szCs w:val="2"/>
    </w:rPr>
  </w:style>
  <w:style w:type="character" w:customStyle="1" w:styleId="Small">
    <w:name w:val="Small"/>
    <w:basedOn w:val="DefaultParagraphFont"/>
    <w:rsid w:val="00AC04F0"/>
    <w:rPr>
      <w:sz w:val="16"/>
    </w:rPr>
  </w:style>
  <w:style w:type="paragraph" w:customStyle="1" w:styleId="WideTable">
    <w:name w:val="Wide Table"/>
    <w:basedOn w:val="Normal"/>
    <w:rsid w:val="00AC04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C04F0"/>
  </w:style>
  <w:style w:type="paragraph" w:styleId="Quote">
    <w:name w:val="Quote"/>
    <w:basedOn w:val="Heading1"/>
    <w:link w:val="QuoteChar"/>
    <w:qFormat/>
    <w:rsid w:val="00AC04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C04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C04F0"/>
    <w:pPr>
      <w:pageBreakBefore/>
    </w:pPr>
  </w:style>
  <w:style w:type="paragraph" w:customStyle="1" w:styleId="Border">
    <w:name w:val="Border"/>
    <w:basedOn w:val="Normal"/>
    <w:qFormat/>
    <w:rsid w:val="00AC04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C04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04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04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C04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C04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C04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C04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C04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C04F0"/>
    <w:rPr>
      <w:u w:val="single"/>
    </w:rPr>
  </w:style>
  <w:style w:type="character" w:customStyle="1" w:styleId="BoldandItalics">
    <w:name w:val="Bold and Italics"/>
    <w:qFormat/>
    <w:rsid w:val="00AC04F0"/>
    <w:rPr>
      <w:b/>
      <w:i/>
      <w:u w:val="none"/>
    </w:rPr>
  </w:style>
  <w:style w:type="paragraph" w:styleId="BalloonText">
    <w:name w:val="Balloon Text"/>
    <w:basedOn w:val="Normal"/>
    <w:link w:val="BalloonTextChar"/>
    <w:rsid w:val="00AC04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C04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C04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C04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C04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C04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C04F0"/>
    <w:pPr>
      <w:spacing w:before="0" w:after="0"/>
    </w:pPr>
  </w:style>
  <w:style w:type="paragraph" w:customStyle="1" w:styleId="BodyTextBold">
    <w:name w:val="Body Text Bold"/>
    <w:basedOn w:val="BodyText"/>
    <w:qFormat/>
    <w:rsid w:val="00AC04F0"/>
    <w:rPr>
      <w:b/>
    </w:rPr>
  </w:style>
  <w:style w:type="character" w:styleId="Hyperlink">
    <w:name w:val="Hyperlink"/>
    <w:basedOn w:val="DefaultParagraphFont"/>
    <w:uiPriority w:val="99"/>
    <w:unhideWhenUsed/>
    <w:rsid w:val="00C877D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858</Words>
  <Characters>5692</Characters>
  <Application>Microsoft Office Word</Application>
  <DocSecurity>0</DocSecurity>
  <Lines>183</Lines>
  <Paragraphs>107</Paragraphs>
  <ScaleCrop>false</ScaleCrop>
  <Company>Author-it Software Corporation Ltd.</Company>
  <LinksUpToDate>false</LinksUpToDate>
  <CharactersWithSpaces>6443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UEPOPS370 Facilitate the use of contingency plans for power generation facilities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2025-03-01T12:40:00Z</dcterms:created>
  <dcterms:modified xsi:type="dcterms:W3CDTF">2025-03-01T12:40:00Z</dcterms:modified>
</cp:coreProperties>
</file>