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A7D" w:rsidP="00386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UEPOPS357 Operate local L.V. switchgear</w:t>
      </w:r>
      <w:r>
        <w:fldChar w:fldCharType="end"/>
      </w:r>
    </w:p>
    <w:p w:rsidR="00386A7D" w:rsidP="00386A7D">
      <w:pPr>
        <w:pStyle w:val="Version"/>
        <w:sectPr w:rsidSect="006C31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199" w:rsidP="006C3199">
      <w:pPr>
        <w:pStyle w:val="SuperHeading"/>
      </w:pPr>
      <w:r w:rsidRPr="006C3199">
        <w:t>UEPOPS357 Operate local L.V. switchgear</w:t>
      </w:r>
    </w:p>
    <w:p w:rsidR="00000000" w:rsidRPr="006C3199" w:rsidP="006C3199">
      <w:pPr>
        <w:pStyle w:val="Heading1"/>
      </w:pPr>
      <w:bookmarkStart w:id="1" w:name="O_983457"/>
      <w:bookmarkEnd w:id="1"/>
      <w:r w:rsidRPr="006C31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rPr>
                <w:rStyle w:val="SpecialBold"/>
              </w:rPr>
              <w:t>Release 1</w:t>
            </w:r>
            <w:r w:rsidRPr="006C3199">
              <w:t>. This is the first release of this unit of competency in the UEP Generation Training Package.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2" w:name="O_983458"/>
      <w:bookmarkEnd w:id="2"/>
      <w:r w:rsidRPr="006C31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t>This unit involves the skills and knowledge required to undertake the local operation of Low Voltage</w:t>
            </w:r>
            <w:r w:rsidRPr="006C3199">
              <w:t xml:space="preserve"> (L.V.) switchgear. </w:t>
            </w:r>
          </w:p>
          <w:p w:rsidR="00000000" w:rsidRPr="006C3199" w:rsidP="006C3199">
            <w:pPr>
              <w:pStyle w:val="BodyText"/>
            </w:pPr>
            <w:r w:rsidRPr="006C3199">
              <w:t>An L.V. switchgear is a combination of electrical disconnect switches, fuses or circuit breakers used to control, protect and isolate electrical equipment. Switchgears de-energise equipment to allow work to be undertaken and to clear f</w:t>
            </w:r>
            <w:r w:rsidRPr="006C3199">
              <w:t xml:space="preserve">aults downstream in electricity power systems. </w:t>
            </w:r>
          </w:p>
          <w:p w:rsidR="00000000" w:rsidRPr="006C3199" w:rsidP="006C3199">
            <w:pPr>
              <w:pStyle w:val="BodyText"/>
            </w:pPr>
            <w:r w:rsidRPr="006C3199">
              <w:t>Competency in this unit requires the ability to plan and prepare L.V. secondary switchgear, operating switchgear and validating, testing and reporting on L.V. switchgear integrity. Individuals will, in genera</w:t>
            </w:r>
            <w:r w:rsidRPr="006C3199">
              <w:t>l, work under supervision, in a power generation facility as an operator.</w:t>
            </w:r>
          </w:p>
          <w:p w:rsidR="00000000" w:rsidRPr="006C3199" w:rsidP="006C3199">
            <w:pPr>
              <w:pStyle w:val="BodyText"/>
            </w:pPr>
            <w:r w:rsidRPr="006C3199">
              <w:t>Power generation plant operators are typically trained and authorised to isolate, prepare plant and issue permits to work.</w:t>
            </w:r>
          </w:p>
          <w:p w:rsidR="00000000" w:rsidRPr="006C3199" w:rsidP="006C3199">
            <w:pPr>
              <w:pStyle w:val="BodyText"/>
            </w:pPr>
            <w:r w:rsidRPr="006C3199">
              <w:t>No licensing, legislative or certification requirements app</w:t>
            </w:r>
            <w:r w:rsidRPr="006C3199">
              <w:t>ly to this unit at the time of publication.</w:t>
            </w:r>
          </w:p>
          <w:p w:rsidR="00000000" w:rsidRPr="006C3199" w:rsidP="006C3199">
            <w:pPr>
              <w:pStyle w:val="BodyText"/>
            </w:pPr>
            <w:r w:rsidRPr="006C3199">
              <w:rPr>
                <w:rStyle w:val="SpecialBold"/>
              </w:rPr>
              <w:t>Note: Workplace practice</w:t>
            </w:r>
          </w:p>
          <w:p w:rsidR="00000000" w:rsidRPr="006C3199" w:rsidP="006C3199">
            <w:pPr>
              <w:pStyle w:val="BodyText"/>
            </w:pPr>
            <w:r w:rsidRPr="006C3199">
              <w:t>The application of the skills and knowledge described in this unit may require a licence or training permit to practice in the workplace where work is carried out on gas and electrical in</w:t>
            </w:r>
            <w:r w:rsidRPr="006C3199">
              <w:t>stallations. Additional conditions may apply under state and territory legislative and regulatory licensing requirements.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3" w:name="O_983459"/>
      <w:bookmarkEnd w:id="3"/>
      <w:r w:rsidRPr="006C31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t>There are no prerequisite units.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4" w:name="O_983460"/>
      <w:bookmarkEnd w:id="4"/>
      <w:r w:rsidRPr="006C31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t>Operations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5" w:name="O_983461"/>
      <w:bookmarkEnd w:id="5"/>
      <w:r w:rsidRPr="006C31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t>Electricity generation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6" w:name="O_983462"/>
      <w:bookmarkEnd w:id="6"/>
      <w:r w:rsidRPr="006C319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PERFORMANCE CRITERIA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Performance criteria describe the performance needed to demonstrate achievement of the element.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rPr>
                <w:rStyle w:val="SpecialBold"/>
              </w:rPr>
              <w:t>Prepare to operate Low Voltage</w:t>
            </w:r>
            <w:r w:rsidRPr="006C3199">
              <w:t xml:space="preserve"> </w:t>
            </w:r>
            <w:r w:rsidRPr="006C3199">
              <w:rPr>
                <w:rStyle w:val="SpecialBold"/>
              </w:rPr>
              <w:t>(L.V.) switchgear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Work requirements are identified and confirmed with appropriate personnel, in accordance with workplac</w:t>
            </w:r>
            <w:r w:rsidRPr="006C3199">
              <w:t>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 xml:space="preserve"> Safety precautions when operating Low Voltage (L.V.) switchgears are identified, in accordance with Work, Health and Safety (WHS)/Occupational Health and Safety (OHS) regulations, legislative requirements, industry standards, manufactu</w:t>
            </w:r>
            <w:r w:rsidRPr="006C3199">
              <w:t xml:space="preserve">rers’ specifications and workplace procedures 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Location of L.V. switchgear is determined from relevant drawings, plans and maps, in accordance with workplace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Switchgear type and operating procedure is identified, in accordance with workplace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L.V. switchgear condition is assessed for safe operation, in accordance with workplace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Related L.V. switchgear protection is suppressed,</w:t>
            </w:r>
            <w:r w:rsidRPr="006C3199">
              <w:t xml:space="preserve"> if and where necessary, in accordance with workplace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t xml:space="preserve"> </w:t>
            </w:r>
            <w:r w:rsidRPr="006C3199">
              <w:rPr>
                <w:rStyle w:val="SpecialBold"/>
              </w:rPr>
              <w:t>Conduct L.V. switchgear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Mechanical operation and limitations of L.V switchgear are identified, in accordance with workplace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Implications of L.V. switchgear actions are identified, in accordance with workplace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L.V. switchgear is operated and required status is confirmed, in accordance with workplace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Racking, testing, isolation, circuit earthing and reinstatement processes are carried out, in accordance with Work, Health and Safety (WHS)/Occupational Health and Safety (OHS) regulations, legislative requirements, industry standards, manufacturers</w:t>
            </w:r>
            <w:r>
              <w:t>’</w:t>
            </w:r>
            <w:r w:rsidRPr="006C3199">
              <w:t xml:space="preserve"> recom</w:t>
            </w:r>
            <w:r w:rsidRPr="006C3199">
              <w:t>mendations and workplace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 xml:space="preserve">Test equipment’s integrity is confirmed, and L.V. switchgear circuit is de-energised, in accordance with </w:t>
            </w:r>
            <w:r w:rsidRPr="006C3199">
              <w:t>workplace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rPr>
                <w:rStyle w:val="SpecialBold"/>
              </w:rPr>
              <w:t>Validate and report L.V.</w:t>
            </w:r>
            <w:r w:rsidRPr="006C3199">
              <w:t xml:space="preserve"> </w:t>
            </w:r>
            <w:r w:rsidRPr="006C3199">
              <w:rPr>
                <w:rStyle w:val="SpecialBold"/>
              </w:rPr>
              <w:t>switchgear integrity</w:t>
            </w:r>
            <w:r w:rsidRPr="006C3199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L.V. switchgear is inspected for safe operation, in accordance with workplace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L.V. switchgear environment is inspected to ensure statutory and workplace requirements are met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L.V. switchgear plant problems, mo</w:t>
            </w:r>
            <w:r w:rsidRPr="006C3199">
              <w:t>vements and status are reported, in accordance with workplace procedures</w:t>
            </w:r>
          </w:p>
        </w:tc>
      </w:tr>
      <w:tr w:rsidTr="006C31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t>Documentation is updated, in accordance with workplace procedures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7" w:name="O_983463"/>
      <w:bookmarkEnd w:id="7"/>
      <w:r w:rsidRPr="006C31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t>Foundation skills essential to performance are explicit in the performance criteria of this unit of competency.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8" w:name="O_983464"/>
      <w:bookmarkEnd w:id="8"/>
      <w:r w:rsidRPr="006C31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t>Range is restricted to essential operating conditions and any other variables essential to the work envir</w:t>
            </w:r>
            <w:r w:rsidRPr="006C3199">
              <w:t>onment.</w:t>
            </w:r>
          </w:p>
          <w:p w:rsidR="00000000" w:rsidRPr="006C3199" w:rsidP="006C3199">
            <w:pPr>
              <w:pStyle w:val="BodyText"/>
            </w:pPr>
            <w:r w:rsidRPr="006C3199">
              <w:t>Non-essential conditions may be found in the Companion Volume Implementation Guide.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9" w:name="O_983465"/>
      <w:bookmarkEnd w:id="9"/>
      <w:r w:rsidRPr="006C31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t>This unit replaces and is equivalent to UEPOPS357B Operate local L.V. switchgear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10" w:name="O_983472"/>
      <w:bookmarkEnd w:id="10"/>
      <w:r w:rsidRPr="006C3199">
        <w:t>Links</w:t>
      </w:r>
    </w:p>
    <w:p w:rsidR="00000000" w:rsidRPr="006C3199" w:rsidP="00386A7D">
      <w:pPr>
        <w:pStyle w:val="BodyText"/>
      </w:pPr>
      <w:r w:rsidRPr="006C3199">
        <w:t>Companion Volu</w:t>
      </w:r>
      <w:r w:rsidRPr="006C3199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A221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C3199" w:rsidP="00386A7D">
      <w:pPr>
        <w:pStyle w:val="BodyText"/>
        <w:sectPr w:rsidSect="006C31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3199" w:rsidP="006C3199">
      <w:pPr>
        <w:pStyle w:val="SuperHeading"/>
      </w:pPr>
      <w:r w:rsidRPr="006C3199">
        <w:t>Assessment Requirements for UEPOPS357 Operate local L.V. switchgear</w:t>
      </w:r>
    </w:p>
    <w:p w:rsidR="00000000" w:rsidRPr="006C3199" w:rsidP="006C3199">
      <w:pPr>
        <w:pStyle w:val="Heading1"/>
      </w:pPr>
      <w:bookmarkStart w:id="11" w:name="O_983467"/>
      <w:bookmarkEnd w:id="11"/>
      <w:r w:rsidRPr="006C31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t>Release 1. This is the first release of this unit of competency in the UEP Generation Training Package.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12" w:name="O_983468"/>
      <w:bookmarkEnd w:id="12"/>
      <w:r w:rsidRPr="006C319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Evidence required to demonstrate competence in this unit must be relevant to and sa</w:t>
            </w:r>
            <w:r w:rsidRPr="006C3199">
              <w:t xml:space="preserve">tisfy all the requirements of the elements, performance criteria and range of conditions on at least two separate occasions and includes: </w:t>
            </w:r>
          </w:p>
        </w:tc>
      </w:tr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ListBullet"/>
            </w:pPr>
            <w:r w:rsidRPr="006C3199">
              <w:t>applying Work, Health and Safety (WHS)/Occupational Health and Safety (OHS) regulations including:</w:t>
            </w:r>
          </w:p>
          <w:p w:rsidR="00000000" w:rsidRPr="006C3199" w:rsidP="006C3199">
            <w:pPr>
              <w:pStyle w:val="ListBullet2"/>
            </w:pPr>
            <w:r w:rsidRPr="006C3199">
              <w:t>emergency proce</w:t>
            </w:r>
            <w:r w:rsidRPr="006C3199">
              <w:t xml:space="preserve">dures </w:t>
            </w:r>
          </w:p>
          <w:p w:rsidR="00000000" w:rsidRPr="006C3199" w:rsidP="006C3199">
            <w:pPr>
              <w:pStyle w:val="ListBullet2"/>
            </w:pPr>
            <w:r w:rsidRPr="006C3199">
              <w:t>Personal Protective Equipment (PPE)</w:t>
            </w:r>
          </w:p>
          <w:p w:rsidR="00000000" w:rsidRPr="006C3199" w:rsidP="006C3199">
            <w:pPr>
              <w:pStyle w:val="ListBullet2"/>
            </w:pPr>
            <w:r w:rsidRPr="006C3199">
              <w:t>risk control measures</w:t>
            </w:r>
          </w:p>
          <w:p w:rsidR="00000000" w:rsidRPr="006C3199" w:rsidP="006C3199">
            <w:pPr>
              <w:pStyle w:val="ListBullet2"/>
            </w:pPr>
            <w:r w:rsidRPr="006C3199">
              <w:t xml:space="preserve">safe working practices </w:t>
            </w:r>
          </w:p>
          <w:p w:rsidR="00000000" w:rsidRPr="006C3199" w:rsidP="006C3199">
            <w:pPr>
              <w:pStyle w:val="ListBullet"/>
            </w:pPr>
            <w:r w:rsidRPr="006C3199">
              <w:t xml:space="preserve">communicating with personnel  </w:t>
            </w:r>
          </w:p>
          <w:p w:rsidR="00000000" w:rsidRPr="006C3199" w:rsidP="006C3199">
            <w:pPr>
              <w:pStyle w:val="ListBullet"/>
            </w:pPr>
            <w:r w:rsidRPr="006C3199">
              <w:t xml:space="preserve">completing documentation </w:t>
            </w:r>
          </w:p>
          <w:p w:rsidR="00000000" w:rsidRPr="006C3199" w:rsidP="006C3199">
            <w:pPr>
              <w:pStyle w:val="ListBullet"/>
            </w:pPr>
            <w:r w:rsidRPr="006C3199">
              <w:t>conducting isolation and earthing procedures</w:t>
            </w:r>
          </w:p>
          <w:p w:rsidR="00000000" w:rsidRPr="006C3199" w:rsidP="006C3199">
            <w:pPr>
              <w:pStyle w:val="ListBullet"/>
            </w:pPr>
            <w:r w:rsidRPr="006C3199">
              <w:t>identifying status of L.V. switchgear</w:t>
            </w:r>
          </w:p>
          <w:p w:rsidR="00000000" w:rsidRPr="006C3199" w:rsidP="006C3199">
            <w:pPr>
              <w:pStyle w:val="ListBullet"/>
            </w:pPr>
            <w:r w:rsidRPr="006C3199">
              <w:t xml:space="preserve">implementing legislation, industry standards, codes of practice and regulations </w:t>
            </w:r>
          </w:p>
          <w:p w:rsidR="00000000" w:rsidRPr="006C3199" w:rsidP="006C3199">
            <w:pPr>
              <w:pStyle w:val="ListBullet"/>
            </w:pPr>
            <w:r w:rsidRPr="006C3199">
              <w:t xml:space="preserve">operating Low Voltage (L.V.) secondary switchgear using plant drawings and plans </w:t>
            </w:r>
          </w:p>
          <w:p w:rsidR="00000000" w:rsidRPr="006C3199" w:rsidP="006C3199">
            <w:pPr>
              <w:pStyle w:val="ListBullet"/>
            </w:pPr>
            <w:r w:rsidRPr="006C3199">
              <w:t>planning L.V. secondary switchgear work</w:t>
            </w:r>
          </w:p>
          <w:p w:rsidR="00000000" w:rsidRPr="006C3199" w:rsidP="006C3199">
            <w:pPr>
              <w:pStyle w:val="ListBullet"/>
            </w:pPr>
            <w:r w:rsidRPr="006C3199">
              <w:t>preparing and operating L.V. secondary switchgear pro</w:t>
            </w:r>
            <w:r w:rsidRPr="006C3199">
              <w:t xml:space="preserve">tection equipment </w:t>
            </w:r>
          </w:p>
          <w:p w:rsidR="00000000" w:rsidRPr="006C3199" w:rsidP="006C3199">
            <w:pPr>
              <w:pStyle w:val="ListBullet"/>
            </w:pPr>
            <w:r w:rsidRPr="006C3199">
              <w:t>recognising abnormal switchgear operations</w:t>
            </w:r>
          </w:p>
          <w:p w:rsidR="00000000" w:rsidRPr="006C3199" w:rsidP="006C3199">
            <w:pPr>
              <w:pStyle w:val="ListBullet"/>
            </w:pPr>
            <w:r w:rsidRPr="006C3199">
              <w:t>using manufacturers</w:t>
            </w:r>
            <w:r>
              <w:t>’</w:t>
            </w:r>
            <w:r w:rsidRPr="006C3199">
              <w:t xml:space="preserve"> specifications and manuals </w:t>
            </w:r>
          </w:p>
          <w:p w:rsidR="00000000" w:rsidRPr="006C3199" w:rsidP="006C3199">
            <w:pPr>
              <w:pStyle w:val="ListBullet"/>
            </w:pPr>
            <w:r w:rsidRPr="006C3199">
              <w:t xml:space="preserve">validating switchgear integrity </w:t>
            </w:r>
          </w:p>
          <w:p w:rsidR="00000000" w:rsidRPr="006C3199" w:rsidP="006C3199">
            <w:pPr>
              <w:pStyle w:val="ListBullet"/>
            </w:pPr>
            <w:r w:rsidRPr="006C3199">
              <w:t>working with permit to work system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13" w:name="O_983469"/>
      <w:bookmarkEnd w:id="13"/>
      <w:r w:rsidRPr="006C319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99">
            <w:pPr>
              <w:pStyle w:val="BodyText"/>
              <w:rPr>
                <w:lang w:val="en-NZ"/>
              </w:rPr>
            </w:pPr>
            <w:r w:rsidRPr="006C3199">
              <w:t>Evidence required to demonstrate c</w:t>
            </w:r>
            <w:r w:rsidRPr="006C3199">
              <w:t xml:space="preserve">ompetence in this unit must be relevant to and satisfy all the requirements of the elements, performance criteria and range of conditions and includes knowledge of: </w:t>
            </w:r>
          </w:p>
        </w:tc>
      </w:tr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ListBullet"/>
            </w:pPr>
            <w:r w:rsidRPr="006C3199">
              <w:t>abnormal secondary switchgear operations</w:t>
            </w:r>
          </w:p>
          <w:p w:rsidR="00000000" w:rsidRPr="006C3199" w:rsidP="006C3199">
            <w:pPr>
              <w:pStyle w:val="ListBullet"/>
            </w:pPr>
            <w:r w:rsidRPr="006C3199">
              <w:t>isolation and earthing procedures</w:t>
            </w:r>
          </w:p>
          <w:p w:rsidR="00000000" w:rsidRPr="006C3199" w:rsidP="006C3199">
            <w:pPr>
              <w:pStyle w:val="ListBullet"/>
            </w:pPr>
            <w:r w:rsidRPr="006C3199">
              <w:t>L.V. secondar</w:t>
            </w:r>
            <w:r w:rsidRPr="006C3199">
              <w:t>y switchgear operations</w:t>
            </w:r>
          </w:p>
          <w:p w:rsidR="00000000" w:rsidRPr="006C3199" w:rsidP="006C3199">
            <w:pPr>
              <w:pStyle w:val="ListBullet"/>
            </w:pPr>
            <w:r w:rsidRPr="006C3199">
              <w:t>legislation, industry standards, codes of practice and regulations</w:t>
            </w:r>
          </w:p>
          <w:p w:rsidR="00000000" w:rsidRPr="006C3199" w:rsidP="006C3199">
            <w:pPr>
              <w:pStyle w:val="ListBullet"/>
            </w:pPr>
            <w:r w:rsidRPr="006C3199">
              <w:t>manufacturers</w:t>
            </w:r>
            <w:r>
              <w:t>’</w:t>
            </w:r>
            <w:r w:rsidRPr="006C3199">
              <w:t xml:space="preserve"> specifications and manuals</w:t>
            </w:r>
          </w:p>
          <w:p w:rsidR="00000000" w:rsidRPr="006C3199" w:rsidP="006C3199">
            <w:pPr>
              <w:pStyle w:val="ListBullet"/>
            </w:pPr>
            <w:r w:rsidRPr="006C3199">
              <w:t>permit to work system</w:t>
            </w:r>
          </w:p>
          <w:p w:rsidR="00000000" w:rsidRPr="006C3199" w:rsidP="006C3199">
            <w:pPr>
              <w:pStyle w:val="ListBullet"/>
            </w:pPr>
            <w:r w:rsidRPr="006C3199">
              <w:t xml:space="preserve">power generating plant, equipment and its location  </w:t>
            </w:r>
          </w:p>
          <w:p w:rsidR="00000000" w:rsidRPr="006C3199" w:rsidP="006C3199">
            <w:pPr>
              <w:pStyle w:val="ListBullet"/>
            </w:pPr>
            <w:r w:rsidRPr="006C3199">
              <w:t>typical arrangements for power generation plant</w:t>
            </w:r>
          </w:p>
          <w:p w:rsidR="00000000" w:rsidRPr="006C3199" w:rsidP="006C3199">
            <w:pPr>
              <w:pStyle w:val="ListBullet"/>
            </w:pPr>
            <w:r w:rsidRPr="006C3199">
              <w:t>WHS/ OHS regulations including:</w:t>
            </w:r>
          </w:p>
          <w:p w:rsidR="00000000" w:rsidRPr="006C3199" w:rsidP="006C3199">
            <w:pPr>
              <w:pStyle w:val="ListBullet2"/>
            </w:pPr>
            <w:r w:rsidRPr="006C3199">
              <w:t xml:space="preserve">emergency procedures </w:t>
            </w:r>
          </w:p>
          <w:p w:rsidR="00000000" w:rsidRPr="006C3199" w:rsidP="006C3199">
            <w:pPr>
              <w:pStyle w:val="ListBullet2"/>
            </w:pPr>
            <w:r w:rsidRPr="006C3199">
              <w:t>Personal Protective Equipment (PPE)</w:t>
            </w:r>
          </w:p>
          <w:p w:rsidR="00000000" w:rsidRPr="006C3199" w:rsidP="006C3199">
            <w:pPr>
              <w:pStyle w:val="ListBullet2"/>
            </w:pPr>
            <w:r w:rsidRPr="006C3199">
              <w:t>risk control measures</w:t>
            </w:r>
          </w:p>
          <w:p w:rsidR="00000000" w:rsidRPr="006C3199" w:rsidP="006C3199">
            <w:pPr>
              <w:pStyle w:val="ListBullet2"/>
            </w:pPr>
            <w:r w:rsidRPr="006C3199">
              <w:t xml:space="preserve">safe working practices </w:t>
            </w:r>
          </w:p>
          <w:p w:rsidR="00000000" w:rsidRPr="006C3199" w:rsidP="006C3199">
            <w:pPr>
              <w:pStyle w:val="ListBullet"/>
            </w:pPr>
            <w:r w:rsidRPr="006C3199">
              <w:t xml:space="preserve">workplace documentation </w:t>
            </w:r>
          </w:p>
          <w:p w:rsidR="00000000" w:rsidRPr="006C3199" w:rsidP="006C3199">
            <w:pPr>
              <w:pStyle w:val="ListBullet"/>
            </w:pPr>
            <w:r w:rsidRPr="006C3199">
              <w:t>workplace policies and procedures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14" w:name="O_983470"/>
      <w:bookmarkEnd w:id="14"/>
      <w:r w:rsidRPr="006C319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1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99" w:rsidP="006C3199">
            <w:pPr>
              <w:pStyle w:val="BodyText"/>
            </w:pPr>
            <w:r w:rsidRPr="006C319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C3199" w:rsidP="006C3199">
            <w:pPr>
              <w:pStyle w:val="BodyText"/>
            </w:pPr>
            <w:r w:rsidRPr="006C3199">
              <w:t>As a minimum, assessment must satisfy applicable regulatory requi</w:t>
            </w:r>
            <w:r w:rsidRPr="006C3199">
              <w:t>rements, which include requirements in the Standards for Registered Training Organisations current at the time of assessment.</w:t>
            </w:r>
          </w:p>
          <w:p w:rsidR="00000000" w:rsidRPr="006C3199" w:rsidP="006C3199">
            <w:pPr>
              <w:pStyle w:val="BodyText"/>
            </w:pPr>
            <w:r w:rsidRPr="006C3199">
              <w:t>Assessment processes and techniques must be appropriate to the language, literacy and numeracy requirements of the work being perf</w:t>
            </w:r>
            <w:r w:rsidRPr="006C3199">
              <w:t>ormed and the needs of the candidate.</w:t>
            </w:r>
          </w:p>
          <w:p w:rsidR="00000000" w:rsidRPr="006C3199" w:rsidP="006C3199">
            <w:pPr>
              <w:pStyle w:val="BodyText"/>
            </w:pPr>
            <w:r w:rsidRPr="006C3199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6C3199" w:rsidP="006C3199">
            <w:pPr>
              <w:pStyle w:val="BodyText"/>
            </w:pPr>
            <w:r w:rsidRPr="006C3199">
              <w:t xml:space="preserve">Resources for assessment </w:t>
            </w:r>
            <w:r w:rsidRPr="006C3199">
              <w:t>must include access to:</w:t>
            </w:r>
          </w:p>
          <w:p w:rsidR="00000000" w:rsidRPr="006C3199" w:rsidP="006C3199">
            <w:pPr>
              <w:pStyle w:val="ListBullet"/>
            </w:pPr>
            <w:r w:rsidRPr="006C3199">
              <w:t>a range of relevant exercises, case studies and/or other simulations</w:t>
            </w:r>
          </w:p>
          <w:p w:rsidR="00000000" w:rsidRPr="006C3199" w:rsidP="006C3199">
            <w:pPr>
              <w:pStyle w:val="ListBullet"/>
            </w:pPr>
            <w:r w:rsidRPr="006C3199">
              <w:t xml:space="preserve">relevant and appropriate materials, tools, equipment and personal protective equipment currently used in industry </w:t>
            </w:r>
          </w:p>
          <w:p w:rsidR="00000000" w:rsidRPr="006C3199" w:rsidP="006C3199">
            <w:pPr>
              <w:pStyle w:val="ListBullet"/>
            </w:pPr>
            <w:r w:rsidRPr="006C3199">
              <w:t>applicable documentation including workplace pr</w:t>
            </w:r>
            <w:r w:rsidRPr="006C3199">
              <w:t>ocedures, industry standards, equipment specifications, regulations, codes of practice and operation manuals.</w:t>
            </w:r>
          </w:p>
        </w:tc>
      </w:tr>
    </w:tbl>
    <w:p w:rsidR="00000000" w:rsidRPr="006C3199" w:rsidP="006C3199">
      <w:pPr>
        <w:pStyle w:val="NoPaddingFontSize1"/>
      </w:pPr>
    </w:p>
    <w:p w:rsidR="00000000" w:rsidRPr="006C3199" w:rsidP="006C3199">
      <w:pPr>
        <w:pStyle w:val="AllowPageBreak"/>
      </w:pPr>
    </w:p>
    <w:p w:rsidR="00000000" w:rsidRPr="006C3199" w:rsidP="006C3199">
      <w:pPr>
        <w:pStyle w:val="Heading1"/>
      </w:pPr>
      <w:bookmarkStart w:id="15" w:name="O_983473"/>
      <w:bookmarkEnd w:id="15"/>
      <w:r w:rsidRPr="006C3199">
        <w:t>Links</w:t>
      </w:r>
    </w:p>
    <w:p w:rsidR="00000000" w:rsidRPr="006C3199" w:rsidP="00386A7D">
      <w:pPr>
        <w:pStyle w:val="BodyText"/>
      </w:pPr>
      <w:r w:rsidRPr="006C3199">
        <w:t>Companion Volume implementation guides are found</w:t>
      </w:r>
      <w:r w:rsidRPr="006C3199">
        <w:t xml:space="preserve">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A221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C3199" w:rsidP="006C3199"/>
    <w:sectPr w:rsidSect="006C31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99" w:rsidRPr="00386A7D" w:rsidP="00386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A7D" w:rsidP="006C3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A7D" w:rsidP="006C3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86A7D" w:rsidP="006C31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99" w:rsidP="006C3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6A7D">
      <w:t>Approved</w:t>
    </w:r>
    <w:r w:rsidR="00386A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6A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6A7D">
      <w:rPr>
        <w:noProof/>
      </w:rPr>
      <w:t>4</w:t>
    </w:r>
    <w:r>
      <w:rPr>
        <w:noProof/>
      </w:rPr>
      <w:fldChar w:fldCharType="end"/>
    </w:r>
  </w:p>
  <w:p w:rsidR="006C3199" w:rsidP="006C3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6A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6A7D">
      <w:t>Powering Skills Organisation</w:t>
    </w:r>
    <w:r w:rsidR="00386A7D">
      <w:fldChar w:fldCharType="end"/>
    </w:r>
  </w:p>
  <w:p w:rsidR="006C3199" w:rsidP="006C31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199" w:rsidRPr="00386A7D" w:rsidP="00386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A7D" w:rsidRPr="002D2AF8" w:rsidP="006C3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UEPOPS357 Operate local L.V.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6A7D" w:rsidP="006C31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99" w:rsidRPr="002D2AF8" w:rsidP="006C3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6A7D">
      <w:t>UEPOPS357 Operate local L.V. switchgear</w:t>
    </w:r>
    <w:r w:rsidR="00386A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6A7D">
      <w:rPr>
        <w:noProof/>
      </w:rPr>
      <w:t>2 March 2025</w:t>
    </w:r>
    <w:r>
      <w:fldChar w:fldCharType="end"/>
    </w:r>
  </w:p>
  <w:p w:rsidR="006C3199" w:rsidP="006C31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1079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789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3CCC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1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1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1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1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1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1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1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1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1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1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1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199"/>
  </w:style>
  <w:style w:type="character" w:customStyle="1" w:styleId="Heading1Char">
    <w:name w:val="Heading 1 Char"/>
    <w:basedOn w:val="DefaultParagraphFont"/>
    <w:link w:val="Heading1"/>
    <w:rsid w:val="006C31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1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1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1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199"/>
    <w:rPr>
      <w:b/>
      <w:spacing w:val="0"/>
    </w:rPr>
  </w:style>
  <w:style w:type="paragraph" w:styleId="ListBullet2">
    <w:name w:val="List Bullet 2"/>
    <w:basedOn w:val="List2"/>
    <w:rsid w:val="006C31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1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1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31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1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1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1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1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1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1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1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1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1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1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1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1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1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1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1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1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1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1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1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1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1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1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1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1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1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1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1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199"/>
    <w:rPr>
      <w:i/>
    </w:rPr>
  </w:style>
  <w:style w:type="paragraph" w:styleId="Caption">
    <w:name w:val="caption"/>
    <w:basedOn w:val="BodyText"/>
    <w:next w:val="Normal"/>
    <w:qFormat/>
    <w:rsid w:val="006C31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1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1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199"/>
  </w:style>
  <w:style w:type="paragraph" w:styleId="TableofFigures">
    <w:name w:val="table of figures"/>
    <w:basedOn w:val="Normal"/>
    <w:next w:val="Normal"/>
    <w:semiHidden/>
    <w:rsid w:val="006C31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1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199"/>
    <w:rPr>
      <w:rFonts w:ascii="Wingdings" w:hAnsi="Wingdings"/>
    </w:rPr>
  </w:style>
  <w:style w:type="paragraph" w:customStyle="1" w:styleId="TableHeading">
    <w:name w:val="Table Heading"/>
    <w:basedOn w:val="HeadingBase"/>
    <w:rsid w:val="006C31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199"/>
    <w:rPr>
      <w:color w:val="0033CC"/>
      <w:u w:val="none"/>
    </w:rPr>
  </w:style>
  <w:style w:type="paragraph" w:customStyle="1" w:styleId="BodyTextRight">
    <w:name w:val="Body Text Right"/>
    <w:basedOn w:val="BodyText"/>
    <w:rsid w:val="006C31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1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1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1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1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1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199"/>
    <w:rPr>
      <w:sz w:val="32"/>
    </w:rPr>
  </w:style>
  <w:style w:type="paragraph" w:customStyle="1" w:styleId="HeadingProcedure">
    <w:name w:val="Heading Procedure"/>
    <w:basedOn w:val="HeadingBase"/>
    <w:next w:val="Normal"/>
    <w:rsid w:val="006C31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199"/>
    <w:pPr>
      <w:spacing w:before="60" w:after="60"/>
    </w:pPr>
  </w:style>
  <w:style w:type="paragraph" w:styleId="ListContinue">
    <w:name w:val="List Continue"/>
    <w:basedOn w:val="List"/>
    <w:rsid w:val="006C3199"/>
    <w:pPr>
      <w:ind w:firstLine="0"/>
    </w:pPr>
  </w:style>
  <w:style w:type="paragraph" w:customStyle="1" w:styleId="ListNote">
    <w:name w:val="List Note"/>
    <w:basedOn w:val="List"/>
    <w:rsid w:val="006C31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1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1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199"/>
    <w:rPr>
      <w:rFonts w:ascii="Courier New" w:hAnsi="Courier New"/>
    </w:rPr>
  </w:style>
  <w:style w:type="paragraph" w:customStyle="1" w:styleId="NoteBullet">
    <w:name w:val="Note Bullet"/>
    <w:basedOn w:val="Note"/>
    <w:rsid w:val="006C31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1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1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1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1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1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1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199"/>
    <w:rPr>
      <w:b/>
      <w:smallCaps/>
    </w:rPr>
  </w:style>
  <w:style w:type="paragraph" w:customStyle="1" w:styleId="TableListNumber">
    <w:name w:val="Table List Number"/>
    <w:basedOn w:val="ListNumber"/>
    <w:rsid w:val="006C31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1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199"/>
    <w:pPr>
      <w:numPr>
        <w:numId w:val="9"/>
      </w:numPr>
    </w:pPr>
  </w:style>
  <w:style w:type="paragraph" w:customStyle="1" w:styleId="ListAlpha2">
    <w:name w:val="List Alpha 2"/>
    <w:basedOn w:val="List2"/>
    <w:rsid w:val="006C3199"/>
    <w:pPr>
      <w:numPr>
        <w:numId w:val="8"/>
      </w:numPr>
    </w:pPr>
  </w:style>
  <w:style w:type="paragraph" w:styleId="List2">
    <w:name w:val="List 2"/>
    <w:basedOn w:val="BodyText"/>
    <w:rsid w:val="006C31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1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1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1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1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1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199"/>
    <w:pPr>
      <w:numPr>
        <w:numId w:val="4"/>
      </w:numPr>
    </w:pPr>
  </w:style>
  <w:style w:type="paragraph" w:styleId="ListContinue2">
    <w:name w:val="List Continue 2"/>
    <w:basedOn w:val="List2"/>
    <w:rsid w:val="006C3199"/>
    <w:pPr>
      <w:ind w:firstLine="0"/>
    </w:pPr>
  </w:style>
  <w:style w:type="paragraph" w:styleId="ListContinue3">
    <w:name w:val="List Continue 3"/>
    <w:basedOn w:val="List3"/>
    <w:rsid w:val="006C3199"/>
    <w:pPr>
      <w:ind w:left="1021" w:firstLine="0"/>
    </w:pPr>
  </w:style>
  <w:style w:type="paragraph" w:styleId="ListContinue4">
    <w:name w:val="List Continue 4"/>
    <w:basedOn w:val="List4"/>
    <w:rsid w:val="006C3199"/>
    <w:pPr>
      <w:ind w:firstLine="0"/>
    </w:pPr>
  </w:style>
  <w:style w:type="paragraph" w:styleId="ListContinue5">
    <w:name w:val="List Continue 5"/>
    <w:basedOn w:val="List5"/>
    <w:rsid w:val="006C3199"/>
    <w:pPr>
      <w:ind w:firstLine="0"/>
    </w:pPr>
  </w:style>
  <w:style w:type="paragraph" w:styleId="ListNumber3">
    <w:name w:val="List Number 3"/>
    <w:basedOn w:val="List3"/>
    <w:rsid w:val="006C3199"/>
    <w:pPr>
      <w:numPr>
        <w:numId w:val="5"/>
      </w:numPr>
    </w:pPr>
  </w:style>
  <w:style w:type="paragraph" w:styleId="ListNumber4">
    <w:name w:val="List Number 4"/>
    <w:basedOn w:val="List4"/>
    <w:rsid w:val="006C3199"/>
    <w:pPr>
      <w:numPr>
        <w:numId w:val="6"/>
      </w:numPr>
    </w:pPr>
  </w:style>
  <w:style w:type="paragraph" w:styleId="ListNumber5">
    <w:name w:val="List Number 5"/>
    <w:basedOn w:val="List5"/>
    <w:rsid w:val="006C3199"/>
    <w:pPr>
      <w:numPr>
        <w:numId w:val="7"/>
      </w:numPr>
    </w:pPr>
  </w:style>
  <w:style w:type="paragraph" w:styleId="BlockText">
    <w:name w:val="Block Text"/>
    <w:basedOn w:val="Normal"/>
    <w:rsid w:val="006C31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1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199"/>
    <w:rPr>
      <w:sz w:val="16"/>
      <w:vertAlign w:val="superscript"/>
    </w:rPr>
  </w:style>
  <w:style w:type="character" w:customStyle="1" w:styleId="Symbols">
    <w:name w:val="Symbols"/>
    <w:basedOn w:val="DefaultParagraphFont"/>
    <w:rsid w:val="006C3199"/>
    <w:rPr>
      <w:rFonts w:ascii="Symbol" w:hAnsi="Symbol"/>
    </w:rPr>
  </w:style>
  <w:style w:type="character" w:customStyle="1" w:styleId="MenuOptions">
    <w:name w:val="Menu Options"/>
    <w:basedOn w:val="DefaultParagraphFont"/>
    <w:rsid w:val="006C31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199"/>
    <w:rPr>
      <w:b/>
    </w:rPr>
  </w:style>
  <w:style w:type="character" w:customStyle="1" w:styleId="Underlined">
    <w:name w:val="Underlined"/>
    <w:basedOn w:val="DefaultParagraphFont"/>
    <w:rsid w:val="006C3199"/>
    <w:rPr>
      <w:u w:val="single"/>
    </w:rPr>
  </w:style>
  <w:style w:type="paragraph" w:customStyle="1" w:styleId="TableBodyTextRight">
    <w:name w:val="Table Body Text Right"/>
    <w:basedOn w:val="TableBodyText"/>
    <w:rsid w:val="006C31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199"/>
    <w:rPr>
      <w:sz w:val="18"/>
    </w:rPr>
  </w:style>
  <w:style w:type="paragraph" w:customStyle="1" w:styleId="BodySmallRight">
    <w:name w:val="Body Small Right"/>
    <w:basedOn w:val="BodyTextRight"/>
    <w:rsid w:val="006C3199"/>
    <w:rPr>
      <w:sz w:val="18"/>
      <w:szCs w:val="18"/>
    </w:rPr>
  </w:style>
  <w:style w:type="paragraph" w:customStyle="1" w:styleId="MarginEdition">
    <w:name w:val="Margin Edition"/>
    <w:basedOn w:val="MarginNote"/>
    <w:rsid w:val="006C31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199"/>
    <w:rPr>
      <w:sz w:val="2"/>
      <w:szCs w:val="2"/>
    </w:rPr>
  </w:style>
  <w:style w:type="character" w:customStyle="1" w:styleId="Small">
    <w:name w:val="Small"/>
    <w:basedOn w:val="DefaultParagraphFont"/>
    <w:rsid w:val="006C3199"/>
    <w:rPr>
      <w:sz w:val="16"/>
    </w:rPr>
  </w:style>
  <w:style w:type="paragraph" w:customStyle="1" w:styleId="WideTable">
    <w:name w:val="Wide Table"/>
    <w:basedOn w:val="Normal"/>
    <w:rsid w:val="006C31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199"/>
  </w:style>
  <w:style w:type="paragraph" w:styleId="Quote">
    <w:name w:val="Quote"/>
    <w:basedOn w:val="Heading1"/>
    <w:link w:val="QuoteChar"/>
    <w:qFormat/>
    <w:rsid w:val="006C31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1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199"/>
    <w:pPr>
      <w:pageBreakBefore/>
    </w:pPr>
  </w:style>
  <w:style w:type="paragraph" w:customStyle="1" w:styleId="Border">
    <w:name w:val="Border"/>
    <w:basedOn w:val="Normal"/>
    <w:qFormat/>
    <w:rsid w:val="006C31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1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1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1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1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1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1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1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1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199"/>
    <w:rPr>
      <w:u w:val="single"/>
    </w:rPr>
  </w:style>
  <w:style w:type="character" w:customStyle="1" w:styleId="BoldandItalics">
    <w:name w:val="Bold and Italics"/>
    <w:qFormat/>
    <w:rsid w:val="006C3199"/>
    <w:rPr>
      <w:b/>
      <w:i/>
      <w:u w:val="none"/>
    </w:rPr>
  </w:style>
  <w:style w:type="paragraph" w:styleId="BalloonText">
    <w:name w:val="Balloon Text"/>
    <w:basedOn w:val="Normal"/>
    <w:link w:val="BalloonTextChar"/>
    <w:rsid w:val="006C31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1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1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1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1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1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199"/>
    <w:pPr>
      <w:spacing w:before="0" w:after="0"/>
    </w:pPr>
  </w:style>
  <w:style w:type="paragraph" w:customStyle="1" w:styleId="BodyTextBold">
    <w:name w:val="Body Text Bold"/>
    <w:basedOn w:val="BodyText"/>
    <w:qFormat/>
    <w:rsid w:val="006C3199"/>
    <w:rPr>
      <w:b/>
    </w:rPr>
  </w:style>
  <w:style w:type="character" w:styleId="Hyperlink">
    <w:name w:val="Hyperlink"/>
    <w:basedOn w:val="DefaultParagraphFont"/>
    <w:uiPriority w:val="99"/>
    <w:unhideWhenUsed/>
    <w:rsid w:val="00386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7108</Characters>
  <Application>Microsoft Office Word</Application>
  <DocSecurity>0</DocSecurity>
  <Lines>253</Lines>
  <Paragraphs>143</Paragraphs>
  <ScaleCrop>false</ScaleCrop>
  <Company>Author-it Software Corporation Ltd.</Company>
  <LinksUpToDate>false</LinksUpToDate>
  <CharactersWithSpaces>8019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UEPOPS357 Operate local L.V. switchgear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2025-03-01T18:53:00Z</dcterms:modified>
</cp:coreProperties>
</file>