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1E0" w:rsidP="00604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UEPOPS347 Operate and monitor supervisory, control and data acquisition systems</w:t>
      </w:r>
      <w:r>
        <w:fldChar w:fldCharType="end"/>
      </w:r>
    </w:p>
    <w:p w:rsidR="006041E0" w:rsidP="006041E0">
      <w:pPr>
        <w:pStyle w:val="Version"/>
        <w:sectPr w:rsidSect="001A2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BE5" w:rsidP="001A2BE5">
      <w:pPr>
        <w:pStyle w:val="SuperHeading"/>
      </w:pPr>
      <w:r w:rsidRPr="001A2BE5">
        <w:t>UEPOPS347 Operate and monitor supervisory, control and data acquisition systems</w:t>
      </w:r>
    </w:p>
    <w:p w:rsidR="00000000" w:rsidRPr="001A2BE5" w:rsidP="001A2BE5">
      <w:pPr>
        <w:pStyle w:val="Heading1"/>
      </w:pPr>
      <w:bookmarkStart w:id="1" w:name="O_983324"/>
      <w:bookmarkEnd w:id="1"/>
      <w:r w:rsidRPr="001A2B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Release 1</w:t>
            </w:r>
            <w:r w:rsidRPr="001A2BE5">
              <w:t>. This is the first release of this unit of competency in the UEP Generation Training Package.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2" w:name="O_983325"/>
      <w:bookmarkEnd w:id="2"/>
      <w:r w:rsidRPr="001A2B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This unit involves the skills and knowledge required to undertake monitoring and operation of screen based Supervisory, Control and Data Acquisition (SCADA) systems.</w:t>
            </w:r>
          </w:p>
          <w:p w:rsidR="00000000" w:rsidRPr="001A2BE5" w:rsidP="001A2BE5">
            <w:pPr>
              <w:pStyle w:val="BodyText"/>
            </w:pPr>
            <w:r w:rsidRPr="001A2BE5">
              <w:t>SCADA is a control system that uses computers, networked data communications and graphic i</w:t>
            </w:r>
            <w:r w:rsidRPr="001A2BE5">
              <w:t>nterfaces. It may also use other peripheral devices to interface with process plant and/or machinery in power generation facilities.</w:t>
            </w:r>
          </w:p>
          <w:p w:rsidR="00000000" w:rsidRPr="001A2BE5" w:rsidP="001A2BE5">
            <w:pPr>
              <w:pStyle w:val="BodyText"/>
            </w:pPr>
            <w:r w:rsidRPr="001A2BE5">
              <w:t>Competency in this unit requires the ability to operate SCADA, monitor and interpret information and</w:t>
            </w:r>
            <w:r w:rsidRPr="001A2BE5">
              <w:rPr>
                <w:rStyle w:val="SpecialBold"/>
              </w:rPr>
              <w:t xml:space="preserve"> </w:t>
            </w:r>
            <w:r w:rsidRPr="001A2BE5">
              <w:t>enhance screen display</w:t>
            </w:r>
            <w:r w:rsidRPr="001A2BE5">
              <w:t>. Individuals will, in general, work under supervision, in a power generation facility as an operator.</w:t>
            </w:r>
          </w:p>
          <w:p w:rsidR="00000000" w:rsidRPr="001A2BE5" w:rsidP="001A2BE5">
            <w:pPr>
              <w:pStyle w:val="BodyText"/>
            </w:pPr>
            <w:r w:rsidRPr="001A2BE5">
              <w:t>Power generation plant operators are typically trained and authorised to isolate, prepare plant and issue permits to work.</w:t>
            </w:r>
          </w:p>
          <w:p w:rsidR="00000000" w:rsidRPr="001A2BE5" w:rsidP="001A2BE5">
            <w:pPr>
              <w:pStyle w:val="BodyText"/>
            </w:pPr>
            <w:r w:rsidRPr="001A2BE5">
              <w:t>No licensing, legislative or c</w:t>
            </w:r>
            <w:r w:rsidRPr="001A2BE5">
              <w:t>ertification requirements apply to this unit at the time of publication.</w:t>
            </w:r>
          </w:p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Note: Workplace practice</w:t>
            </w:r>
          </w:p>
          <w:p w:rsidR="00000000" w:rsidRPr="001A2BE5" w:rsidP="001A2BE5">
            <w:pPr>
              <w:pStyle w:val="BodyText"/>
            </w:pPr>
            <w:r w:rsidRPr="001A2BE5">
              <w:t>The application of the skills and knowledge described in this unit may require a licence or training permit to practice in the workplace where work is carried</w:t>
            </w:r>
            <w:r w:rsidRPr="001A2BE5">
              <w:t xml:space="preserve"> out on gas and electrical installations. Additional conditions may apply under state and territory legislative and regulatory licensing requirements.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3" w:name="O_983326"/>
      <w:bookmarkEnd w:id="3"/>
      <w:r w:rsidRPr="001A2B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There are no prerequisite units.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4" w:name="O_983327"/>
      <w:bookmarkEnd w:id="4"/>
      <w:r w:rsidRPr="001A2BE5">
        <w:t>Competency Fiel</w:t>
      </w:r>
      <w:r w:rsidRPr="001A2BE5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Operations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5" w:name="O_983328"/>
      <w:bookmarkEnd w:id="5"/>
      <w:r w:rsidRPr="001A2B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Electricity generation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6" w:name="O_983329"/>
      <w:bookmarkEnd w:id="6"/>
      <w:r w:rsidRPr="001A2B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PERFORMANCE CRITERIA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Performance criteria describe the performance needed to demonstrate achievement of the element.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Operate SCADA</w:t>
            </w:r>
            <w:r w:rsidRPr="001A2BE5">
              <w:t xml:space="preserve"> </w:t>
            </w:r>
            <w:r w:rsidRPr="001A2BE5">
              <w:rPr>
                <w:rStyle w:val="SpecialBold"/>
              </w:rPr>
              <w:t>screen displays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Safety issues related to operating and monitoring a Supervisory Control and Data Acquisition (SCADA) system are identifie</w:t>
            </w:r>
            <w:r w:rsidRPr="001A2BE5">
              <w:t>d, in accordance with workplace procedures and Work, Health and Safety (WHS)/Occupational Health and Safety (OHS) regulations and legislative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SCADA system requirements are identified, in accordance with workplace procedures, from approp</w:t>
            </w:r>
            <w:r w:rsidRPr="001A2BE5">
              <w:t>riate personnel and documentation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Screen displays and applications are identified and retrieved, in accordance with workplace procedures and SCADA system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 xml:space="preserve">Functions available from the screen based equipment are identified and selected, in accordance with workplace procedures and SCADA system requirements 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Functions available from screen based equipment are utilised, in accordance with workplace proced</w:t>
            </w:r>
            <w:r w:rsidRPr="001A2BE5">
              <w:t>ures and SCADA system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Monitor and interpret SCADA</w:t>
            </w:r>
            <w:r w:rsidRPr="001A2BE5">
              <w:t xml:space="preserve"> </w:t>
            </w:r>
            <w:r w:rsidRPr="001A2BE5">
              <w:rPr>
                <w:rStyle w:val="SpecialBold"/>
              </w:rPr>
              <w:t>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Screen displays are monitored, in accordance with workplace procedures and SCADA system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 xml:space="preserve">Abnormal values or faults are identified by analysis of information obtained from screen displays, in accordance with workplace procedures and SCADA system requirements 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Corrective action is taken, in accordance with workplace procedures and SCADA system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 xml:space="preserve">Alarms are acknowledged, prioritised and responded to in accordance with workplace procedures and SCADA system requirements 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rPr>
                <w:rStyle w:val="SpecialBold"/>
              </w:rPr>
              <w:t>Enhance SCADA</w:t>
            </w:r>
            <w:r w:rsidRPr="001A2BE5">
              <w:t xml:space="preserve"> </w:t>
            </w:r>
            <w:r w:rsidRPr="001A2BE5">
              <w:rPr>
                <w:rStyle w:val="SpecialBold"/>
              </w:rPr>
              <w:t>screen di</w:t>
            </w:r>
            <w:r w:rsidRPr="001A2BE5">
              <w:rPr>
                <w:rStyle w:val="SpecialBold"/>
              </w:rPr>
              <w:t>splay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t>Requirements for the development of new screen displays are identified and confirmed, in accordance with workplace procedures and SCADA system requirements</w:t>
            </w:r>
          </w:p>
        </w:tc>
      </w:tr>
      <w:tr w:rsidTr="001A2B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E5">
            <w:pPr>
              <w:pStyle w:val="BodyText"/>
              <w:rPr>
                <w:lang w:val="en-NZ"/>
              </w:rPr>
            </w:pPr>
            <w:r w:rsidRPr="001A2B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New screen displays are researched, assessed and confirmed with appropriate personn</w:t>
            </w:r>
            <w:r w:rsidRPr="001A2BE5">
              <w:t>el, in accordance with workplace procedures and SCADA system requirements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7" w:name="O_983330"/>
      <w:bookmarkEnd w:id="7"/>
      <w:r w:rsidRPr="001A2B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Foundation skills essential to performance are explicit in the performance criteria of this unit of competency.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8" w:name="O_983331"/>
      <w:bookmarkEnd w:id="8"/>
      <w:r w:rsidRPr="001A2B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Range is restricted to essential operating conditions and any other variables essential to the work environment.</w:t>
            </w:r>
          </w:p>
          <w:p w:rsidR="00000000" w:rsidRPr="001A2BE5" w:rsidP="001A2BE5">
            <w:pPr>
              <w:pStyle w:val="BodyText"/>
            </w:pPr>
            <w:r w:rsidRPr="001A2BE5">
              <w:t>Non-essential conditions may be found in the Companion Volume Implementation Guide.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9" w:name="O_983332"/>
      <w:bookmarkEnd w:id="9"/>
      <w:r w:rsidRPr="001A2BE5">
        <w:t>Unit Mapping Informa</w:t>
      </w:r>
      <w:r w:rsidRPr="001A2BE5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E5" w:rsidP="001A2BE5">
            <w:pPr>
              <w:pStyle w:val="BodyText"/>
            </w:pPr>
            <w:r w:rsidRPr="001A2BE5">
              <w:t>This unit replaces and is equivalent to UEPOPS347B Operate and monitor supervisory, control and data acquisition systems.</w:t>
            </w:r>
          </w:p>
        </w:tc>
      </w:tr>
    </w:tbl>
    <w:p w:rsidR="00000000" w:rsidRPr="001A2BE5" w:rsidP="001A2BE5">
      <w:pPr>
        <w:pStyle w:val="NoPaddingFontSize1"/>
      </w:pPr>
    </w:p>
    <w:p w:rsidR="00000000" w:rsidRPr="001A2BE5" w:rsidP="001A2BE5">
      <w:pPr>
        <w:pStyle w:val="AllowPageBreak"/>
      </w:pPr>
    </w:p>
    <w:p w:rsidR="00000000" w:rsidRPr="001A2BE5" w:rsidP="001A2BE5">
      <w:pPr>
        <w:pStyle w:val="Heading1"/>
      </w:pPr>
      <w:bookmarkStart w:id="10" w:name="O_983339"/>
      <w:bookmarkEnd w:id="10"/>
      <w:r w:rsidRPr="001A2BE5">
        <w:t>Links</w:t>
      </w:r>
    </w:p>
    <w:p w:rsidR="00000000" w:rsidRPr="001A2BE5" w:rsidP="006041E0">
      <w:pPr>
        <w:pStyle w:val="BodyText"/>
      </w:pPr>
      <w:r w:rsidRPr="001A2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A073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A2BE5" w:rsidP="001A2BE5"/>
    <w:sectPr w:rsidSect="001A2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E5" w:rsidRPr="006041E0" w:rsidP="00604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E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BE5" w:rsidRPr="006041E0" w:rsidP="00604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E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BE5"/>
  </w:style>
  <w:style w:type="character" w:customStyle="1" w:styleId="Heading1Char">
    <w:name w:val="Heading 1 Char"/>
    <w:basedOn w:val="DefaultParagraphFont"/>
    <w:link w:val="Heading1"/>
    <w:rsid w:val="001A2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B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2BE5"/>
    <w:rPr>
      <w:b/>
      <w:spacing w:val="0"/>
    </w:rPr>
  </w:style>
  <w:style w:type="paragraph" w:customStyle="1" w:styleId="SuperHeading">
    <w:name w:val="SuperHeading"/>
    <w:basedOn w:val="Normal"/>
    <w:rsid w:val="001A2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2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B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B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2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B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BE5"/>
    <w:rPr>
      <w:i/>
    </w:rPr>
  </w:style>
  <w:style w:type="paragraph" w:styleId="Caption">
    <w:name w:val="caption"/>
    <w:basedOn w:val="BodyText"/>
    <w:next w:val="Normal"/>
    <w:qFormat/>
    <w:rsid w:val="001A2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BE5"/>
  </w:style>
  <w:style w:type="paragraph" w:styleId="TableofFigures">
    <w:name w:val="table of figures"/>
    <w:basedOn w:val="Normal"/>
    <w:next w:val="Normal"/>
    <w:semiHidden/>
    <w:rsid w:val="001A2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B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2BE5"/>
    <w:rPr>
      <w:rFonts w:ascii="Wingdings" w:hAnsi="Wingdings"/>
    </w:rPr>
  </w:style>
  <w:style w:type="paragraph" w:customStyle="1" w:styleId="TableHeading">
    <w:name w:val="Table Heading"/>
    <w:basedOn w:val="HeadingBase"/>
    <w:rsid w:val="001A2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BE5"/>
    <w:rPr>
      <w:color w:val="0033CC"/>
      <w:u w:val="none"/>
    </w:rPr>
  </w:style>
  <w:style w:type="paragraph" w:customStyle="1" w:styleId="BodyTextRight">
    <w:name w:val="Body Text Right"/>
    <w:basedOn w:val="BodyText"/>
    <w:rsid w:val="001A2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B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BE5"/>
    <w:rPr>
      <w:sz w:val="32"/>
    </w:rPr>
  </w:style>
  <w:style w:type="paragraph" w:customStyle="1" w:styleId="HeadingProcedure">
    <w:name w:val="Heading Procedure"/>
    <w:basedOn w:val="HeadingBase"/>
    <w:next w:val="Normal"/>
    <w:rsid w:val="001A2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BE5"/>
    <w:pPr>
      <w:spacing w:before="60" w:after="60"/>
    </w:pPr>
  </w:style>
  <w:style w:type="paragraph" w:styleId="ListContinue">
    <w:name w:val="List Continue"/>
    <w:basedOn w:val="List"/>
    <w:rsid w:val="001A2BE5"/>
    <w:pPr>
      <w:ind w:firstLine="0"/>
    </w:pPr>
  </w:style>
  <w:style w:type="paragraph" w:customStyle="1" w:styleId="ListNote">
    <w:name w:val="List Note"/>
    <w:basedOn w:val="List"/>
    <w:rsid w:val="001A2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BE5"/>
    <w:rPr>
      <w:rFonts w:ascii="Courier New" w:hAnsi="Courier New"/>
    </w:rPr>
  </w:style>
  <w:style w:type="paragraph" w:customStyle="1" w:styleId="NoteBullet">
    <w:name w:val="Note Bullet"/>
    <w:basedOn w:val="Note"/>
    <w:rsid w:val="001A2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B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2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BE5"/>
    <w:rPr>
      <w:b/>
      <w:smallCaps/>
    </w:rPr>
  </w:style>
  <w:style w:type="paragraph" w:customStyle="1" w:styleId="TableListNumber">
    <w:name w:val="Table List Number"/>
    <w:basedOn w:val="ListNumber"/>
    <w:rsid w:val="001A2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BE5"/>
    <w:pPr>
      <w:numPr>
        <w:numId w:val="7"/>
      </w:numPr>
    </w:pPr>
  </w:style>
  <w:style w:type="paragraph" w:customStyle="1" w:styleId="ListAlpha2">
    <w:name w:val="List Alpha 2"/>
    <w:basedOn w:val="List2"/>
    <w:rsid w:val="001A2BE5"/>
    <w:pPr>
      <w:numPr>
        <w:numId w:val="6"/>
      </w:numPr>
    </w:pPr>
  </w:style>
  <w:style w:type="paragraph" w:styleId="List2">
    <w:name w:val="List 2"/>
    <w:basedOn w:val="BodyText"/>
    <w:rsid w:val="001A2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B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B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2BE5"/>
    <w:pPr>
      <w:numPr>
        <w:numId w:val="2"/>
      </w:numPr>
    </w:pPr>
  </w:style>
  <w:style w:type="paragraph" w:styleId="ListContinue2">
    <w:name w:val="List Continue 2"/>
    <w:basedOn w:val="List2"/>
    <w:rsid w:val="001A2BE5"/>
    <w:pPr>
      <w:ind w:firstLine="0"/>
    </w:pPr>
  </w:style>
  <w:style w:type="paragraph" w:styleId="ListContinue3">
    <w:name w:val="List Continue 3"/>
    <w:basedOn w:val="List3"/>
    <w:rsid w:val="001A2BE5"/>
    <w:pPr>
      <w:ind w:left="1021" w:firstLine="0"/>
    </w:pPr>
  </w:style>
  <w:style w:type="paragraph" w:styleId="ListContinue4">
    <w:name w:val="List Continue 4"/>
    <w:basedOn w:val="List4"/>
    <w:rsid w:val="001A2BE5"/>
    <w:pPr>
      <w:ind w:firstLine="0"/>
    </w:pPr>
  </w:style>
  <w:style w:type="paragraph" w:styleId="ListContinue5">
    <w:name w:val="List Continue 5"/>
    <w:basedOn w:val="List5"/>
    <w:rsid w:val="001A2BE5"/>
    <w:pPr>
      <w:ind w:firstLine="0"/>
    </w:pPr>
  </w:style>
  <w:style w:type="paragraph" w:styleId="ListNumber3">
    <w:name w:val="List Number 3"/>
    <w:basedOn w:val="List3"/>
    <w:rsid w:val="001A2BE5"/>
    <w:pPr>
      <w:numPr>
        <w:numId w:val="3"/>
      </w:numPr>
    </w:pPr>
  </w:style>
  <w:style w:type="paragraph" w:styleId="ListNumber4">
    <w:name w:val="List Number 4"/>
    <w:basedOn w:val="List4"/>
    <w:rsid w:val="001A2BE5"/>
    <w:pPr>
      <w:numPr>
        <w:numId w:val="4"/>
      </w:numPr>
    </w:pPr>
  </w:style>
  <w:style w:type="paragraph" w:styleId="ListNumber5">
    <w:name w:val="List Number 5"/>
    <w:basedOn w:val="List5"/>
    <w:rsid w:val="001A2BE5"/>
    <w:pPr>
      <w:numPr>
        <w:numId w:val="5"/>
      </w:numPr>
    </w:pPr>
  </w:style>
  <w:style w:type="paragraph" w:styleId="BlockText">
    <w:name w:val="Block Text"/>
    <w:basedOn w:val="Normal"/>
    <w:rsid w:val="001A2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BE5"/>
    <w:rPr>
      <w:sz w:val="16"/>
      <w:vertAlign w:val="superscript"/>
    </w:rPr>
  </w:style>
  <w:style w:type="character" w:customStyle="1" w:styleId="Symbols">
    <w:name w:val="Symbols"/>
    <w:basedOn w:val="DefaultParagraphFont"/>
    <w:rsid w:val="001A2BE5"/>
    <w:rPr>
      <w:rFonts w:ascii="Symbol" w:hAnsi="Symbol"/>
    </w:rPr>
  </w:style>
  <w:style w:type="character" w:customStyle="1" w:styleId="MenuOptions">
    <w:name w:val="Menu Options"/>
    <w:basedOn w:val="DefaultParagraphFont"/>
    <w:rsid w:val="001A2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BE5"/>
    <w:rPr>
      <w:b/>
    </w:rPr>
  </w:style>
  <w:style w:type="character" w:customStyle="1" w:styleId="Underlined">
    <w:name w:val="Underlined"/>
    <w:basedOn w:val="DefaultParagraphFont"/>
    <w:rsid w:val="001A2BE5"/>
    <w:rPr>
      <w:u w:val="single"/>
    </w:rPr>
  </w:style>
  <w:style w:type="paragraph" w:customStyle="1" w:styleId="TableBodyTextRight">
    <w:name w:val="Table Body Text Right"/>
    <w:basedOn w:val="TableBodyText"/>
    <w:rsid w:val="001A2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BE5"/>
    <w:rPr>
      <w:sz w:val="18"/>
    </w:rPr>
  </w:style>
  <w:style w:type="paragraph" w:customStyle="1" w:styleId="BodySmallRight">
    <w:name w:val="Body Small Right"/>
    <w:basedOn w:val="BodyTextRight"/>
    <w:rsid w:val="001A2BE5"/>
    <w:rPr>
      <w:sz w:val="18"/>
      <w:szCs w:val="18"/>
    </w:rPr>
  </w:style>
  <w:style w:type="paragraph" w:customStyle="1" w:styleId="MarginEdition">
    <w:name w:val="Margin Edition"/>
    <w:basedOn w:val="MarginNote"/>
    <w:rsid w:val="001A2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BE5"/>
    <w:rPr>
      <w:sz w:val="2"/>
      <w:szCs w:val="2"/>
    </w:rPr>
  </w:style>
  <w:style w:type="character" w:customStyle="1" w:styleId="Small">
    <w:name w:val="Small"/>
    <w:basedOn w:val="DefaultParagraphFont"/>
    <w:rsid w:val="001A2BE5"/>
    <w:rPr>
      <w:sz w:val="16"/>
    </w:rPr>
  </w:style>
  <w:style w:type="paragraph" w:customStyle="1" w:styleId="WideTable">
    <w:name w:val="Wide Table"/>
    <w:basedOn w:val="Normal"/>
    <w:rsid w:val="001A2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BE5"/>
  </w:style>
  <w:style w:type="paragraph" w:styleId="Quote">
    <w:name w:val="Quote"/>
    <w:basedOn w:val="Heading1"/>
    <w:link w:val="QuoteChar"/>
    <w:qFormat/>
    <w:rsid w:val="001A2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BE5"/>
    <w:pPr>
      <w:pageBreakBefore/>
    </w:pPr>
  </w:style>
  <w:style w:type="paragraph" w:customStyle="1" w:styleId="Border">
    <w:name w:val="Border"/>
    <w:basedOn w:val="Normal"/>
    <w:qFormat/>
    <w:rsid w:val="001A2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BE5"/>
    <w:rPr>
      <w:u w:val="single"/>
    </w:rPr>
  </w:style>
  <w:style w:type="character" w:customStyle="1" w:styleId="BoldandItalics">
    <w:name w:val="Bold and Italics"/>
    <w:qFormat/>
    <w:rsid w:val="001A2BE5"/>
    <w:rPr>
      <w:b/>
      <w:i/>
      <w:u w:val="none"/>
    </w:rPr>
  </w:style>
  <w:style w:type="paragraph" w:styleId="BalloonText">
    <w:name w:val="Balloon Text"/>
    <w:basedOn w:val="Normal"/>
    <w:link w:val="BalloonTextChar"/>
    <w:rsid w:val="001A2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BE5"/>
    <w:pPr>
      <w:spacing w:before="0" w:after="0"/>
    </w:pPr>
  </w:style>
  <w:style w:type="paragraph" w:customStyle="1" w:styleId="BodyTextBold">
    <w:name w:val="Body Text Bold"/>
    <w:basedOn w:val="BodyText"/>
    <w:qFormat/>
    <w:rsid w:val="001A2BE5"/>
    <w:rPr>
      <w:b/>
    </w:rPr>
  </w:style>
  <w:style w:type="character" w:styleId="Hyperlink">
    <w:name w:val="Hyperlink"/>
    <w:basedOn w:val="DefaultParagraphFont"/>
    <w:uiPriority w:val="99"/>
    <w:unhideWhenUsed/>
    <w:rsid w:val="00604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3851</Characters>
  <Application>Microsoft Office Word</Application>
  <DocSecurity>0</DocSecurity>
  <Lines>154</Lines>
  <Paragraphs>74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UEPOPS347 Operate and monitor supervisory, control and data acquisition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