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345" w:rsidP="00F83345">
      <w:pPr>
        <w:pStyle w:val="Title"/>
      </w:pPr>
      <w:r>
        <w:fldChar w:fldCharType="begin"/>
      </w:r>
      <w:r>
        <w:instrText xml:space="preserve"> TITLE   \* MERGEFORMAT </w:instrText>
      </w:r>
      <w:r>
        <w:fldChar w:fldCharType="separate"/>
      </w:r>
      <w:r>
        <w:t>UEPOPS324 Operate and monitor brine concentrator plant</w:t>
      </w:r>
      <w:r>
        <w:fldChar w:fldCharType="end"/>
      </w:r>
    </w:p>
    <w:p w:rsidR="00F83345" w:rsidP="00F83345">
      <w:pPr>
        <w:pStyle w:val="Version"/>
        <w:sectPr w:rsidSect="00EF1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D66" w:rsidP="00EF1D66">
      <w:pPr>
        <w:pStyle w:val="SuperHeading"/>
      </w:pPr>
      <w:r w:rsidRPr="00EF1D66">
        <w:t>UEPOPS324 Operate and monitor brine concentrator plant</w:t>
      </w:r>
    </w:p>
    <w:p w:rsidR="00000000" w:rsidRPr="00EF1D66" w:rsidP="00EF1D66">
      <w:pPr>
        <w:pStyle w:val="Heading1"/>
      </w:pPr>
      <w:bookmarkStart w:id="1" w:name="O_982906"/>
      <w:bookmarkEnd w:id="1"/>
      <w:r w:rsidRPr="00EF1D66">
        <w:t>Modification History</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Release 1</w:t>
            </w:r>
            <w:r w:rsidRPr="00EF1D66">
              <w:t>. This is the first release of this unit of competency in the UEP Generation Training Package.</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2" w:name="O_982907"/>
      <w:bookmarkEnd w:id="2"/>
      <w:r w:rsidRPr="00EF1D66">
        <w:t>Application</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This unit involves the skills and knowledge required to operate, inspect and monitor</w:t>
            </w:r>
            <w:r w:rsidRPr="00EF1D66">
              <w:t xml:space="preserve"> brine concentrator plant.</w:t>
            </w:r>
          </w:p>
          <w:p w:rsidR="00000000" w:rsidRPr="00EF1D66" w:rsidP="00EF1D66">
            <w:pPr>
              <w:pStyle w:val="BodyText"/>
            </w:pPr>
            <w:r w:rsidRPr="00EF1D66">
              <w:t>Power generation facilities typically produce waste water that contains minerals and solids. Brine concentrators are used to remove these impurities as part of the waste water management and treatment process.</w:t>
            </w:r>
          </w:p>
          <w:p w:rsidR="00000000" w:rsidRPr="00EF1D66" w:rsidP="00EF1D66">
            <w:pPr>
              <w:pStyle w:val="BodyText"/>
            </w:pPr>
            <w:r w:rsidRPr="00EF1D66">
              <w:t xml:space="preserve">Competency in this </w:t>
            </w:r>
            <w:r w:rsidRPr="00EF1D66">
              <w:t>unit requires the ability to plan work, operate brine concentrator plant, test brine concentrator plant, analyse brine concentrator plant faults, monitor and inspect brine concentrator plant and the completion of all documentation. Individuals will, in gen</w:t>
            </w:r>
            <w:r w:rsidRPr="00EF1D66">
              <w:t xml:space="preserve">eral, work under supervision, in a power generation facility as an operator. </w:t>
            </w:r>
          </w:p>
          <w:p w:rsidR="00000000" w:rsidRPr="00EF1D66" w:rsidP="00EF1D66">
            <w:pPr>
              <w:pStyle w:val="BodyText"/>
            </w:pPr>
            <w:r w:rsidRPr="00EF1D66">
              <w:t>Power generation plant operators are typically trained and authorised to isolate, prepare plant and issue permits to work.</w:t>
            </w:r>
          </w:p>
          <w:p w:rsidR="00000000" w:rsidRPr="00EF1D66" w:rsidP="00EF1D66">
            <w:pPr>
              <w:pStyle w:val="BodyText"/>
            </w:pPr>
            <w:r w:rsidRPr="00EF1D66">
              <w:t>No licensing, legislative or certification requirements</w:t>
            </w:r>
            <w:r w:rsidRPr="00EF1D66">
              <w:t xml:space="preserve"> apply to this unit at the time of publication.</w:t>
            </w:r>
          </w:p>
          <w:p w:rsidR="00000000" w:rsidRPr="00EF1D66" w:rsidP="00EF1D66">
            <w:pPr>
              <w:pStyle w:val="BodyText"/>
            </w:pPr>
            <w:r w:rsidRPr="00EF1D66">
              <w:rPr>
                <w:rStyle w:val="SpecialBold"/>
              </w:rPr>
              <w:t>Note: Workplace practice</w:t>
            </w:r>
          </w:p>
          <w:p w:rsidR="00000000" w:rsidRPr="00EF1D66" w:rsidP="00EF1D66">
            <w:pPr>
              <w:pStyle w:val="BodyText"/>
            </w:pPr>
            <w:r w:rsidRPr="00EF1D66">
              <w:t>The application of the skills and knowledge described in this unit may require a licence or training permit to practice in the workplace where work is carried out on gas and electrica</w:t>
            </w:r>
            <w:r w:rsidRPr="00EF1D66">
              <w:t>l installations. Additional conditions may apply under state and territory legislative and regulatory licensing requirements.</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3" w:name="O_982908"/>
      <w:bookmarkEnd w:id="3"/>
      <w:r w:rsidRPr="00EF1D66">
        <w:t>Pre-requisite Unit</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There are no prerequisite units.</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4" w:name="O_982909"/>
      <w:bookmarkEnd w:id="4"/>
      <w:r w:rsidRPr="00EF1D66">
        <w:t>Competency Field</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Operations</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5" w:name="O_982910"/>
      <w:bookmarkEnd w:id="5"/>
      <w:r w:rsidRPr="00EF1D66">
        <w:t>Unit Sector</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Electricity generation</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6" w:name="O_982911"/>
      <w:bookmarkEnd w:id="6"/>
      <w:r w:rsidRPr="00EF1D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1D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PERFORMANCE CRITERIA</w:t>
            </w:r>
          </w:p>
        </w:tc>
      </w:tr>
      <w:tr w:rsidTr="00EF1D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Performance criteria describe the performance needed to demonstrate achievement of the element.</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Safety issues related to operating and monitoring brine concentrator plant are identified, in accordance with workplace procedure</w:t>
            </w:r>
            <w:r w:rsidRPr="00EF1D66">
              <w:t>s and Work, Health and Safety (WHS)/Occupational Health and Safety (OHS) regulations and legislative requirements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Work requirements are identified, in accordance with workplace procedures from appropriate personnel and documentation</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Documentation to determine brine concentrator plant status is assessed and evaluated,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Inspection and field preparations for brine concentrator service are carried out, in accordance with workplace and manufact</w:t>
            </w:r>
            <w:r w:rsidRPr="00EF1D66">
              <w:t>urers</w:t>
            </w:r>
            <w:r>
              <w:t>’</w:t>
            </w:r>
            <w:r w:rsidRPr="00EF1D66">
              <w:t xml:space="preserv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operational prerequisites are established, in accordance with workplace procedures and manufacturers</w:t>
            </w:r>
            <w:r>
              <w:t>’</w:t>
            </w:r>
            <w:r w:rsidRPr="00EF1D66">
              <w:t xml:space="preserve"> recommendations </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Sequence for recommissioning of brine concentrator plant is determined, in accor</w:t>
            </w:r>
            <w:r w:rsidRPr="00EF1D66">
              <w:t>dance with workplace procedures and site requirements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Operate brine concentrator</w:t>
            </w:r>
            <w:r w:rsidRPr="00EF1D66">
              <w:t xml:space="preserve"> </w:t>
            </w:r>
            <w:r w:rsidRPr="00EF1D6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operated, in accordance with workplace procedures and manufacturers</w:t>
            </w:r>
            <w:r>
              <w:t>’</w:t>
            </w:r>
            <w:r w:rsidRPr="00EF1D66">
              <w:t xml:space="preserve"> operating recommendations </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monitored and observed, in accordance with workplace procedures, to detect deviations from normal operating conditions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Corrective actions are taken to rectify brine concentrator abnormalities, in accordance</w:t>
            </w:r>
            <w:r w:rsidRPr="00EF1D66">
              <w:t xml:space="preserve"> with workplace procedures and manufacturers</w:t>
            </w:r>
            <w:r>
              <w:t>’</w:t>
            </w:r>
            <w:r w:rsidRPr="00EF1D66">
              <w:t xml:space="preserve"> recommendations </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identified and removed from service, in accordance with workplace procedures and site requirements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Corrective actions are taken, in accordance with wor</w:t>
            </w:r>
            <w:r w:rsidRPr="00EF1D66">
              <w:t>kplace procedures when brine concentrator abnormalities are identified during removal from service</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Test brine concentrator</w:t>
            </w:r>
            <w:r w:rsidRPr="00EF1D66">
              <w:t xml:space="preserve"> </w:t>
            </w:r>
            <w:r w:rsidRPr="00EF1D6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 xml:space="preserve">Operational tests are performed, in accordance with workplace procedures </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observed for correct operational response,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Corrective action is taken, in accordance with workplace procedures, when response does not meet with documentation, brine concentrator pl</w:t>
            </w:r>
            <w:r w:rsidRPr="00EF1D66">
              <w:t>ant integrity or personnel safety requirements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returned to required operational status upon completion of testing,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Analyse brine concentrator</w:t>
            </w:r>
            <w:r w:rsidRPr="00EF1D66">
              <w:t xml:space="preserve"> </w:t>
            </w:r>
            <w:r w:rsidRPr="00EF1D6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 xml:space="preserve">Cause of abnormal brine concentrator plant operating conditions are identified, in accordance with workplace procedures, by analysing technical and operational information </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Corrective action is taken,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w:t>
            </w:r>
            <w:r w:rsidRPr="00EF1D66">
              <w:t>rine concentrator plant integrity and personnel safety is maintained, in accordance with workplace procedures, and in consultation with appropriate personnel and technical and operational documentation</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Monitor and inspect brine concentrator</w:t>
            </w:r>
            <w:r w:rsidRPr="00EF1D66">
              <w:t xml:space="preserve"> </w:t>
            </w:r>
            <w:r w:rsidRPr="00EF1D6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w:t>
            </w:r>
            <w:r w:rsidRPr="00EF1D66">
              <w:t>ine concentrator plant to be monitored or inspected is physically identified,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concentrator plant is monitored or inspected, in accordance with workplace procedures for normal operation or to detect deviations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Corrective action is taken,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t>Brine concentr</w:t>
            </w:r>
            <w:r w:rsidRPr="00EF1D66">
              <w:t>ator plant problems, movements, abnormalities and status are reported, in accordance with workplace procedures</w:t>
            </w:r>
          </w:p>
        </w:tc>
      </w:tr>
      <w:tr w:rsidTr="00EF1D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1D6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1D66">
            <w:pPr>
              <w:pStyle w:val="BodyText"/>
              <w:rPr>
                <w:lang w:val="en-NZ"/>
              </w:rPr>
            </w:pPr>
            <w:r w:rsidRPr="00EF1D6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Documentation is updated, in accordance with workplace procedures</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7" w:name="O_982912"/>
      <w:bookmarkEnd w:id="7"/>
      <w:r w:rsidRPr="00EF1D66">
        <w:t>Foundation Skills</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Foundation skills essential to perf</w:t>
            </w:r>
            <w:r w:rsidRPr="00EF1D66">
              <w:t>ormance are explicit in the performance criteria of this unit of competency.</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8" w:name="O_982913"/>
      <w:bookmarkEnd w:id="8"/>
      <w:r w:rsidRPr="00EF1D66">
        <w:t>Range of Conditions</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Range is restricted to essential operating conditions and any other variables essential to the work environment.</w:t>
            </w:r>
          </w:p>
          <w:p w:rsidR="00000000" w:rsidRPr="00EF1D66" w:rsidP="00EF1D66">
            <w:pPr>
              <w:pStyle w:val="BodyText"/>
            </w:pPr>
            <w:r w:rsidRPr="00EF1D66">
              <w:t>Non-essential conditions may be found in the Companion Volume Implementation Guide.</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9" w:name="O_982914"/>
      <w:bookmarkEnd w:id="9"/>
      <w:r w:rsidRPr="00EF1D66">
        <w:t>Unit Mapping Information</w:t>
      </w:r>
    </w:p>
    <w:tbl>
      <w:tblPr>
        <w:tblW w:w="9497" w:type="dxa"/>
        <w:tblLayout w:type="fixed"/>
        <w:tblCellMar>
          <w:left w:w="62" w:type="dxa"/>
          <w:right w:w="62" w:type="dxa"/>
        </w:tblCellMar>
        <w:tblLook w:val="0000"/>
      </w:tblPr>
      <w:tblGrid>
        <w:gridCol w:w="9497"/>
      </w:tblGrid>
      <w:tr w:rsidTr="00EF1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1D66" w:rsidP="00EF1D66">
            <w:pPr>
              <w:pStyle w:val="BodyText"/>
            </w:pPr>
            <w:r w:rsidRPr="00EF1D66">
              <w:t>This unit replaces and is equivalent to UEPOPS324B Operate and monitor brine concentrator plant.</w:t>
            </w:r>
          </w:p>
        </w:tc>
      </w:tr>
    </w:tbl>
    <w:p w:rsidR="00000000" w:rsidRPr="00EF1D66" w:rsidP="00EF1D66">
      <w:pPr>
        <w:pStyle w:val="NoPaddingFontSize1"/>
      </w:pPr>
    </w:p>
    <w:p w:rsidR="00000000" w:rsidRPr="00EF1D66" w:rsidP="00EF1D66">
      <w:pPr>
        <w:pStyle w:val="AllowPageBreak"/>
      </w:pPr>
    </w:p>
    <w:p w:rsidR="00000000" w:rsidRPr="00EF1D66" w:rsidP="00EF1D66">
      <w:pPr>
        <w:pStyle w:val="Heading1"/>
      </w:pPr>
      <w:bookmarkStart w:id="10" w:name="O_982921"/>
      <w:bookmarkEnd w:id="10"/>
      <w:r w:rsidRPr="00EF1D66">
        <w:t>Links</w:t>
      </w:r>
    </w:p>
    <w:p w:rsidR="00000000" w:rsidRPr="00EF1D66" w:rsidP="00F83345">
      <w:pPr>
        <w:pStyle w:val="BodyText"/>
      </w:pPr>
      <w:r w:rsidRPr="00EF1D66">
        <w:t>Compan</w:t>
      </w:r>
      <w:r w:rsidRPr="00EF1D66">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625CE7">
        <w:rPr>
          <w:rStyle w:val="Hyperlink"/>
        </w:rPr>
        <w:t>https://vetnet.gov.au/Pages/TrainingDocs.aspx?q=1715b9fa-e7bd-441c-bb8d-cf22c9c825a8</w:t>
      </w:r>
      <w:r>
        <w:fldChar w:fldCharType="end"/>
      </w:r>
    </w:p>
    <w:p w:rsidR="00000000" w:rsidRPr="00EF1D66" w:rsidP="00EF1D66"/>
    <w:sectPr w:rsidSect="00EF1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6" w:rsidRPr="00F83345" w:rsidP="00F83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45" w:rsidP="00EF1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345" w:rsidP="00EF1D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3345" w:rsidP="00EF1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D66" w:rsidRPr="00F83345" w:rsidP="00F833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345" w:rsidRPr="002D2AF8" w:rsidP="00EF1D66">
    <w:pPr>
      <w:pStyle w:val="Header"/>
      <w:framePr w:wrap="around"/>
    </w:pPr>
    <w:r>
      <w:fldChar w:fldCharType="begin"/>
    </w:r>
    <w:r>
      <w:instrText xml:space="preserve"> TITLE   \* MERGEFORMAT </w:instrText>
    </w:r>
    <w:r>
      <w:fldChar w:fldCharType="separate"/>
    </w:r>
    <w:r>
      <w:t>UEPOPS324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83345" w:rsidP="00EF1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D66"/>
    <w:pPr>
      <w:spacing w:before="360" w:after="60"/>
      <w:outlineLvl w:val="0"/>
    </w:pPr>
    <w:rPr>
      <w:sz w:val="32"/>
    </w:rPr>
  </w:style>
  <w:style w:type="paragraph" w:styleId="Heading2">
    <w:name w:val="heading 2"/>
    <w:basedOn w:val="HeadingBase"/>
    <w:next w:val="BodyText"/>
    <w:link w:val="Heading2Char"/>
    <w:qFormat/>
    <w:rsid w:val="00EF1D66"/>
    <w:pPr>
      <w:keepLines/>
      <w:spacing w:before="240" w:after="120"/>
      <w:outlineLvl w:val="1"/>
    </w:pPr>
    <w:rPr>
      <w:sz w:val="28"/>
      <w:szCs w:val="40"/>
    </w:rPr>
  </w:style>
  <w:style w:type="paragraph" w:styleId="Heading3">
    <w:name w:val="heading 3"/>
    <w:basedOn w:val="HeadingBase"/>
    <w:next w:val="BodyText"/>
    <w:link w:val="Heading3Char"/>
    <w:qFormat/>
    <w:rsid w:val="00EF1D66"/>
    <w:pPr>
      <w:spacing w:before="180" w:after="120"/>
      <w:outlineLvl w:val="2"/>
    </w:pPr>
    <w:rPr>
      <w:spacing w:val="-10"/>
      <w:kern w:val="32"/>
    </w:rPr>
  </w:style>
  <w:style w:type="paragraph" w:styleId="Heading4">
    <w:name w:val="heading 4"/>
    <w:basedOn w:val="HeadingBase"/>
    <w:next w:val="BodyText"/>
    <w:link w:val="Heading4Char"/>
    <w:qFormat/>
    <w:rsid w:val="00EF1D66"/>
    <w:pPr>
      <w:spacing w:before="160" w:after="120"/>
      <w:outlineLvl w:val="3"/>
    </w:pPr>
    <w:rPr>
      <w:sz w:val="22"/>
    </w:rPr>
  </w:style>
  <w:style w:type="paragraph" w:styleId="Heading5">
    <w:name w:val="heading 5"/>
    <w:basedOn w:val="HeadingBase"/>
    <w:next w:val="Normal"/>
    <w:link w:val="Heading5Char"/>
    <w:qFormat/>
    <w:rsid w:val="00EF1D66"/>
    <w:pPr>
      <w:spacing w:before="80"/>
      <w:outlineLvl w:val="4"/>
    </w:pPr>
    <w:rPr>
      <w:color w:val="918585"/>
      <w:sz w:val="20"/>
    </w:rPr>
  </w:style>
  <w:style w:type="paragraph" w:styleId="Heading6">
    <w:name w:val="heading 6"/>
    <w:basedOn w:val="HeadingBase"/>
    <w:next w:val="Normal"/>
    <w:link w:val="Heading6Char"/>
    <w:qFormat/>
    <w:rsid w:val="00EF1D66"/>
    <w:pPr>
      <w:spacing w:before="60"/>
      <w:outlineLvl w:val="5"/>
    </w:pPr>
    <w:rPr>
      <w:color w:val="918585"/>
      <w:sz w:val="20"/>
    </w:rPr>
  </w:style>
  <w:style w:type="paragraph" w:styleId="Heading7">
    <w:name w:val="heading 7"/>
    <w:basedOn w:val="Normal"/>
    <w:next w:val="Normal"/>
    <w:link w:val="Heading7Char"/>
    <w:qFormat/>
    <w:rsid w:val="00EF1D66"/>
    <w:pPr>
      <w:ind w:left="720"/>
      <w:outlineLvl w:val="6"/>
    </w:pPr>
    <w:rPr>
      <w:i/>
    </w:rPr>
  </w:style>
  <w:style w:type="paragraph" w:styleId="Heading8">
    <w:name w:val="heading 8"/>
    <w:basedOn w:val="Normal"/>
    <w:next w:val="Normal"/>
    <w:link w:val="Heading8Char"/>
    <w:qFormat/>
    <w:rsid w:val="00EF1D66"/>
    <w:pPr>
      <w:ind w:left="720"/>
      <w:outlineLvl w:val="7"/>
    </w:pPr>
    <w:rPr>
      <w:i/>
    </w:rPr>
  </w:style>
  <w:style w:type="paragraph" w:styleId="Heading9">
    <w:name w:val="heading 9"/>
    <w:basedOn w:val="Normal"/>
    <w:next w:val="Normal"/>
    <w:link w:val="Heading9Char"/>
    <w:qFormat/>
    <w:rsid w:val="00EF1D66"/>
    <w:pPr>
      <w:ind w:left="720"/>
      <w:outlineLvl w:val="8"/>
    </w:pPr>
    <w:rPr>
      <w:i/>
    </w:rPr>
  </w:style>
  <w:style w:type="character" w:default="1" w:styleId="DefaultParagraphFont">
    <w:name w:val="Default Paragraph Font"/>
    <w:uiPriority w:val="1"/>
    <w:unhideWhenUsed/>
    <w:rsid w:val="00EF1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D66"/>
  </w:style>
  <w:style w:type="character" w:customStyle="1" w:styleId="Heading1Char">
    <w:name w:val="Heading 1 Char"/>
    <w:basedOn w:val="DefaultParagraphFont"/>
    <w:link w:val="Heading1"/>
    <w:rsid w:val="00EF1D66"/>
    <w:rPr>
      <w:rFonts w:ascii="Times New Roman" w:eastAsia="Times New Roman" w:hAnsi="Times New Roman" w:cs="Times New Roman"/>
      <w:b/>
      <w:sz w:val="32"/>
      <w:szCs w:val="20"/>
      <w:lang w:eastAsia="en-US"/>
    </w:rPr>
  </w:style>
  <w:style w:type="paragraph" w:styleId="BodyText">
    <w:name w:val="Body Text"/>
    <w:basedOn w:val="Normal"/>
    <w:link w:val="BodyTextChar"/>
    <w:rsid w:val="00EF1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D66"/>
    <w:rPr>
      <w:rFonts w:ascii="Times New Roman" w:eastAsia="Times New Roman" w:hAnsi="Times New Roman" w:cs="Times New Roman"/>
      <w:sz w:val="24"/>
      <w:lang w:eastAsia="en-US"/>
    </w:rPr>
  </w:style>
  <w:style w:type="character" w:customStyle="1" w:styleId="SpecialBold">
    <w:name w:val="Special Bold"/>
    <w:basedOn w:val="DefaultParagraphFont"/>
    <w:rsid w:val="00EF1D66"/>
    <w:rPr>
      <w:b/>
      <w:spacing w:val="0"/>
    </w:rPr>
  </w:style>
  <w:style w:type="paragraph" w:customStyle="1" w:styleId="SuperHeading">
    <w:name w:val="SuperHeading"/>
    <w:basedOn w:val="Normal"/>
    <w:rsid w:val="00EF1D66"/>
    <w:pPr>
      <w:spacing w:before="240" w:after="120"/>
      <w:outlineLvl w:val="0"/>
    </w:pPr>
    <w:rPr>
      <w:rFonts w:ascii="Times New Roman" w:hAnsi="Times New Roman"/>
      <w:b/>
      <w:sz w:val="32"/>
    </w:rPr>
  </w:style>
  <w:style w:type="paragraph" w:customStyle="1" w:styleId="AllowPageBreak">
    <w:name w:val="AllowPageBreak"/>
    <w:rsid w:val="00EF1D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1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D66"/>
    <w:rPr>
      <w:rFonts w:ascii="Courier New" w:eastAsia="Times New Roman" w:hAnsi="Courier New" w:cs="Times New Roman"/>
      <w:i/>
      <w:szCs w:val="20"/>
      <w:lang w:eastAsia="en-US"/>
    </w:rPr>
  </w:style>
  <w:style w:type="paragraph" w:customStyle="1" w:styleId="HeadingBase">
    <w:name w:val="Heading Base"/>
    <w:rsid w:val="00EF1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D66"/>
    <w:pPr>
      <w:tabs>
        <w:tab w:val="right" w:leader="dot" w:pos="9072"/>
      </w:tabs>
      <w:ind w:left="567"/>
    </w:pPr>
    <w:rPr>
      <w:szCs w:val="22"/>
    </w:rPr>
  </w:style>
  <w:style w:type="paragraph" w:customStyle="1" w:styleId="TOCBase">
    <w:name w:val="TOC Base"/>
    <w:rsid w:val="00EF1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D66"/>
    <w:pPr>
      <w:tabs>
        <w:tab w:val="right" w:leader="dot" w:pos="9072"/>
      </w:tabs>
      <w:spacing w:before="40" w:after="40"/>
      <w:ind w:left="284"/>
    </w:pPr>
    <w:rPr>
      <w:rFonts w:ascii="Times New Roman" w:hAnsi="Times New Roman"/>
    </w:rPr>
  </w:style>
  <w:style w:type="paragraph" w:styleId="TOC1">
    <w:name w:val="toc 1"/>
    <w:basedOn w:val="TOCBase"/>
    <w:next w:val="Normal"/>
    <w:rsid w:val="00EF1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D66"/>
    <w:rPr>
      <w:rFonts w:ascii="Times New Roman" w:eastAsia="Times New Roman" w:hAnsi="Times New Roman" w:cs="Times New Roman"/>
      <w:sz w:val="16"/>
      <w:lang w:eastAsia="en-US"/>
    </w:rPr>
  </w:style>
  <w:style w:type="paragraph" w:styleId="Title">
    <w:name w:val="Title"/>
    <w:basedOn w:val="HeadingBase"/>
    <w:link w:val="TitleChar"/>
    <w:qFormat/>
    <w:rsid w:val="00EF1D66"/>
    <w:pPr>
      <w:spacing w:before="5040"/>
      <w:jc w:val="center"/>
    </w:pPr>
    <w:rPr>
      <w:sz w:val="48"/>
      <w:szCs w:val="72"/>
      <w:lang w:val="en-US"/>
    </w:rPr>
  </w:style>
  <w:style w:type="character" w:customStyle="1" w:styleId="TitleChar">
    <w:name w:val="Title Char"/>
    <w:basedOn w:val="DefaultParagraphFont"/>
    <w:link w:val="Title"/>
    <w:rsid w:val="00EF1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D66"/>
    <w:pPr>
      <w:tabs>
        <w:tab w:val="left" w:pos="3600"/>
        <w:tab w:val="left" w:pos="3958"/>
      </w:tabs>
    </w:pPr>
  </w:style>
  <w:style w:type="paragraph" w:styleId="List">
    <w:name w:val="List"/>
    <w:basedOn w:val="BodyText"/>
    <w:next w:val="BodyText"/>
    <w:rsid w:val="00EF1D66"/>
    <w:pPr>
      <w:tabs>
        <w:tab w:val="left" w:pos="340"/>
      </w:tabs>
      <w:spacing w:before="60" w:after="60"/>
      <w:ind w:left="340" w:hanging="340"/>
    </w:pPr>
  </w:style>
  <w:style w:type="paragraph" w:styleId="ListBullet">
    <w:name w:val="List Bullet"/>
    <w:basedOn w:val="List"/>
    <w:rsid w:val="00EF1D66"/>
    <w:pPr>
      <w:numPr>
        <w:numId w:val="10"/>
      </w:numPr>
      <w:tabs>
        <w:tab w:val="clear" w:pos="340"/>
      </w:tabs>
      <w:spacing w:before="40" w:after="40"/>
    </w:pPr>
  </w:style>
  <w:style w:type="paragraph" w:customStyle="1" w:styleId="Note">
    <w:name w:val="Note"/>
    <w:basedOn w:val="BodyText"/>
    <w:rsid w:val="00EF1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D66"/>
    <w:pPr>
      <w:framePr w:wrap="auto" w:hAnchor="text" w:y="6049"/>
    </w:pPr>
    <w:rPr>
      <w:color w:val="000000"/>
      <w:sz w:val="40"/>
    </w:rPr>
  </w:style>
  <w:style w:type="paragraph" w:customStyle="1" w:styleId="TOCTitle">
    <w:name w:val="TOCTitle"/>
    <w:basedOn w:val="Heading1"/>
    <w:rsid w:val="00EF1D66"/>
    <w:pPr>
      <w:spacing w:after="240"/>
      <w:jc w:val="center"/>
      <w:outlineLvl w:val="9"/>
    </w:pPr>
    <w:rPr>
      <w:caps/>
    </w:rPr>
  </w:style>
  <w:style w:type="paragraph" w:customStyle="1" w:styleId="Version">
    <w:name w:val="Version"/>
    <w:rsid w:val="00EF1D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D66"/>
    <w:pPr>
      <w:numPr>
        <w:numId w:val="11"/>
      </w:numPr>
      <w:tabs>
        <w:tab w:val="clear" w:pos="680"/>
      </w:tabs>
    </w:pPr>
  </w:style>
  <w:style w:type="paragraph" w:styleId="Index1">
    <w:name w:val="index 1"/>
    <w:basedOn w:val="Normal"/>
    <w:next w:val="Normal"/>
    <w:semiHidden/>
    <w:rsid w:val="00EF1D66"/>
    <w:pPr>
      <w:keepNext w:val="0"/>
      <w:tabs>
        <w:tab w:val="right" w:pos="4176"/>
      </w:tabs>
      <w:ind w:left="198" w:hanging="198"/>
    </w:pPr>
    <w:rPr>
      <w:rFonts w:ascii="Garamond" w:hAnsi="Garamond"/>
    </w:rPr>
  </w:style>
  <w:style w:type="paragraph" w:styleId="IndexHeading">
    <w:name w:val="index heading"/>
    <w:basedOn w:val="Normal"/>
    <w:next w:val="Index1"/>
    <w:semiHidden/>
    <w:rsid w:val="00EF1D66"/>
    <w:pPr>
      <w:spacing w:before="120" w:after="120"/>
    </w:pPr>
    <w:rPr>
      <w:rFonts w:ascii="Arial" w:hAnsi="Arial"/>
      <w:b/>
      <w:color w:val="918585"/>
      <w:sz w:val="24"/>
    </w:rPr>
  </w:style>
  <w:style w:type="paragraph" w:styleId="Header">
    <w:name w:val="header"/>
    <w:basedOn w:val="Normal"/>
    <w:link w:val="HeaderChar"/>
    <w:rsid w:val="00EF1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D66"/>
    <w:rPr>
      <w:rFonts w:ascii="Times New Roman" w:eastAsia="Times New Roman" w:hAnsi="Times New Roman" w:cs="Times New Roman"/>
      <w:sz w:val="16"/>
      <w:szCs w:val="20"/>
      <w:lang w:val="en-GB" w:eastAsia="en-US"/>
    </w:rPr>
  </w:style>
  <w:style w:type="paragraph" w:customStyle="1" w:styleId="Chapter">
    <w:name w:val="Chapter"/>
    <w:basedOn w:val="Normal"/>
    <w:rsid w:val="00EF1D66"/>
    <w:pPr>
      <w:spacing w:before="240"/>
    </w:pPr>
    <w:rPr>
      <w:rFonts w:ascii="Times New Roman" w:hAnsi="Times New Roman"/>
      <w:smallCaps/>
      <w:spacing w:val="80"/>
      <w:sz w:val="28"/>
    </w:rPr>
  </w:style>
  <w:style w:type="paragraph" w:customStyle="1" w:styleId="InChapter">
    <w:name w:val="InChapter"/>
    <w:basedOn w:val="Heading3"/>
    <w:rsid w:val="00EF1D66"/>
    <w:pPr>
      <w:spacing w:after="240"/>
      <w:outlineLvl w:val="9"/>
    </w:pPr>
    <w:rPr>
      <w:noProof/>
    </w:rPr>
  </w:style>
  <w:style w:type="paragraph" w:styleId="Index2">
    <w:name w:val="index 2"/>
    <w:basedOn w:val="Normal"/>
    <w:next w:val="Normal"/>
    <w:semiHidden/>
    <w:rsid w:val="00EF1D66"/>
    <w:pPr>
      <w:tabs>
        <w:tab w:val="right" w:pos="4176"/>
      </w:tabs>
      <w:ind w:left="568" w:hanging="284"/>
    </w:pPr>
    <w:rPr>
      <w:rFonts w:ascii="Garamond" w:hAnsi="Garamond"/>
    </w:rPr>
  </w:style>
  <w:style w:type="paragraph" w:customStyle="1" w:styleId="Byline">
    <w:name w:val="Byline"/>
    <w:rsid w:val="00EF1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D66"/>
    <w:pPr>
      <w:tabs>
        <w:tab w:val="clear" w:pos="3600"/>
        <w:tab w:val="clear" w:pos="3958"/>
      </w:tabs>
      <w:jc w:val="right"/>
    </w:pPr>
  </w:style>
  <w:style w:type="character" w:styleId="Emphasis">
    <w:name w:val="Emphasis"/>
    <w:basedOn w:val="DefaultParagraphFont"/>
    <w:qFormat/>
    <w:rsid w:val="00EF1D66"/>
    <w:rPr>
      <w:i/>
    </w:rPr>
  </w:style>
  <w:style w:type="paragraph" w:styleId="Caption">
    <w:name w:val="caption"/>
    <w:basedOn w:val="BodyText"/>
    <w:next w:val="Normal"/>
    <w:qFormat/>
    <w:rsid w:val="00EF1D66"/>
    <w:pPr>
      <w:framePr w:w="2268" w:hSpace="181" w:vSpace="181" w:wrap="around" w:vAnchor="text" w:hAnchor="page" w:x="1135" w:y="285" w:anchorLock="1"/>
    </w:pPr>
    <w:rPr>
      <w:i/>
    </w:rPr>
  </w:style>
  <w:style w:type="paragraph" w:customStyle="1" w:styleId="MiniTOCTitle">
    <w:name w:val="MiniTOCTitle"/>
    <w:basedOn w:val="Heading4"/>
    <w:rsid w:val="00EF1D66"/>
    <w:pPr>
      <w:spacing w:before="240"/>
      <w:outlineLvl w:val="9"/>
    </w:pPr>
    <w:rPr>
      <w:noProof/>
      <w:sz w:val="24"/>
    </w:rPr>
  </w:style>
  <w:style w:type="paragraph" w:customStyle="1" w:styleId="MiniTOCItem">
    <w:name w:val="MiniTOCItem"/>
    <w:basedOn w:val="ListBullet"/>
    <w:rsid w:val="00EF1D66"/>
    <w:pPr>
      <w:numPr>
        <w:numId w:val="0"/>
      </w:numPr>
      <w:tabs>
        <w:tab w:val="right" w:leader="dot" w:pos="6521"/>
      </w:tabs>
      <w:spacing w:before="0" w:after="0"/>
    </w:pPr>
  </w:style>
  <w:style w:type="paragraph" w:customStyle="1" w:styleId="TOFTitle">
    <w:name w:val="TOFTitle"/>
    <w:basedOn w:val="TOCTitle"/>
    <w:rsid w:val="00EF1D66"/>
  </w:style>
  <w:style w:type="paragraph" w:styleId="TableofFigures">
    <w:name w:val="table of figures"/>
    <w:basedOn w:val="Normal"/>
    <w:next w:val="Normal"/>
    <w:semiHidden/>
    <w:rsid w:val="00EF1D66"/>
    <w:pPr>
      <w:tabs>
        <w:tab w:val="right" w:leader="dot" w:pos="9072"/>
      </w:tabs>
      <w:ind w:left="970" w:hanging="403"/>
    </w:pPr>
    <w:rPr>
      <w:rFonts w:ascii="Times New Roman" w:hAnsi="Times New Roman"/>
      <w:b/>
    </w:rPr>
  </w:style>
  <w:style w:type="paragraph" w:styleId="ListNumber">
    <w:name w:val="List Number"/>
    <w:basedOn w:val="List"/>
    <w:rsid w:val="00EF1D66"/>
    <w:pPr>
      <w:numPr>
        <w:numId w:val="13"/>
      </w:numPr>
      <w:tabs>
        <w:tab w:val="clear" w:pos="340"/>
      </w:tabs>
    </w:pPr>
  </w:style>
  <w:style w:type="character" w:customStyle="1" w:styleId="WingdingSymbols">
    <w:name w:val="Wingding Symbols"/>
    <w:rsid w:val="00EF1D66"/>
    <w:rPr>
      <w:rFonts w:ascii="Wingdings" w:hAnsi="Wingdings"/>
    </w:rPr>
  </w:style>
  <w:style w:type="paragraph" w:customStyle="1" w:styleId="TableHeading">
    <w:name w:val="Table Heading"/>
    <w:basedOn w:val="HeadingBase"/>
    <w:rsid w:val="00EF1D66"/>
    <w:pPr>
      <w:keepLines/>
      <w:pBdr>
        <w:bottom w:val="single" w:sz="6" w:space="1" w:color="918585"/>
      </w:pBdr>
      <w:spacing w:before="240"/>
    </w:pPr>
  </w:style>
  <w:style w:type="character" w:customStyle="1" w:styleId="HotSpot">
    <w:name w:val="HotSpot"/>
    <w:rsid w:val="00EF1D66"/>
    <w:rPr>
      <w:color w:val="0033CC"/>
      <w:u w:val="none"/>
    </w:rPr>
  </w:style>
  <w:style w:type="paragraph" w:customStyle="1" w:styleId="BodyTextRight">
    <w:name w:val="Body Text Right"/>
    <w:basedOn w:val="BodyText"/>
    <w:rsid w:val="00EF1D66"/>
    <w:pPr>
      <w:spacing w:before="0" w:after="0"/>
      <w:jc w:val="right"/>
    </w:pPr>
  </w:style>
  <w:style w:type="paragraph" w:styleId="Index3">
    <w:name w:val="index 3"/>
    <w:basedOn w:val="ListNumber2"/>
    <w:next w:val="Normal"/>
    <w:semiHidden/>
    <w:rsid w:val="00EF1D66"/>
    <w:pPr>
      <w:numPr>
        <w:numId w:val="0"/>
      </w:numPr>
      <w:tabs>
        <w:tab w:val="right" w:leader="dot" w:pos="4176"/>
      </w:tabs>
    </w:pPr>
  </w:style>
  <w:style w:type="paragraph" w:styleId="ListNumber2">
    <w:name w:val="List Number 2"/>
    <w:basedOn w:val="List2"/>
    <w:rsid w:val="00EF1D66"/>
    <w:pPr>
      <w:numPr>
        <w:numId w:val="8"/>
      </w:numPr>
      <w:tabs>
        <w:tab w:val="clear" w:pos="1060"/>
      </w:tabs>
    </w:pPr>
  </w:style>
  <w:style w:type="paragraph" w:customStyle="1" w:styleId="MarginNote">
    <w:name w:val="Margin Note"/>
    <w:basedOn w:val="BodyText"/>
    <w:rsid w:val="00EF1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D66"/>
    <w:rPr>
      <w:sz w:val="32"/>
    </w:rPr>
  </w:style>
  <w:style w:type="paragraph" w:customStyle="1" w:styleId="HeadingProcedure">
    <w:name w:val="Heading Procedure"/>
    <w:basedOn w:val="HeadingBase"/>
    <w:next w:val="Normal"/>
    <w:rsid w:val="00EF1D66"/>
    <w:pPr>
      <w:tabs>
        <w:tab w:val="left" w:pos="0"/>
      </w:tabs>
      <w:spacing w:before="120" w:after="60"/>
    </w:pPr>
    <w:rPr>
      <w:i/>
      <w:color w:val="918585"/>
      <w:sz w:val="22"/>
    </w:rPr>
  </w:style>
  <w:style w:type="paragraph" w:customStyle="1" w:styleId="TableBodyText">
    <w:name w:val="Table Body Text"/>
    <w:basedOn w:val="BodyText"/>
    <w:rsid w:val="00EF1D66"/>
    <w:pPr>
      <w:spacing w:before="60" w:after="60"/>
    </w:pPr>
  </w:style>
  <w:style w:type="paragraph" w:styleId="ListContinue">
    <w:name w:val="List Continue"/>
    <w:basedOn w:val="List"/>
    <w:rsid w:val="00EF1D66"/>
    <w:pPr>
      <w:ind w:firstLine="0"/>
    </w:pPr>
  </w:style>
  <w:style w:type="paragraph" w:customStyle="1" w:styleId="ListNote">
    <w:name w:val="List Note"/>
    <w:basedOn w:val="List"/>
    <w:rsid w:val="00EF1D66"/>
    <w:pPr>
      <w:pBdr>
        <w:top w:val="single" w:sz="6" w:space="2" w:color="918585"/>
        <w:bottom w:val="single" w:sz="6" w:space="2" w:color="918585"/>
      </w:pBdr>
      <w:tabs>
        <w:tab w:val="left" w:pos="1021"/>
      </w:tabs>
      <w:ind w:firstLine="0"/>
    </w:pPr>
  </w:style>
  <w:style w:type="paragraph" w:customStyle="1" w:styleId="Warning">
    <w:name w:val="Warning"/>
    <w:basedOn w:val="BodyText"/>
    <w:rsid w:val="00EF1D66"/>
    <w:pPr>
      <w:shd w:val="clear" w:color="auto" w:fill="D9D9D9"/>
      <w:tabs>
        <w:tab w:val="left" w:pos="992"/>
      </w:tabs>
      <w:ind w:left="119" w:right="119"/>
    </w:pPr>
    <w:rPr>
      <w:sz w:val="20"/>
    </w:rPr>
  </w:style>
  <w:style w:type="paragraph" w:customStyle="1" w:styleId="MarginIcons">
    <w:name w:val="Margin Icons"/>
    <w:basedOn w:val="BodyText"/>
    <w:rsid w:val="00EF1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D66"/>
    <w:rPr>
      <w:rFonts w:ascii="Courier New" w:hAnsi="Courier New"/>
    </w:rPr>
  </w:style>
  <w:style w:type="paragraph" w:customStyle="1" w:styleId="NoteBullet">
    <w:name w:val="Note Bullet"/>
    <w:basedOn w:val="Note"/>
    <w:rsid w:val="00EF1D66"/>
    <w:pPr>
      <w:tabs>
        <w:tab w:val="clear" w:pos="680"/>
      </w:tabs>
      <w:spacing w:before="60" w:after="60"/>
    </w:pPr>
  </w:style>
  <w:style w:type="paragraph" w:customStyle="1" w:styleId="SubHeading2">
    <w:name w:val="SubHeading2"/>
    <w:basedOn w:val="HeadingBase"/>
    <w:rsid w:val="00EF1D66"/>
    <w:pPr>
      <w:spacing w:before="240" w:after="60"/>
    </w:pPr>
    <w:rPr>
      <w:sz w:val="20"/>
    </w:rPr>
  </w:style>
  <w:style w:type="paragraph" w:customStyle="1" w:styleId="SubHeading1">
    <w:name w:val="SubHeading1"/>
    <w:basedOn w:val="HeadingBase"/>
    <w:rsid w:val="00EF1D66"/>
    <w:pPr>
      <w:spacing w:before="240" w:after="60"/>
    </w:pPr>
    <w:rPr>
      <w:color w:val="918585"/>
      <w:sz w:val="22"/>
    </w:rPr>
  </w:style>
  <w:style w:type="paragraph" w:customStyle="1" w:styleId="SideHeading">
    <w:name w:val="Side Heading"/>
    <w:basedOn w:val="HeadingBase"/>
    <w:rsid w:val="00EF1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D66"/>
    <w:pPr>
      <w:numPr>
        <w:numId w:val="9"/>
      </w:numPr>
    </w:pPr>
  </w:style>
  <w:style w:type="paragraph" w:styleId="PlainText">
    <w:name w:val="Plain Text"/>
    <w:basedOn w:val="Normal"/>
    <w:link w:val="PlainTextChar"/>
    <w:rsid w:val="00EF1D66"/>
    <w:rPr>
      <w:sz w:val="20"/>
    </w:rPr>
  </w:style>
  <w:style w:type="character" w:customStyle="1" w:styleId="PlainTextChar">
    <w:name w:val="Plain Text Char"/>
    <w:basedOn w:val="DefaultParagraphFont"/>
    <w:link w:val="PlainText"/>
    <w:rsid w:val="00EF1D66"/>
    <w:rPr>
      <w:rFonts w:ascii="Courier New" w:eastAsia="Times New Roman" w:hAnsi="Courier New" w:cs="Times New Roman"/>
      <w:sz w:val="20"/>
      <w:szCs w:val="20"/>
      <w:lang w:eastAsia="en-US"/>
    </w:rPr>
  </w:style>
  <w:style w:type="character" w:customStyle="1" w:styleId="MenuOption">
    <w:name w:val="Menu Option"/>
    <w:basedOn w:val="DefaultParagraphFont"/>
    <w:rsid w:val="00EF1D66"/>
    <w:rPr>
      <w:b/>
      <w:smallCaps/>
    </w:rPr>
  </w:style>
  <w:style w:type="paragraph" w:customStyle="1" w:styleId="TableListNumber">
    <w:name w:val="Table List Number"/>
    <w:basedOn w:val="ListNumber"/>
    <w:rsid w:val="00EF1D66"/>
    <w:pPr>
      <w:numPr>
        <w:numId w:val="0"/>
      </w:numPr>
    </w:pPr>
  </w:style>
  <w:style w:type="paragraph" w:styleId="TOC4">
    <w:name w:val="toc 4"/>
    <w:basedOn w:val="TOCBase"/>
    <w:next w:val="Normal"/>
    <w:semiHidden/>
    <w:rsid w:val="00EF1D66"/>
    <w:pPr>
      <w:tabs>
        <w:tab w:val="right" w:leader="dot" w:pos="9071"/>
      </w:tabs>
      <w:ind w:left="1701"/>
    </w:pPr>
  </w:style>
  <w:style w:type="paragraph" w:customStyle="1" w:styleId="ListAlpha">
    <w:name w:val="List Alpha"/>
    <w:basedOn w:val="List"/>
    <w:rsid w:val="00EF1D66"/>
    <w:pPr>
      <w:numPr>
        <w:numId w:val="7"/>
      </w:numPr>
    </w:pPr>
  </w:style>
  <w:style w:type="paragraph" w:customStyle="1" w:styleId="ListAlpha2">
    <w:name w:val="List Alpha 2"/>
    <w:basedOn w:val="List2"/>
    <w:rsid w:val="00EF1D66"/>
    <w:pPr>
      <w:numPr>
        <w:numId w:val="6"/>
      </w:numPr>
    </w:pPr>
  </w:style>
  <w:style w:type="paragraph" w:styleId="List2">
    <w:name w:val="List 2"/>
    <w:basedOn w:val="BodyText"/>
    <w:rsid w:val="00EF1D66"/>
    <w:pPr>
      <w:tabs>
        <w:tab w:val="left" w:pos="680"/>
      </w:tabs>
      <w:spacing w:before="60" w:after="60"/>
      <w:ind w:left="680" w:hanging="340"/>
    </w:pPr>
  </w:style>
  <w:style w:type="paragraph" w:styleId="List3">
    <w:name w:val="List 3"/>
    <w:basedOn w:val="BodyText"/>
    <w:rsid w:val="00EF1D66"/>
    <w:pPr>
      <w:tabs>
        <w:tab w:val="left" w:pos="1021"/>
      </w:tabs>
      <w:spacing w:before="60" w:after="60"/>
      <w:ind w:left="1020" w:hanging="340"/>
    </w:pPr>
  </w:style>
  <w:style w:type="paragraph" w:styleId="List4">
    <w:name w:val="List 4"/>
    <w:basedOn w:val="BodyText"/>
    <w:rsid w:val="00EF1D66"/>
    <w:pPr>
      <w:tabs>
        <w:tab w:val="left" w:pos="1361"/>
      </w:tabs>
      <w:spacing w:before="60" w:after="60"/>
      <w:ind w:left="1361" w:hanging="340"/>
    </w:pPr>
  </w:style>
  <w:style w:type="paragraph" w:styleId="List5">
    <w:name w:val="List 5"/>
    <w:basedOn w:val="BodyText"/>
    <w:rsid w:val="00EF1D66"/>
    <w:pPr>
      <w:tabs>
        <w:tab w:val="left" w:pos="1701"/>
      </w:tabs>
      <w:spacing w:before="60" w:after="60"/>
      <w:ind w:left="1701" w:hanging="340"/>
    </w:pPr>
  </w:style>
  <w:style w:type="paragraph" w:styleId="ListBullet3">
    <w:name w:val="List Bullet 3"/>
    <w:basedOn w:val="List3"/>
    <w:rsid w:val="00EF1D66"/>
    <w:pPr>
      <w:numPr>
        <w:numId w:val="12"/>
      </w:numPr>
      <w:tabs>
        <w:tab w:val="clear" w:pos="1021"/>
      </w:tabs>
      <w:ind w:left="1037" w:hanging="357"/>
    </w:pPr>
  </w:style>
  <w:style w:type="paragraph" w:styleId="ListBullet4">
    <w:name w:val="List Bullet 4"/>
    <w:basedOn w:val="List4"/>
    <w:rsid w:val="00EF1D66"/>
    <w:pPr>
      <w:numPr>
        <w:numId w:val="1"/>
      </w:numPr>
      <w:tabs>
        <w:tab w:val="clear" w:pos="1361"/>
      </w:tabs>
    </w:pPr>
  </w:style>
  <w:style w:type="paragraph" w:styleId="ListBullet5">
    <w:name w:val="List Bullet 5"/>
    <w:basedOn w:val="List5"/>
    <w:rsid w:val="00EF1D66"/>
    <w:pPr>
      <w:numPr>
        <w:numId w:val="2"/>
      </w:numPr>
    </w:pPr>
  </w:style>
  <w:style w:type="paragraph" w:styleId="ListContinue2">
    <w:name w:val="List Continue 2"/>
    <w:basedOn w:val="List2"/>
    <w:rsid w:val="00EF1D66"/>
    <w:pPr>
      <w:ind w:firstLine="0"/>
    </w:pPr>
  </w:style>
  <w:style w:type="paragraph" w:styleId="ListContinue3">
    <w:name w:val="List Continue 3"/>
    <w:basedOn w:val="List3"/>
    <w:rsid w:val="00EF1D66"/>
    <w:pPr>
      <w:ind w:left="1021" w:firstLine="0"/>
    </w:pPr>
  </w:style>
  <w:style w:type="paragraph" w:styleId="ListContinue4">
    <w:name w:val="List Continue 4"/>
    <w:basedOn w:val="List4"/>
    <w:rsid w:val="00EF1D66"/>
    <w:pPr>
      <w:ind w:firstLine="0"/>
    </w:pPr>
  </w:style>
  <w:style w:type="paragraph" w:styleId="ListContinue5">
    <w:name w:val="List Continue 5"/>
    <w:basedOn w:val="List5"/>
    <w:rsid w:val="00EF1D66"/>
    <w:pPr>
      <w:ind w:firstLine="0"/>
    </w:pPr>
  </w:style>
  <w:style w:type="paragraph" w:styleId="ListNumber3">
    <w:name w:val="List Number 3"/>
    <w:basedOn w:val="List3"/>
    <w:rsid w:val="00EF1D66"/>
    <w:pPr>
      <w:numPr>
        <w:numId w:val="3"/>
      </w:numPr>
    </w:pPr>
  </w:style>
  <w:style w:type="paragraph" w:styleId="ListNumber4">
    <w:name w:val="List Number 4"/>
    <w:basedOn w:val="List4"/>
    <w:rsid w:val="00EF1D66"/>
    <w:pPr>
      <w:numPr>
        <w:numId w:val="4"/>
      </w:numPr>
    </w:pPr>
  </w:style>
  <w:style w:type="paragraph" w:styleId="ListNumber5">
    <w:name w:val="List Number 5"/>
    <w:basedOn w:val="List5"/>
    <w:rsid w:val="00EF1D66"/>
    <w:pPr>
      <w:numPr>
        <w:numId w:val="5"/>
      </w:numPr>
    </w:pPr>
  </w:style>
  <w:style w:type="paragraph" w:styleId="BlockText">
    <w:name w:val="Block Text"/>
    <w:basedOn w:val="Normal"/>
    <w:rsid w:val="00EF1D66"/>
    <w:pPr>
      <w:spacing w:after="120"/>
      <w:ind w:left="1440" w:right="1440"/>
    </w:pPr>
  </w:style>
  <w:style w:type="character" w:customStyle="1" w:styleId="Subscript">
    <w:name w:val="Subscript"/>
    <w:basedOn w:val="DefaultParagraphFont"/>
    <w:rsid w:val="00EF1D66"/>
    <w:rPr>
      <w:sz w:val="16"/>
      <w:vertAlign w:val="subscript"/>
    </w:rPr>
  </w:style>
  <w:style w:type="character" w:customStyle="1" w:styleId="Superscript">
    <w:name w:val="Superscript"/>
    <w:basedOn w:val="DefaultParagraphFont"/>
    <w:rsid w:val="00EF1D66"/>
    <w:rPr>
      <w:sz w:val="16"/>
      <w:vertAlign w:val="superscript"/>
    </w:rPr>
  </w:style>
  <w:style w:type="character" w:customStyle="1" w:styleId="Symbols">
    <w:name w:val="Symbols"/>
    <w:basedOn w:val="DefaultParagraphFont"/>
    <w:rsid w:val="00EF1D66"/>
    <w:rPr>
      <w:rFonts w:ascii="Symbol" w:hAnsi="Symbol"/>
    </w:rPr>
  </w:style>
  <w:style w:type="character" w:customStyle="1" w:styleId="MenuOptions">
    <w:name w:val="Menu Options"/>
    <w:basedOn w:val="DefaultParagraphFont"/>
    <w:rsid w:val="00EF1D66"/>
    <w:rPr>
      <w:rFonts w:ascii="Arial Narrow" w:hAnsi="Arial Narrow"/>
      <w:smallCaps/>
    </w:rPr>
  </w:style>
  <w:style w:type="character" w:customStyle="1" w:styleId="Buttons">
    <w:name w:val="Buttons"/>
    <w:basedOn w:val="DefaultParagraphFont"/>
    <w:rsid w:val="00EF1D66"/>
    <w:rPr>
      <w:b/>
    </w:rPr>
  </w:style>
  <w:style w:type="character" w:customStyle="1" w:styleId="Underlined">
    <w:name w:val="Underlined"/>
    <w:basedOn w:val="DefaultParagraphFont"/>
    <w:rsid w:val="00EF1D66"/>
    <w:rPr>
      <w:u w:val="single"/>
    </w:rPr>
  </w:style>
  <w:style w:type="paragraph" w:customStyle="1" w:styleId="TableBodyTextRight">
    <w:name w:val="Table Body Text Right"/>
    <w:basedOn w:val="TableBodyText"/>
    <w:rsid w:val="00EF1D66"/>
    <w:pPr>
      <w:widowControl w:val="0"/>
      <w:autoSpaceDE w:val="0"/>
      <w:autoSpaceDN w:val="0"/>
      <w:adjustRightInd w:val="0"/>
      <w:jc w:val="right"/>
    </w:pPr>
    <w:rPr>
      <w:rFonts w:cs="Arial"/>
      <w:szCs w:val="18"/>
    </w:rPr>
  </w:style>
  <w:style w:type="paragraph" w:customStyle="1" w:styleId="CopyrightText">
    <w:name w:val="Copyright Text"/>
    <w:basedOn w:val="BodyText"/>
    <w:rsid w:val="00EF1D66"/>
    <w:rPr>
      <w:sz w:val="18"/>
    </w:rPr>
  </w:style>
  <w:style w:type="paragraph" w:customStyle="1" w:styleId="BodySmallRight">
    <w:name w:val="Body Small Right"/>
    <w:basedOn w:val="BodyTextRight"/>
    <w:rsid w:val="00EF1D66"/>
    <w:rPr>
      <w:sz w:val="18"/>
      <w:szCs w:val="18"/>
    </w:rPr>
  </w:style>
  <w:style w:type="paragraph" w:customStyle="1" w:styleId="MarginEdition">
    <w:name w:val="Margin Edition"/>
    <w:basedOn w:val="MarginNote"/>
    <w:rsid w:val="00EF1D66"/>
    <w:pPr>
      <w:spacing w:before="0" w:after="0"/>
    </w:pPr>
    <w:rPr>
      <w:rFonts w:ascii="Times New Roman" w:hAnsi="Times New Roman"/>
      <w:color w:val="999999"/>
    </w:rPr>
  </w:style>
  <w:style w:type="paragraph" w:customStyle="1" w:styleId="Spacer">
    <w:name w:val="Spacer"/>
    <w:basedOn w:val="Normal"/>
    <w:rsid w:val="00EF1D66"/>
    <w:rPr>
      <w:sz w:val="2"/>
      <w:szCs w:val="2"/>
    </w:rPr>
  </w:style>
  <w:style w:type="character" w:customStyle="1" w:styleId="Small">
    <w:name w:val="Small"/>
    <w:basedOn w:val="DefaultParagraphFont"/>
    <w:rsid w:val="00EF1D66"/>
    <w:rPr>
      <w:sz w:val="16"/>
    </w:rPr>
  </w:style>
  <w:style w:type="paragraph" w:customStyle="1" w:styleId="WideTable">
    <w:name w:val="Wide Table"/>
    <w:basedOn w:val="Normal"/>
    <w:rsid w:val="00EF1D66"/>
    <w:pPr>
      <w:ind w:left="-1418"/>
    </w:pPr>
    <w:rPr>
      <w:sz w:val="2"/>
      <w:szCs w:val="2"/>
    </w:rPr>
  </w:style>
  <w:style w:type="character" w:styleId="PageNumber">
    <w:name w:val="page number"/>
    <w:basedOn w:val="DefaultParagraphFont"/>
    <w:rsid w:val="00EF1D66"/>
  </w:style>
  <w:style w:type="paragraph" w:styleId="Quote">
    <w:name w:val="Quote"/>
    <w:basedOn w:val="Heading1"/>
    <w:link w:val="QuoteChar"/>
    <w:qFormat/>
    <w:rsid w:val="00EF1D66"/>
    <w:rPr>
      <w:b w:val="0"/>
      <w:sz w:val="72"/>
      <w:szCs w:val="72"/>
      <w:lang w:val="en-NZ"/>
    </w:rPr>
  </w:style>
  <w:style w:type="character" w:customStyle="1" w:styleId="QuoteChar">
    <w:name w:val="Quote Char"/>
    <w:basedOn w:val="DefaultParagraphFont"/>
    <w:link w:val="Quote"/>
    <w:rsid w:val="00EF1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D66"/>
    <w:pPr>
      <w:pageBreakBefore/>
    </w:pPr>
  </w:style>
  <w:style w:type="paragraph" w:customStyle="1" w:styleId="Border">
    <w:name w:val="Border"/>
    <w:basedOn w:val="Normal"/>
    <w:qFormat/>
    <w:rsid w:val="00EF1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D66"/>
    <w:rPr>
      <w:b/>
      <w:bCs/>
      <w:i/>
      <w:iCs/>
      <w:color w:val="auto"/>
    </w:rPr>
  </w:style>
  <w:style w:type="paragraph" w:styleId="IntenseQuote">
    <w:name w:val="Intense Quote"/>
    <w:basedOn w:val="Normal"/>
    <w:next w:val="Normal"/>
    <w:link w:val="IntenseQuoteChar"/>
    <w:uiPriority w:val="30"/>
    <w:qFormat/>
    <w:rsid w:val="00EF1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D66"/>
    <w:rPr>
      <w:smallCaps/>
      <w:color w:val="auto"/>
      <w:u w:val="single"/>
    </w:rPr>
  </w:style>
  <w:style w:type="character" w:styleId="IntenseReference">
    <w:name w:val="Intense Reference"/>
    <w:basedOn w:val="DefaultParagraphFont"/>
    <w:uiPriority w:val="32"/>
    <w:qFormat/>
    <w:rsid w:val="00EF1D66"/>
    <w:rPr>
      <w:b/>
      <w:bCs/>
      <w:smallCaps/>
      <w:color w:val="auto"/>
      <w:spacing w:val="5"/>
      <w:u w:val="single"/>
    </w:rPr>
  </w:style>
  <w:style w:type="paragraph" w:customStyle="1" w:styleId="2ColumnHeading">
    <w:name w:val="2Column Heading"/>
    <w:basedOn w:val="BodyText"/>
    <w:qFormat/>
    <w:rsid w:val="00EF1D66"/>
    <w:pPr>
      <w:spacing w:after="60"/>
      <w:ind w:left="-2268"/>
    </w:pPr>
    <w:rPr>
      <w:b/>
    </w:rPr>
  </w:style>
  <w:style w:type="paragraph" w:customStyle="1" w:styleId="Heading1TOC">
    <w:name w:val="Heading1 TOC"/>
    <w:basedOn w:val="Normal"/>
    <w:qFormat/>
    <w:rsid w:val="00EF1D66"/>
    <w:pPr>
      <w:spacing w:before="240" w:after="120"/>
    </w:pPr>
    <w:rPr>
      <w:rFonts w:ascii="Times New Roman" w:hAnsi="Times New Roman"/>
      <w:b/>
      <w:sz w:val="32"/>
    </w:rPr>
  </w:style>
  <w:style w:type="paragraph" w:customStyle="1" w:styleId="Heading2TOC">
    <w:name w:val="Heading2 TOC"/>
    <w:basedOn w:val="Normal"/>
    <w:qFormat/>
    <w:rsid w:val="00EF1D66"/>
    <w:pPr>
      <w:spacing w:before="240" w:after="60"/>
    </w:pPr>
    <w:rPr>
      <w:rFonts w:ascii="Times New Roman" w:hAnsi="Times New Roman"/>
      <w:b/>
      <w:sz w:val="28"/>
    </w:rPr>
  </w:style>
  <w:style w:type="character" w:customStyle="1" w:styleId="Underline">
    <w:name w:val="Underline"/>
    <w:basedOn w:val="DefaultParagraphFont"/>
    <w:qFormat/>
    <w:rsid w:val="00EF1D66"/>
    <w:rPr>
      <w:u w:val="single"/>
    </w:rPr>
  </w:style>
  <w:style w:type="character" w:customStyle="1" w:styleId="BoldandItalics">
    <w:name w:val="Bold and Italics"/>
    <w:qFormat/>
    <w:rsid w:val="00EF1D66"/>
    <w:rPr>
      <w:b/>
      <w:i/>
      <w:u w:val="none"/>
    </w:rPr>
  </w:style>
  <w:style w:type="paragraph" w:styleId="BalloonText">
    <w:name w:val="Balloon Text"/>
    <w:basedOn w:val="Normal"/>
    <w:link w:val="BalloonTextChar"/>
    <w:rsid w:val="00EF1D66"/>
    <w:rPr>
      <w:rFonts w:ascii="Tahoma" w:hAnsi="Tahoma" w:cs="Tahoma"/>
      <w:sz w:val="16"/>
      <w:szCs w:val="16"/>
    </w:rPr>
  </w:style>
  <w:style w:type="character" w:customStyle="1" w:styleId="BalloonTextChar">
    <w:name w:val="Balloon Text Char"/>
    <w:basedOn w:val="DefaultParagraphFont"/>
    <w:link w:val="BalloonText"/>
    <w:rsid w:val="00EF1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D66"/>
    <w:rPr>
      <w:b/>
      <w:color w:val="660033"/>
      <w:spacing w:val="0"/>
    </w:rPr>
  </w:style>
  <w:style w:type="paragraph" w:customStyle="1" w:styleId="Nameditemlist">
    <w:name w:val="Named item list"/>
    <w:basedOn w:val="BodyText"/>
    <w:qFormat/>
    <w:rsid w:val="00EF1D66"/>
    <w:pPr>
      <w:tabs>
        <w:tab w:val="left" w:pos="2835"/>
      </w:tabs>
      <w:ind w:left="2835" w:hanging="2835"/>
    </w:pPr>
  </w:style>
  <w:style w:type="paragraph" w:customStyle="1" w:styleId="BodyTextnopadding">
    <w:name w:val="Body Text no padding"/>
    <w:basedOn w:val="BodyText"/>
    <w:qFormat/>
    <w:rsid w:val="00EF1D66"/>
    <w:pPr>
      <w:spacing w:before="0" w:after="0"/>
    </w:pPr>
  </w:style>
  <w:style w:type="paragraph" w:customStyle="1" w:styleId="BodyTextBold">
    <w:name w:val="Body Text Bold"/>
    <w:basedOn w:val="BodyText"/>
    <w:qFormat/>
    <w:rsid w:val="00EF1D66"/>
    <w:rPr>
      <w:b/>
    </w:rPr>
  </w:style>
  <w:style w:type="character" w:styleId="Hyperlink">
    <w:name w:val="Hyperlink"/>
    <w:basedOn w:val="DefaultParagraphFont"/>
    <w:uiPriority w:val="99"/>
    <w:unhideWhenUsed/>
    <w:rsid w:val="00F833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5263</Characters>
  <Application>Microsoft Office Word</Application>
  <DocSecurity>0</DocSecurity>
  <Lines>228</Lines>
  <Paragraphs>108</Paragraphs>
  <ScaleCrop>false</ScaleCrop>
  <Company>Author-it Software Corporation Ltd.</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UEPOPS324 Operate and monitor brine concentrator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