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AC4" w:rsidP="00A27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UEPOPS150 Operate and monitor multiple facilities from single control room</w:t>
      </w:r>
      <w:r>
        <w:fldChar w:fldCharType="end"/>
      </w:r>
    </w:p>
    <w:p w:rsidR="00A27AC4" w:rsidP="00A27AC4">
      <w:pPr>
        <w:pStyle w:val="Version"/>
        <w:sectPr w:rsidSect="00CD4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5F6" w:rsidP="00CD45F6">
      <w:pPr>
        <w:pStyle w:val="SuperHeading"/>
      </w:pPr>
      <w:r w:rsidRPr="00CD45F6">
        <w:t>UEPOPS150 Operate and monitor multiple facilities from single control room</w:t>
      </w:r>
    </w:p>
    <w:p w:rsidR="00000000" w:rsidRPr="00CD45F6" w:rsidP="00CD45F6">
      <w:pPr>
        <w:pStyle w:val="Heading1"/>
      </w:pPr>
      <w:bookmarkStart w:id="1" w:name="O_1236096"/>
      <w:bookmarkEnd w:id="1"/>
      <w:r w:rsidRPr="00CD45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2" w:name="O_1236097"/>
      <w:bookmarkEnd w:id="2"/>
      <w:r w:rsidRPr="00CD45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This unit involves the skills and knowledge required to operate and monitor multiple facilities from a single control room in the electricity supply industry generation sector.</w:t>
            </w:r>
          </w:p>
          <w:p w:rsidR="00000000" w:rsidRPr="00CD45F6" w:rsidP="00CD45F6">
            <w:pPr>
              <w:pStyle w:val="BodyText"/>
            </w:pPr>
            <w:r w:rsidRPr="00CD45F6">
              <w:t>Routine work can include undertaking activities s</w:t>
            </w:r>
            <w:r w:rsidRPr="00CD45F6">
              <w:t xml:space="preserve">uch as the operation of generation plant systems, operating and monitoring maintenance on equipment. </w:t>
            </w:r>
          </w:p>
          <w:p w:rsidR="00000000" w:rsidRPr="00CD45F6" w:rsidP="00CD45F6">
            <w:pPr>
              <w:pStyle w:val="BodyText"/>
            </w:pPr>
            <w:r w:rsidRPr="00CD45F6">
              <w:t xml:space="preserve">Competency in this unit requires the ability to carry out routine work activities in an electricity supply generation environment. Individuals will work, </w:t>
            </w:r>
            <w:r w:rsidRPr="00CD45F6">
              <w:t>under supervision, as an operator in an electricity supply generation facility.</w:t>
            </w:r>
          </w:p>
          <w:p w:rsidR="00000000" w:rsidRPr="00CD45F6" w:rsidP="00CD45F6">
            <w:pPr>
              <w:pStyle w:val="BodyText"/>
            </w:pPr>
            <w:r w:rsidRPr="00CD45F6">
              <w:t>No licensing, legislative or certification requirements apply to unit at the time of publication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3" w:name="O_1236098"/>
      <w:bookmarkEnd w:id="3"/>
      <w:r w:rsidRPr="00CD45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Not applicable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4" w:name="O_1236099"/>
      <w:bookmarkEnd w:id="4"/>
      <w:r w:rsidRPr="00CD45F6">
        <w:t>Com</w:t>
      </w:r>
      <w:r w:rsidRPr="00CD45F6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Operations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5" w:name="O_1236100"/>
      <w:bookmarkEnd w:id="5"/>
      <w:r w:rsidRPr="00CD45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Electricity Generation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6" w:name="O_1236101"/>
      <w:bookmarkEnd w:id="6"/>
      <w:r w:rsidRPr="00CD45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PERFORMANCE CRITERIA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Performance criteria describe the performance needed to demonstrate achievement of the element.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Prepare to operate and 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 xml:space="preserve">Work requirements for electricity generation systems are identified from relevant personnel and documentation, in accordance with permit and </w:t>
            </w:r>
            <w:r w:rsidRPr="00CD45F6">
              <w:t>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Work Health and Safety (WHS)/Occupational Health and Safety (OHS) regulations, legislat</w:t>
            </w:r>
            <w:r w:rsidRPr="00CD45F6">
              <w:t>ive requirements, codes of practice, manufacturers’ recommendations and specifications, and environmental requirements’, and workplace procedures are identified, applied and monitored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Tools, equipment and Personnel Protective Equipment (PPE) are identified and checked,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 xml:space="preserve">Relevant personnel are consulted, and work is coordinated on site, in accordance with workplace procedures 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Resource</w:t>
            </w:r>
            <w:r w:rsidRPr="00CD45F6">
              <w:t>s and materials are confirmed,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Schedule of work, including Safety Data Sheets (SDS), manual handling techniques and PPE are confirmed,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1.7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Electronic monitoring and d</w:t>
            </w:r>
            <w:r w:rsidRPr="00CD45F6">
              <w:t xml:space="preserve">ata reporting devices are identified and checked, in accordance with workplace procedures 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Hazards are identified and risk controls are implemented,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Schedule of work for plant is followed and work activities are completed,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Work practices for control room operations and monitoring are applied,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Alarm response an</w:t>
            </w:r>
            <w:r w:rsidRPr="00CD45F6">
              <w:t>d coordination from relevant personnel for unplanned events are applied,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Continuous checks on plant systems to ensure work and requirements are undertaken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rPr>
                <w:rStyle w:val="SpecialBold"/>
              </w:rPr>
              <w:t>Completed operate and monitor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 xml:space="preserve">Final checks of systems to ensure work and requirements are completd in accordance with </w:t>
            </w:r>
            <w:r w:rsidRPr="00CD45F6">
              <w:t>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Relevant personnel are notified of work completion,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Tools, equipment, resources and materials are    cleaned, checked and returned to storage,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t>Work area is cleaned and made safe, in accordance with workplace procedures</w:t>
            </w:r>
          </w:p>
        </w:tc>
      </w:tr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5F6">
            <w:pPr>
              <w:pStyle w:val="BodyText"/>
              <w:rPr>
                <w:lang w:val="en-NZ"/>
              </w:rPr>
            </w:pPr>
            <w:r w:rsidRPr="00CD45F6">
              <w:rPr>
                <w:rStyle w:val="SpecialBold"/>
              </w:rPr>
              <w:t>3.5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Records are updated, in accordance with workplace procedures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7" w:name="O_1236102"/>
      <w:bookmarkEnd w:id="7"/>
      <w:r w:rsidRPr="00CD45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Foundation skills essential to performance are explicit in the performance criteria of this unit of competency.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8" w:name="O_1236103"/>
      <w:bookmarkEnd w:id="8"/>
      <w:r w:rsidRPr="00CD45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Ran</w:t>
            </w:r>
            <w:r w:rsidRPr="00CD45F6">
              <w:t>ge is restricted to essential operating conditions and any other variables essential to the work environment.</w:t>
            </w:r>
          </w:p>
          <w:p w:rsidR="00000000" w:rsidRPr="00CD45F6" w:rsidP="00CD45F6">
            <w:pPr>
              <w:pStyle w:val="BodyText"/>
            </w:pPr>
            <w:r w:rsidRPr="00CD45F6">
              <w:t>Non-essential conditions may be found in the Electricity Supply Industry - Generation Sector Training Package Companion Volume Implementation Guid</w:t>
            </w:r>
            <w:r w:rsidRPr="00CD45F6">
              <w:t>e.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9" w:name="O_1236104"/>
      <w:bookmarkEnd w:id="9"/>
      <w:r w:rsidRPr="00CD45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5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5F6" w:rsidP="00CD45F6">
            <w:pPr>
              <w:pStyle w:val="BodyText"/>
            </w:pPr>
            <w:r w:rsidRPr="00CD45F6">
              <w:t>This is a new unit.</w:t>
            </w:r>
          </w:p>
        </w:tc>
      </w:tr>
    </w:tbl>
    <w:p w:rsidR="00000000" w:rsidRPr="00CD45F6" w:rsidP="00CD45F6">
      <w:pPr>
        <w:pStyle w:val="NoPaddingFontSize1"/>
      </w:pPr>
    </w:p>
    <w:p w:rsidR="00000000" w:rsidRPr="00CD45F6" w:rsidP="00CD45F6">
      <w:pPr>
        <w:pStyle w:val="AllowPageBreak"/>
      </w:pPr>
    </w:p>
    <w:p w:rsidR="00000000" w:rsidRPr="00CD45F6" w:rsidP="00CD45F6">
      <w:pPr>
        <w:pStyle w:val="Heading1"/>
      </w:pPr>
      <w:bookmarkStart w:id="10" w:name="O_1236111"/>
      <w:bookmarkEnd w:id="10"/>
      <w:r w:rsidRPr="00CD45F6">
        <w:t>Links</w:t>
      </w:r>
    </w:p>
    <w:p w:rsidR="00000000" w:rsidRPr="00CD45F6" w:rsidP="00A27AC4">
      <w:pPr>
        <w:pStyle w:val="BodyText"/>
      </w:pPr>
      <w:r w:rsidRPr="00CD45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334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D45F6" w:rsidP="00CD45F6"/>
    <w:sectPr w:rsidSect="00CD4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F6" w:rsidRPr="00A27AC4" w:rsidP="00A27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4" w:rsidP="00CD4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AC4" w:rsidP="00CD4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7AC4" w:rsidP="00CD4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5F6" w:rsidRPr="00A27AC4" w:rsidP="00A27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C4" w:rsidRPr="002D2AF8" w:rsidP="00CD4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UEPOPS150 Operate and monitor multiple facilities from single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27AC4" w:rsidP="00CD4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5F6"/>
  </w:style>
  <w:style w:type="character" w:customStyle="1" w:styleId="Heading1Char">
    <w:name w:val="Heading 1 Char"/>
    <w:basedOn w:val="DefaultParagraphFont"/>
    <w:link w:val="Heading1"/>
    <w:rsid w:val="00CD4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5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45F6"/>
    <w:rPr>
      <w:b/>
      <w:spacing w:val="0"/>
    </w:rPr>
  </w:style>
  <w:style w:type="paragraph" w:customStyle="1" w:styleId="SuperHeading">
    <w:name w:val="SuperHeading"/>
    <w:basedOn w:val="Normal"/>
    <w:rsid w:val="00CD4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4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5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5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5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5F6"/>
    <w:rPr>
      <w:i/>
    </w:rPr>
  </w:style>
  <w:style w:type="paragraph" w:styleId="Caption">
    <w:name w:val="caption"/>
    <w:basedOn w:val="BodyText"/>
    <w:next w:val="Normal"/>
    <w:qFormat/>
    <w:rsid w:val="00CD4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5F6"/>
  </w:style>
  <w:style w:type="paragraph" w:styleId="TableofFigures">
    <w:name w:val="table of figures"/>
    <w:basedOn w:val="Normal"/>
    <w:next w:val="Normal"/>
    <w:semiHidden/>
    <w:rsid w:val="00CD4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5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45F6"/>
    <w:rPr>
      <w:rFonts w:ascii="Wingdings" w:hAnsi="Wingdings"/>
    </w:rPr>
  </w:style>
  <w:style w:type="paragraph" w:customStyle="1" w:styleId="TableHeading">
    <w:name w:val="Table Heading"/>
    <w:basedOn w:val="HeadingBase"/>
    <w:rsid w:val="00CD4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5F6"/>
    <w:rPr>
      <w:color w:val="0033CC"/>
      <w:u w:val="none"/>
    </w:rPr>
  </w:style>
  <w:style w:type="paragraph" w:customStyle="1" w:styleId="BodyTextRight">
    <w:name w:val="Body Text Right"/>
    <w:basedOn w:val="BodyText"/>
    <w:rsid w:val="00CD4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5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5F6"/>
    <w:rPr>
      <w:sz w:val="32"/>
    </w:rPr>
  </w:style>
  <w:style w:type="paragraph" w:customStyle="1" w:styleId="HeadingProcedure">
    <w:name w:val="Heading Procedure"/>
    <w:basedOn w:val="HeadingBase"/>
    <w:next w:val="Normal"/>
    <w:rsid w:val="00CD4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5F6"/>
    <w:pPr>
      <w:spacing w:before="60" w:after="60"/>
    </w:pPr>
  </w:style>
  <w:style w:type="paragraph" w:styleId="ListContinue">
    <w:name w:val="List Continue"/>
    <w:basedOn w:val="List"/>
    <w:rsid w:val="00CD45F6"/>
    <w:pPr>
      <w:ind w:firstLine="0"/>
    </w:pPr>
  </w:style>
  <w:style w:type="paragraph" w:customStyle="1" w:styleId="ListNote">
    <w:name w:val="List Note"/>
    <w:basedOn w:val="List"/>
    <w:rsid w:val="00CD4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5F6"/>
    <w:rPr>
      <w:rFonts w:ascii="Courier New" w:hAnsi="Courier New"/>
    </w:rPr>
  </w:style>
  <w:style w:type="paragraph" w:customStyle="1" w:styleId="NoteBullet">
    <w:name w:val="Note Bullet"/>
    <w:basedOn w:val="Note"/>
    <w:rsid w:val="00CD4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5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4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5F6"/>
    <w:rPr>
      <w:b/>
      <w:smallCaps/>
    </w:rPr>
  </w:style>
  <w:style w:type="paragraph" w:customStyle="1" w:styleId="TableListNumber">
    <w:name w:val="Table List Number"/>
    <w:basedOn w:val="ListNumber"/>
    <w:rsid w:val="00CD4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5F6"/>
    <w:pPr>
      <w:numPr>
        <w:numId w:val="7"/>
      </w:numPr>
    </w:pPr>
  </w:style>
  <w:style w:type="paragraph" w:customStyle="1" w:styleId="ListAlpha2">
    <w:name w:val="List Alpha 2"/>
    <w:basedOn w:val="List2"/>
    <w:rsid w:val="00CD45F6"/>
    <w:pPr>
      <w:numPr>
        <w:numId w:val="6"/>
      </w:numPr>
    </w:pPr>
  </w:style>
  <w:style w:type="paragraph" w:styleId="List2">
    <w:name w:val="List 2"/>
    <w:basedOn w:val="BodyText"/>
    <w:rsid w:val="00CD4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5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5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45F6"/>
    <w:pPr>
      <w:numPr>
        <w:numId w:val="2"/>
      </w:numPr>
    </w:pPr>
  </w:style>
  <w:style w:type="paragraph" w:styleId="ListContinue2">
    <w:name w:val="List Continue 2"/>
    <w:basedOn w:val="List2"/>
    <w:rsid w:val="00CD45F6"/>
    <w:pPr>
      <w:ind w:firstLine="0"/>
    </w:pPr>
  </w:style>
  <w:style w:type="paragraph" w:styleId="ListContinue3">
    <w:name w:val="List Continue 3"/>
    <w:basedOn w:val="List3"/>
    <w:rsid w:val="00CD45F6"/>
    <w:pPr>
      <w:ind w:left="1021" w:firstLine="0"/>
    </w:pPr>
  </w:style>
  <w:style w:type="paragraph" w:styleId="ListContinue4">
    <w:name w:val="List Continue 4"/>
    <w:basedOn w:val="List4"/>
    <w:rsid w:val="00CD45F6"/>
    <w:pPr>
      <w:ind w:firstLine="0"/>
    </w:pPr>
  </w:style>
  <w:style w:type="paragraph" w:styleId="ListContinue5">
    <w:name w:val="List Continue 5"/>
    <w:basedOn w:val="List5"/>
    <w:rsid w:val="00CD45F6"/>
    <w:pPr>
      <w:ind w:firstLine="0"/>
    </w:pPr>
  </w:style>
  <w:style w:type="paragraph" w:styleId="ListNumber3">
    <w:name w:val="List Number 3"/>
    <w:basedOn w:val="List3"/>
    <w:rsid w:val="00CD45F6"/>
    <w:pPr>
      <w:numPr>
        <w:numId w:val="3"/>
      </w:numPr>
    </w:pPr>
  </w:style>
  <w:style w:type="paragraph" w:styleId="ListNumber4">
    <w:name w:val="List Number 4"/>
    <w:basedOn w:val="List4"/>
    <w:rsid w:val="00CD45F6"/>
    <w:pPr>
      <w:numPr>
        <w:numId w:val="4"/>
      </w:numPr>
    </w:pPr>
  </w:style>
  <w:style w:type="paragraph" w:styleId="ListNumber5">
    <w:name w:val="List Number 5"/>
    <w:basedOn w:val="List5"/>
    <w:rsid w:val="00CD45F6"/>
    <w:pPr>
      <w:numPr>
        <w:numId w:val="5"/>
      </w:numPr>
    </w:pPr>
  </w:style>
  <w:style w:type="paragraph" w:styleId="BlockText">
    <w:name w:val="Block Text"/>
    <w:basedOn w:val="Normal"/>
    <w:rsid w:val="00CD4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5F6"/>
    <w:rPr>
      <w:sz w:val="16"/>
      <w:vertAlign w:val="superscript"/>
    </w:rPr>
  </w:style>
  <w:style w:type="character" w:customStyle="1" w:styleId="Symbols">
    <w:name w:val="Symbols"/>
    <w:basedOn w:val="DefaultParagraphFont"/>
    <w:rsid w:val="00CD45F6"/>
    <w:rPr>
      <w:rFonts w:ascii="Symbol" w:hAnsi="Symbol"/>
    </w:rPr>
  </w:style>
  <w:style w:type="character" w:customStyle="1" w:styleId="MenuOptions">
    <w:name w:val="Menu Options"/>
    <w:basedOn w:val="DefaultParagraphFont"/>
    <w:rsid w:val="00CD4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5F6"/>
    <w:rPr>
      <w:b/>
    </w:rPr>
  </w:style>
  <w:style w:type="character" w:customStyle="1" w:styleId="Underlined">
    <w:name w:val="Underlined"/>
    <w:basedOn w:val="DefaultParagraphFont"/>
    <w:rsid w:val="00CD45F6"/>
    <w:rPr>
      <w:u w:val="single"/>
    </w:rPr>
  </w:style>
  <w:style w:type="paragraph" w:customStyle="1" w:styleId="TableBodyTextRight">
    <w:name w:val="Table Body Text Right"/>
    <w:basedOn w:val="TableBodyText"/>
    <w:rsid w:val="00CD4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5F6"/>
    <w:rPr>
      <w:sz w:val="18"/>
    </w:rPr>
  </w:style>
  <w:style w:type="paragraph" w:customStyle="1" w:styleId="BodySmallRight">
    <w:name w:val="Body Small Right"/>
    <w:basedOn w:val="BodyTextRight"/>
    <w:rsid w:val="00CD45F6"/>
    <w:rPr>
      <w:sz w:val="18"/>
      <w:szCs w:val="18"/>
    </w:rPr>
  </w:style>
  <w:style w:type="paragraph" w:customStyle="1" w:styleId="MarginEdition">
    <w:name w:val="Margin Edition"/>
    <w:basedOn w:val="MarginNote"/>
    <w:rsid w:val="00CD4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5F6"/>
    <w:rPr>
      <w:sz w:val="2"/>
      <w:szCs w:val="2"/>
    </w:rPr>
  </w:style>
  <w:style w:type="character" w:customStyle="1" w:styleId="Small">
    <w:name w:val="Small"/>
    <w:basedOn w:val="DefaultParagraphFont"/>
    <w:rsid w:val="00CD45F6"/>
    <w:rPr>
      <w:sz w:val="16"/>
    </w:rPr>
  </w:style>
  <w:style w:type="paragraph" w:customStyle="1" w:styleId="WideTable">
    <w:name w:val="Wide Table"/>
    <w:basedOn w:val="Normal"/>
    <w:rsid w:val="00CD4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5F6"/>
  </w:style>
  <w:style w:type="paragraph" w:styleId="Quote">
    <w:name w:val="Quote"/>
    <w:basedOn w:val="Heading1"/>
    <w:link w:val="QuoteChar"/>
    <w:qFormat/>
    <w:rsid w:val="00CD4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5F6"/>
    <w:pPr>
      <w:pageBreakBefore/>
    </w:pPr>
  </w:style>
  <w:style w:type="paragraph" w:customStyle="1" w:styleId="Border">
    <w:name w:val="Border"/>
    <w:basedOn w:val="Normal"/>
    <w:qFormat/>
    <w:rsid w:val="00CD4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5F6"/>
    <w:rPr>
      <w:u w:val="single"/>
    </w:rPr>
  </w:style>
  <w:style w:type="character" w:customStyle="1" w:styleId="BoldandItalics">
    <w:name w:val="Bold and Italics"/>
    <w:qFormat/>
    <w:rsid w:val="00CD45F6"/>
    <w:rPr>
      <w:b/>
      <w:i/>
      <w:u w:val="none"/>
    </w:rPr>
  </w:style>
  <w:style w:type="paragraph" w:styleId="BalloonText">
    <w:name w:val="Balloon Text"/>
    <w:basedOn w:val="Normal"/>
    <w:link w:val="BalloonTextChar"/>
    <w:rsid w:val="00CD4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5F6"/>
    <w:pPr>
      <w:spacing w:before="0" w:after="0"/>
    </w:pPr>
  </w:style>
  <w:style w:type="paragraph" w:customStyle="1" w:styleId="BodyTextBold">
    <w:name w:val="Body Text Bold"/>
    <w:basedOn w:val="BodyText"/>
    <w:qFormat/>
    <w:rsid w:val="00CD45F6"/>
    <w:rPr>
      <w:b/>
    </w:rPr>
  </w:style>
  <w:style w:type="character" w:styleId="Hyperlink">
    <w:name w:val="Hyperlink"/>
    <w:basedOn w:val="DefaultParagraphFont"/>
    <w:uiPriority w:val="99"/>
    <w:unhideWhenUsed/>
    <w:rsid w:val="00A27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3807</Characters>
  <Application>Microsoft Office Word</Application>
  <DocSecurity>0</DocSecurity>
  <Lines>181</Lines>
  <Paragraphs>84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UEPOPS150 Operate and monitor multiple facilities from single control room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