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C8C" w:rsidP="00F56C8C">
      <w:pPr>
        <w:pStyle w:val="Title"/>
      </w:pPr>
      <w:r>
        <w:fldChar w:fldCharType="begin"/>
      </w:r>
      <w:r>
        <w:instrText xml:space="preserve"> TITLE   \* MERGEFORMAT </w:instrText>
      </w:r>
      <w:r>
        <w:fldChar w:fldCharType="separate"/>
      </w:r>
      <w:r>
        <w:t>UEPOPS141 Start up a heat recovery steam generator unit</w:t>
      </w:r>
      <w:r>
        <w:fldChar w:fldCharType="end"/>
      </w:r>
    </w:p>
    <w:p w:rsidR="00F56C8C" w:rsidP="00F56C8C">
      <w:pPr>
        <w:pStyle w:val="Version"/>
        <w:sectPr w:rsidSect="00C51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77E" w:rsidP="00C5177E">
      <w:pPr>
        <w:pStyle w:val="SuperHeading"/>
      </w:pPr>
      <w:r w:rsidRPr="00C5177E">
        <w:t>UEPOPS141 Start up a heat recovery steam generator unit</w:t>
      </w:r>
    </w:p>
    <w:p w:rsidR="00000000" w:rsidRPr="00C5177E" w:rsidP="00C5177E">
      <w:pPr>
        <w:pStyle w:val="Heading1"/>
      </w:pPr>
      <w:bookmarkStart w:id="1" w:name="O_1194054"/>
      <w:bookmarkEnd w:id="1"/>
      <w:r w:rsidRPr="00C5177E">
        <w:t>Modification History</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Release 1. This is the first release of this unit of competency in the UEP Electricity Supply Industry – Generation Sector Training Package Release 2.0.</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2" w:name="O_1194055"/>
      <w:bookmarkEnd w:id="2"/>
      <w:r w:rsidRPr="00C5177E">
        <w:t>Application</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This unit involves the skills a</w:t>
            </w:r>
            <w:r w:rsidRPr="00C5177E">
              <w:t>nd knowledge required to start up a heat recovery steam generator (HRSG) for service.</w:t>
            </w:r>
          </w:p>
          <w:p w:rsidR="00000000" w:rsidRPr="00C5177E" w:rsidP="00C5177E">
            <w:pPr>
              <w:pStyle w:val="BodyText"/>
            </w:pPr>
            <w:r w:rsidRPr="00C5177E">
              <w:t xml:space="preserve">HRSG are recovery heat exchangers that retrieve the heat from hot gas streams which are then supplied to steam turbines to generate additional electric power. Placing an </w:t>
            </w:r>
            <w:r w:rsidRPr="00C5177E">
              <w:t>HRSG in-service will require the entry of a heating medium and the control of water within the steam and water drum. It includes monitoring the flow and quality of feedwater, steam pressure and temperature increases and metal temperatures within HSRG desig</w:t>
            </w:r>
            <w:r w:rsidRPr="00C5177E">
              <w:t>n limits so that the HRSG is supplying a constant flow of steam at the required temperature and pressure.</w:t>
            </w:r>
          </w:p>
          <w:p w:rsidR="00000000" w:rsidRPr="00C5177E" w:rsidP="00C5177E">
            <w:pPr>
              <w:pStyle w:val="BodyText"/>
            </w:pPr>
            <w:r w:rsidRPr="00C5177E">
              <w:t>Competency in this unit requires the ability to plan and prepare start-up, operate HRSG plant during start-up, test and analyse HRSG system faults, an</w:t>
            </w:r>
            <w:r w:rsidRPr="00C5177E">
              <w:t>d complete documentation. Individuals will, in general, work under supervision, in a power generation facility as an operator.</w:t>
            </w:r>
          </w:p>
          <w:p w:rsidR="00000000" w:rsidRPr="00C5177E" w:rsidP="00C5177E">
            <w:pPr>
              <w:pStyle w:val="BodyText"/>
            </w:pPr>
            <w:r w:rsidRPr="00C5177E">
              <w:t>Power generation plant operators are trained and authorised to isolate, prepare plant and issue permits to work.</w:t>
            </w:r>
          </w:p>
          <w:p w:rsidR="00000000" w:rsidRPr="00C5177E" w:rsidP="00C5177E">
            <w:pPr>
              <w:pStyle w:val="BodyText"/>
            </w:pPr>
            <w:r w:rsidRPr="00C5177E">
              <w:t>No licensing, le</w:t>
            </w:r>
            <w:r w:rsidRPr="00C5177E">
              <w:t>gislative or certification requirements apply to this unit at the time of publication.</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3" w:name="O_1194056"/>
      <w:bookmarkEnd w:id="3"/>
      <w:r w:rsidRPr="00C5177E">
        <w:t>Pre-requisite Unit</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UEPOPS101 Operate and monitor HRSG hot gas control system</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4" w:name="O_1194057"/>
      <w:bookmarkEnd w:id="4"/>
      <w:r w:rsidRPr="00C5177E">
        <w:t>Competency Field</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Operations</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5" w:name="O_1194058"/>
      <w:bookmarkEnd w:id="5"/>
      <w:r w:rsidRPr="00C5177E">
        <w:t>Unit Sector</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Electricity generation</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6" w:name="O_1194059"/>
      <w:bookmarkEnd w:id="6"/>
      <w:r w:rsidRPr="00C5177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5177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PERFORMANCE CRITERIA</w:t>
            </w:r>
          </w:p>
        </w:tc>
      </w:tr>
      <w:tr w:rsidTr="00C5177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 xml:space="preserve">Elements describe the essential </w:t>
            </w:r>
            <w:r w:rsidRPr="00C5177E">
              <w:t>outcomes.</w:t>
            </w:r>
          </w:p>
        </w:tc>
        <w:tc>
          <w:tcPr>
            <w:tcW w:w="6330" w:type="dxa"/>
            <w:gridSpan w:val="2"/>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 xml:space="preserve">Performance criteria describe the performance needed to </w:t>
            </w:r>
            <w:r w:rsidRPr="00C5177E">
              <w:t>demonstrate achievement of the element.</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Plan and prepare</w:t>
            </w:r>
            <w:r w:rsidRPr="00C5177E">
              <w:t xml:space="preserve"> </w:t>
            </w:r>
            <w:r w:rsidRPr="00C5177E">
              <w:rPr>
                <w:rStyle w:val="SpecialBold"/>
              </w:rPr>
              <w:t>HRSG start-up</w:t>
            </w:r>
            <w:r w:rsidRPr="00C5177E">
              <w:t xml:space="preserve"> </w:t>
            </w:r>
            <w:r w:rsidRPr="00C5177E">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Work health and safety (WHS)/occupational health and safety (OHS) regulations, legislative requirements, codes of pr</w:t>
            </w:r>
            <w:r w:rsidRPr="00C5177E">
              <w:t>actice, manufacturers’ recommendations and specifications, environmental requirements and workplace procedures are identified, applied and monitored</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Work requirements are identified from relevant personnel and documentation in accordance with workpl</w:t>
            </w:r>
            <w:r w:rsidRPr="00C5177E">
              <w:t>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Preoperational checks are carried out on plant in accordance with manufacturers</w:t>
            </w:r>
            <w:r>
              <w:t>’</w:t>
            </w:r>
            <w:r w:rsidRPr="00C5177E">
              <w:t xml:space="preserve"> recommendations and specifications, and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Conduct HRSG</w:t>
            </w:r>
            <w:r w:rsidRPr="00C5177E">
              <w:t xml:space="preserve"> </w:t>
            </w:r>
            <w:r w:rsidRPr="00C5177E">
              <w:rPr>
                <w:rStyle w:val="SpecialBold"/>
              </w:rPr>
              <w:t>start- up</w:t>
            </w: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 xml:space="preserve">Preoperational conditions of the HRSG and gas turbine are established in accordance with workplace procedures </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Minimum operation of gas turbine is established and supported in accordance with manufacturers</w:t>
            </w:r>
            <w:r>
              <w:t>’</w:t>
            </w:r>
            <w:r w:rsidRPr="00C5177E">
              <w:t xml:space="preserve"> recommendations and specifications, and wo</w:t>
            </w:r>
            <w:r w:rsidRPr="00C5177E">
              <w:t>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Monitoring of HRSG drum level, feedwater flow, steam and metal temperature rates of rise, steam pressure rate of rise and control of steam flow and drainage is carried out in accordance with manufacturers</w:t>
            </w:r>
            <w:r>
              <w:t>’</w:t>
            </w:r>
            <w:r w:rsidRPr="00C5177E">
              <w:t xml:space="preserve"> recommendations and spec</w:t>
            </w:r>
            <w:r w:rsidRPr="00C5177E">
              <w:t>ifications, and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 xml:space="preserve">Exhaust temperature, flow to HRSG and gas turbine power output are adjusted to achieve required steam conditions and demand in accordance workplace procedures </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HRSG plant is operated wi</w:t>
            </w:r>
            <w:r w:rsidRPr="00C5177E">
              <w:t>thin limits of design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HRSG plant is monitored to detect deviations from required operating conditions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Corrective action is taken to rectify HRSG abnormalities in accordance with manufacturers</w:t>
            </w:r>
            <w:r>
              <w:t>’</w:t>
            </w:r>
            <w:r w:rsidRPr="00C5177E">
              <w:t xml:space="preserve"> recommendations and specifications, and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Test HRSG plant operation</w:t>
            </w: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 xml:space="preserve">Tests are performed in accordance with workplace procedures </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HRSG plant is observed for correct operational response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HRSG plant is returned to required operational status upon completion of testing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Analyse HRSG</w:t>
            </w:r>
            <w:r w:rsidRPr="00C5177E">
              <w:t xml:space="preserve"> </w:t>
            </w:r>
            <w:r w:rsidRPr="00C5177E">
              <w:rPr>
                <w:rStyle w:val="SpecialBold"/>
              </w:rPr>
              <w:t>faults</w:t>
            </w:r>
            <w:r w:rsidRPr="00C5177E">
              <w:t xml:space="preserve"> </w:t>
            </w: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Caus</w:t>
            </w:r>
            <w:r w:rsidRPr="00C5177E">
              <w:t xml:space="preserve">es of abnormal HRSG plant operating conditions are identified by analysing technical and operational information in accordance with workplace procedures  </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HRSG plant integrity and personnel safety are maintained through consultation with relevant pe</w:t>
            </w:r>
            <w:r w:rsidRPr="00C5177E">
              <w:t>rsonnel and technical and operational documentation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Relevant personnel are notified when defects are detected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HRSG plant problems, movements and status are reported in accordance with workplace procedures</w:t>
            </w:r>
          </w:p>
        </w:tc>
      </w:tr>
      <w:tr w:rsidTr="00C5177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5177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Documentation is updated in accordance with workplace procedures</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7" w:name="O_1194060"/>
      <w:bookmarkEnd w:id="7"/>
      <w:r w:rsidRPr="00C5177E">
        <w:t>Foundation Skills</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Foundation skills essential to performance are exp</w:t>
            </w:r>
            <w:r w:rsidRPr="00C5177E">
              <w:t>licit in the performance criteria of this unit of competency.</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8" w:name="O_1194061"/>
      <w:bookmarkEnd w:id="8"/>
      <w:r w:rsidRPr="00C5177E">
        <w:t>Range of Conditions</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Range is restricted to essential operating conditions and any other variables essential to the work environment.</w:t>
            </w:r>
          </w:p>
          <w:p w:rsidR="00000000" w:rsidRPr="00C5177E" w:rsidP="00C5177E">
            <w:pPr>
              <w:pStyle w:val="BodyText"/>
            </w:pPr>
            <w:r w:rsidRPr="00C5177E">
              <w:t>Non-essential conditions may be found in the UEP Electricity Supply Industry – Generation Sector Training Package Companion Volume Implementation Guide.</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9" w:name="O_1194062"/>
      <w:bookmarkEnd w:id="9"/>
      <w:r w:rsidRPr="00C5177E">
        <w:t>Unit Mapping Information</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This unit replaces and is equivalent to UEPOPS432 Start u</w:t>
            </w:r>
            <w:r w:rsidRPr="00C5177E">
              <w:t>p a heat recovery steam generator unit.</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10" w:name="O_1194069"/>
      <w:bookmarkEnd w:id="10"/>
      <w:r w:rsidRPr="00C5177E">
        <w:t>Links</w:t>
      </w:r>
    </w:p>
    <w:p w:rsidR="00000000" w:rsidRPr="00C5177E" w:rsidP="00F56C8C">
      <w:pPr>
        <w:pStyle w:val="BodyText"/>
      </w:pPr>
      <w:r w:rsidRPr="00C5177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4B15">
        <w:rPr>
          <w:rStyle w:val="Hyperlink"/>
        </w:rPr>
        <w:t>https://vetnet.gov.au/Pages/TrainingDocs.aspx?q=1715b9fa-e7bd-441c-bb8d-cf22c9c825a8</w:t>
      </w:r>
      <w:r>
        <w:fldChar w:fldCharType="end"/>
      </w:r>
    </w:p>
    <w:p w:rsidR="00000000" w:rsidRPr="00C5177E" w:rsidP="00F56C8C">
      <w:pPr>
        <w:pStyle w:val="BodyText"/>
        <w:sectPr w:rsidSect="00C5177E">
          <w:headerReference w:type="default" r:id="rId10"/>
          <w:footerReference w:type="default" r:id="rId11"/>
          <w:pgSz w:w="11908" w:h="16833"/>
          <w:pgMar w:top="1702" w:right="1418" w:bottom="1702" w:left="1418" w:header="992" w:footer="992" w:gutter="0"/>
          <w:cols w:space="720"/>
          <w:noEndnote/>
          <w:docGrid w:linePitch="299"/>
        </w:sectPr>
      </w:pPr>
    </w:p>
    <w:p w:rsidR="00000000" w:rsidRPr="00C5177E" w:rsidP="00C5177E">
      <w:pPr>
        <w:pStyle w:val="SuperHeading"/>
      </w:pPr>
      <w:r w:rsidRPr="00C5177E">
        <w:t>Assessment Requirements for UEPOPS141 Start up a heat recovery steam generator unit</w:t>
      </w:r>
    </w:p>
    <w:p w:rsidR="00000000" w:rsidRPr="00C5177E" w:rsidP="00C5177E">
      <w:pPr>
        <w:pStyle w:val="Heading1"/>
      </w:pPr>
      <w:bookmarkStart w:id="11" w:name="O_1194064"/>
      <w:bookmarkEnd w:id="11"/>
      <w:r w:rsidRPr="00C5177E">
        <w:t>Modification History</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Release 1. This is the first release of this unit of competency in the UEP Electricity Supply Industry –</w:t>
            </w:r>
            <w:r w:rsidRPr="00C5177E">
              <w:t xml:space="preserve"> Generation Sector Training Package Release 2.0.</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12" w:name="O_1194065"/>
      <w:bookmarkEnd w:id="12"/>
      <w:r w:rsidRPr="00C5177E">
        <w:t>Performance Evidence</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Evidence required to demonstrate competence in this unit must be relevant to and satisfy all the requirements of the elements and performance criteria on at least tw</w:t>
            </w:r>
            <w:r w:rsidRPr="00C5177E">
              <w:t xml:space="preserve">o separate occasions and include: </w:t>
            </w:r>
          </w:p>
        </w:tc>
      </w:tr>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ListBullet"/>
            </w:pPr>
            <w:r w:rsidRPr="00C5177E">
              <w:t>applying work health and safety (WHS)/occupational health and safety (OHS) legislated requirements, including:</w:t>
            </w:r>
          </w:p>
          <w:p w:rsidR="00000000" w:rsidRPr="00C5177E" w:rsidP="00C5177E">
            <w:pPr>
              <w:pStyle w:val="ListBullet2"/>
            </w:pPr>
            <w:r w:rsidRPr="00C5177E">
              <w:t>emergency procedures</w:t>
            </w:r>
          </w:p>
          <w:p w:rsidR="00000000" w:rsidRPr="00C5177E" w:rsidP="00C5177E">
            <w:pPr>
              <w:pStyle w:val="ListBullet2"/>
            </w:pPr>
            <w:r w:rsidRPr="00C5177E">
              <w:t>risk control measures</w:t>
            </w:r>
          </w:p>
          <w:p w:rsidR="00000000" w:rsidRPr="00C5177E" w:rsidP="00C5177E">
            <w:pPr>
              <w:pStyle w:val="ListBullet2"/>
            </w:pPr>
            <w:r w:rsidRPr="00C5177E">
              <w:t>safe working practices</w:t>
            </w:r>
          </w:p>
          <w:p w:rsidR="00000000" w:rsidRPr="00C5177E" w:rsidP="00C5177E">
            <w:pPr>
              <w:pStyle w:val="ListBullet"/>
            </w:pPr>
            <w:r w:rsidRPr="00C5177E">
              <w:t>communicating with personnel</w:t>
            </w:r>
          </w:p>
          <w:p w:rsidR="00000000" w:rsidRPr="00C5177E" w:rsidP="00C5177E">
            <w:pPr>
              <w:pStyle w:val="ListBullet"/>
            </w:pPr>
            <w:r w:rsidRPr="00C5177E">
              <w:t>identifying heat recovery steam generator (HRSG) plant status</w:t>
            </w:r>
          </w:p>
          <w:p w:rsidR="00000000" w:rsidRPr="00C5177E" w:rsidP="00C5177E">
            <w:pPr>
              <w:pStyle w:val="ListBullet"/>
            </w:pPr>
            <w:r w:rsidRPr="00C5177E">
              <w:t>implementing regulations, legislative requirements, codes of practice, manufacturers’ recommendations and specifications, and environmental requirements</w:t>
            </w:r>
          </w:p>
          <w:p w:rsidR="00000000" w:rsidRPr="00C5177E" w:rsidP="00C5177E">
            <w:pPr>
              <w:pStyle w:val="ListBullet"/>
            </w:pPr>
            <w:r w:rsidRPr="00C5177E">
              <w:t>interpreting manuals</w:t>
            </w:r>
          </w:p>
          <w:p w:rsidR="00000000" w:rsidRPr="00C5177E" w:rsidP="00C5177E">
            <w:pPr>
              <w:pStyle w:val="ListBullet"/>
            </w:pPr>
            <w:r w:rsidRPr="00C5177E">
              <w:t>monitoring and opera</w:t>
            </w:r>
            <w:r w:rsidRPr="00C5177E">
              <w:t xml:space="preserve">ting HRSG plant and equipment </w:t>
            </w:r>
          </w:p>
          <w:p w:rsidR="00000000" w:rsidRPr="00C5177E" w:rsidP="00C5177E">
            <w:pPr>
              <w:pStyle w:val="ListBullet"/>
            </w:pPr>
            <w:r w:rsidRPr="00C5177E">
              <w:t>organising resources</w:t>
            </w:r>
          </w:p>
          <w:p w:rsidR="00000000" w:rsidRPr="00C5177E" w:rsidP="00C5177E">
            <w:pPr>
              <w:pStyle w:val="ListBullet"/>
            </w:pPr>
            <w:r w:rsidRPr="00C5177E">
              <w:t xml:space="preserve">planning and preparing HRSG plant and equipment for start and run-up operations </w:t>
            </w:r>
          </w:p>
          <w:p w:rsidR="00000000" w:rsidRPr="00C5177E" w:rsidP="00C5177E">
            <w:pPr>
              <w:pStyle w:val="ListBullet"/>
            </w:pPr>
            <w:r w:rsidRPr="00C5177E">
              <w:t xml:space="preserve">recognising and responding to abnormal HRSG plant operating conditions </w:t>
            </w:r>
          </w:p>
          <w:p w:rsidR="00000000" w:rsidRPr="00C5177E" w:rsidP="00C5177E">
            <w:pPr>
              <w:pStyle w:val="ListBullet"/>
            </w:pPr>
            <w:r w:rsidRPr="00C5177E">
              <w:t>starting, running-up and operating HRSG and associa</w:t>
            </w:r>
            <w:r w:rsidRPr="00C5177E">
              <w:t>ted plant and equipment</w:t>
            </w:r>
          </w:p>
          <w:p w:rsidR="00000000" w:rsidRPr="00C5177E" w:rsidP="00C5177E">
            <w:pPr>
              <w:pStyle w:val="ListBullet"/>
            </w:pPr>
            <w:r w:rsidRPr="00C5177E">
              <w:t>testing HRSG plant operation using diagnostic and data analysis techniques and tools to determine faults</w:t>
            </w:r>
          </w:p>
          <w:p w:rsidR="00000000" w:rsidRPr="00C5177E" w:rsidP="00C5177E">
            <w:pPr>
              <w:pStyle w:val="ListBullet"/>
            </w:pPr>
            <w:r w:rsidRPr="00C5177E">
              <w:t>using recording procedures to complete documentation</w:t>
            </w:r>
          </w:p>
          <w:p w:rsidR="00000000" w:rsidRPr="00C5177E" w:rsidP="00C5177E">
            <w:pPr>
              <w:pStyle w:val="ListBullet"/>
            </w:pPr>
            <w:r w:rsidRPr="00C5177E">
              <w:t>utilising temperature and pressure raising techniques</w:t>
            </w:r>
          </w:p>
          <w:p w:rsidR="00000000" w:rsidRPr="00C5177E" w:rsidP="00C5177E">
            <w:pPr>
              <w:pStyle w:val="ListBullet"/>
            </w:pPr>
            <w:r w:rsidRPr="00C5177E">
              <w:t>working with permit to work system.</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13" w:name="O_1194066"/>
      <w:bookmarkEnd w:id="13"/>
      <w:r w:rsidRPr="00C5177E">
        <w:t>Knowledge Evidence</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77E">
            <w:pPr>
              <w:pStyle w:val="BodyText"/>
              <w:rPr>
                <w:lang w:val="en-NZ"/>
              </w:rPr>
            </w:pPr>
            <w:r w:rsidRPr="00C5177E">
              <w:t xml:space="preserve">Evidence required to demonstrate competence in this unit must be relevant to and satisfy all the requirements of the elements and performance criteria and include knowledge of: </w:t>
            </w:r>
          </w:p>
        </w:tc>
      </w:tr>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ListBullet"/>
            </w:pPr>
            <w:r w:rsidRPr="00C5177E">
              <w:t>arrangements of power production plant</w:t>
            </w:r>
          </w:p>
          <w:p w:rsidR="00000000" w:rsidRPr="00C5177E" w:rsidP="00C5177E">
            <w:pPr>
              <w:pStyle w:val="ListBullet"/>
            </w:pPr>
            <w:r w:rsidRPr="00C5177E">
              <w:t>control of heat transfer and rate of temperature rise during HRSG start-up</w:t>
            </w:r>
          </w:p>
          <w:p w:rsidR="00000000" w:rsidRPr="00C5177E" w:rsidP="00C5177E">
            <w:pPr>
              <w:pStyle w:val="ListBullet"/>
            </w:pPr>
            <w:r w:rsidRPr="00C5177E">
              <w:t>HRSG plant and equipment, location and operating parameters</w:t>
            </w:r>
          </w:p>
          <w:p w:rsidR="00000000" w:rsidRPr="00C5177E" w:rsidP="00C5177E">
            <w:pPr>
              <w:pStyle w:val="ListBullet"/>
            </w:pPr>
            <w:r w:rsidRPr="00C5177E">
              <w:t xml:space="preserve">manuals  </w:t>
            </w:r>
          </w:p>
          <w:p w:rsidR="00000000" w:rsidRPr="00C5177E" w:rsidP="00C5177E">
            <w:pPr>
              <w:pStyle w:val="ListBullet"/>
            </w:pPr>
            <w:r w:rsidRPr="00C5177E">
              <w:t>operational testing of HRSG plant</w:t>
            </w:r>
          </w:p>
          <w:p w:rsidR="00000000" w:rsidRPr="00C5177E" w:rsidP="00C5177E">
            <w:pPr>
              <w:pStyle w:val="ListBullet"/>
            </w:pPr>
            <w:r w:rsidRPr="00C5177E">
              <w:t>permit to work system</w:t>
            </w:r>
          </w:p>
          <w:p w:rsidR="00000000" w:rsidRPr="00C5177E" w:rsidP="00C5177E">
            <w:pPr>
              <w:pStyle w:val="ListBullet"/>
            </w:pPr>
            <w:r w:rsidRPr="00C5177E">
              <w:t>regulations, legislative requirements, codes of practice, manufacturers’ recommendations and specifications, and environmental requirements</w:t>
            </w:r>
          </w:p>
          <w:p w:rsidR="00000000" w:rsidRPr="00C5177E" w:rsidP="00C5177E">
            <w:pPr>
              <w:pStyle w:val="ListBullet"/>
            </w:pPr>
            <w:r w:rsidRPr="00C5177E">
              <w:t>techniques HRSG plant and equipment operation</w:t>
            </w:r>
          </w:p>
          <w:p w:rsidR="00000000" w:rsidRPr="00C5177E" w:rsidP="00C5177E">
            <w:pPr>
              <w:pStyle w:val="ListBullet"/>
            </w:pPr>
            <w:r w:rsidRPr="00C5177E">
              <w:t>temperature and pressure raising requirements</w:t>
            </w:r>
          </w:p>
          <w:p w:rsidR="00000000" w:rsidRPr="00C5177E" w:rsidP="00C5177E">
            <w:pPr>
              <w:pStyle w:val="ListBullet"/>
            </w:pPr>
            <w:r w:rsidRPr="00C5177E">
              <w:t>WHS/OHS requirements, in</w:t>
            </w:r>
            <w:r w:rsidRPr="00C5177E">
              <w:t>cluding:</w:t>
            </w:r>
          </w:p>
          <w:p w:rsidR="00000000" w:rsidRPr="00C5177E" w:rsidP="00C5177E">
            <w:pPr>
              <w:pStyle w:val="ListBullet2"/>
            </w:pPr>
            <w:r w:rsidRPr="00C5177E">
              <w:t>emergency procedures</w:t>
            </w:r>
          </w:p>
          <w:p w:rsidR="00000000" w:rsidRPr="00C5177E" w:rsidP="00C5177E">
            <w:pPr>
              <w:pStyle w:val="ListBullet2"/>
            </w:pPr>
            <w:r w:rsidRPr="00C5177E">
              <w:t>risk control measures</w:t>
            </w:r>
          </w:p>
          <w:p w:rsidR="00000000" w:rsidRPr="00C5177E" w:rsidP="00C5177E">
            <w:pPr>
              <w:pStyle w:val="ListBullet2"/>
            </w:pPr>
            <w:r w:rsidRPr="00C5177E">
              <w:t xml:space="preserve">safe working practices and principles </w:t>
            </w:r>
          </w:p>
          <w:p w:rsidR="00000000" w:rsidRPr="00C5177E" w:rsidP="00C5177E">
            <w:pPr>
              <w:pStyle w:val="ListBullet"/>
            </w:pPr>
            <w:r w:rsidRPr="00C5177E">
              <w:t xml:space="preserve">workplace policies and procedures </w:t>
            </w:r>
          </w:p>
          <w:p w:rsidR="00000000" w:rsidRPr="00C5177E" w:rsidP="00C5177E">
            <w:pPr>
              <w:pStyle w:val="ListBullet"/>
            </w:pPr>
            <w:r w:rsidRPr="00C5177E">
              <w:t>workplace documentation.</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14" w:name="O_1194067"/>
      <w:bookmarkEnd w:id="14"/>
      <w:r w:rsidRPr="00C5177E">
        <w:t>Assessment Conditions</w:t>
      </w:r>
    </w:p>
    <w:tbl>
      <w:tblPr>
        <w:tblW w:w="9497" w:type="dxa"/>
        <w:tblLayout w:type="fixed"/>
        <w:tblCellMar>
          <w:left w:w="62" w:type="dxa"/>
          <w:right w:w="62" w:type="dxa"/>
        </w:tblCellMar>
        <w:tblLook w:val="0000"/>
      </w:tblPr>
      <w:tblGrid>
        <w:gridCol w:w="9497"/>
      </w:tblGrid>
      <w:tr w:rsidTr="00C517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77E" w:rsidP="00C5177E">
            <w:pPr>
              <w:pStyle w:val="BodyText"/>
            </w:pPr>
            <w:r w:rsidRPr="00C5177E">
              <w:t xml:space="preserve">Assessors must hold credentials specified within the Standards for Registered Training Organisations current at the time of assessment. </w:t>
            </w:r>
          </w:p>
          <w:p w:rsidR="00000000" w:rsidRPr="00C5177E" w:rsidP="00C5177E">
            <w:pPr>
              <w:pStyle w:val="BodyText"/>
            </w:pPr>
            <w:r w:rsidRPr="00C5177E">
              <w:t>Assessment must satisfy the Principles of Assessment and Rules of Evidence and all regulatory requirements included wit</w:t>
            </w:r>
            <w:r w:rsidRPr="00C5177E">
              <w:t>hin the Standards for Registered Training Organisations current at the time of assessment.</w:t>
            </w:r>
          </w:p>
          <w:p w:rsidR="00000000" w:rsidRPr="00C5177E" w:rsidP="00C5177E">
            <w:pPr>
              <w:pStyle w:val="BodyText"/>
            </w:pPr>
            <w:r w:rsidRPr="00C5177E">
              <w:t>Assessment must occur in workplace operational situations where it is appropriate to do so; where this is not appropriate, assessment must occur in simulated workpla</w:t>
            </w:r>
            <w:r w:rsidRPr="00C5177E">
              <w:t>ce operational situations that replicate workplace conditions.</w:t>
            </w:r>
          </w:p>
          <w:p w:rsidR="00000000" w:rsidRPr="00C5177E" w:rsidP="00C5177E">
            <w:pPr>
              <w:pStyle w:val="BodyText"/>
            </w:pPr>
            <w:r w:rsidRPr="00C5177E">
              <w:t>Assessment processes and techniques must be appropriate to the language, literacy and numeracy requirements of the work being performed and the needs of the candidate.</w:t>
            </w:r>
          </w:p>
          <w:p w:rsidR="00000000" w:rsidRPr="00C5177E" w:rsidP="00C5177E">
            <w:pPr>
              <w:pStyle w:val="BodyText"/>
            </w:pPr>
            <w:r w:rsidRPr="00C5177E">
              <w:t xml:space="preserve">Resources for assessment </w:t>
            </w:r>
            <w:r w:rsidRPr="00C5177E">
              <w:t>must include access to:</w:t>
            </w:r>
          </w:p>
          <w:p w:rsidR="00000000" w:rsidRPr="00C5177E" w:rsidP="00C5177E">
            <w:pPr>
              <w:pStyle w:val="ListBullet"/>
            </w:pPr>
            <w:r w:rsidRPr="00C5177E">
              <w:t>a range of relevant exercises, case studies and/or other simulations</w:t>
            </w:r>
          </w:p>
          <w:p w:rsidR="00000000" w:rsidRPr="00C5177E" w:rsidP="00C5177E">
            <w:pPr>
              <w:pStyle w:val="ListBullet"/>
            </w:pPr>
            <w:r w:rsidRPr="00C5177E">
              <w:t xml:space="preserve">relevant and appropriate materials, tools, equipment and personal protective equipment (PPE) currently used in industry </w:t>
            </w:r>
          </w:p>
          <w:p w:rsidR="00000000" w:rsidRPr="00C5177E" w:rsidP="00C5177E">
            <w:pPr>
              <w:pStyle w:val="ListBullet"/>
            </w:pPr>
            <w:r w:rsidRPr="00C5177E">
              <w:t>applicable documentation, including workp</w:t>
            </w:r>
            <w:r w:rsidRPr="00C5177E">
              <w:t>lace procedures, equipment specifications, regulations, codes of practice and operation manuals.</w:t>
            </w:r>
          </w:p>
        </w:tc>
      </w:tr>
    </w:tbl>
    <w:p w:rsidR="00000000" w:rsidRPr="00C5177E" w:rsidP="00C5177E">
      <w:pPr>
        <w:pStyle w:val="NoPaddingFontSize1"/>
      </w:pPr>
    </w:p>
    <w:p w:rsidR="00000000" w:rsidRPr="00C5177E" w:rsidP="00C5177E">
      <w:pPr>
        <w:pStyle w:val="AllowPageBreak"/>
      </w:pPr>
    </w:p>
    <w:p w:rsidR="00000000" w:rsidRPr="00C5177E" w:rsidP="00C5177E">
      <w:pPr>
        <w:pStyle w:val="Heading1"/>
      </w:pPr>
      <w:bookmarkStart w:id="15" w:name="O_1194070"/>
      <w:bookmarkEnd w:id="15"/>
      <w:r w:rsidRPr="00C5177E">
        <w:t>Links</w:t>
      </w:r>
    </w:p>
    <w:p w:rsidR="00000000" w:rsidRPr="00C5177E" w:rsidP="00F56C8C">
      <w:pPr>
        <w:pStyle w:val="BodyText"/>
      </w:pPr>
      <w:r w:rsidRPr="00C5177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4B15">
        <w:rPr>
          <w:rStyle w:val="Hyperlink"/>
        </w:rPr>
        <w:t>https://vetnet.gov.au/Pages/TrainingDocs.aspx?q=1715b9fa-e7bd-441c-bb8d-cf22c9c825a8</w:t>
      </w:r>
      <w:r>
        <w:fldChar w:fldCharType="end"/>
      </w:r>
    </w:p>
    <w:p w:rsidR="00000000" w:rsidRPr="00C5177E" w:rsidP="00C5177E"/>
    <w:sectPr w:rsidSect="00C517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rsidRPr="00F56C8C" w:rsidP="00F56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C" w:rsidP="00C51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C8C" w:rsidP="00C517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6C8C" w:rsidP="00C517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rsidP="00C5177E">
    <w:pPr>
      <w:pStyle w:val="Footer"/>
      <w:framePr w:wrap="around"/>
    </w:pPr>
    <w:r>
      <w:fldChar w:fldCharType="begin"/>
    </w:r>
    <w:r>
      <w:instrText xml:space="preserve"> DOCPROPERTY  Subject  \* MERGEFORMAT </w:instrText>
    </w:r>
    <w:r>
      <w:fldChar w:fldCharType="separate"/>
    </w:r>
    <w:r w:rsidR="00F56C8C">
      <w:t>Approved</w:t>
    </w:r>
    <w:r w:rsidR="00F56C8C">
      <w:fldChar w:fldCharType="end"/>
    </w:r>
    <w:r>
      <w:tab/>
      <w:t xml:space="preserve">Page </w:t>
    </w:r>
    <w:r>
      <w:fldChar w:fldCharType="begin"/>
    </w:r>
    <w:r>
      <w:instrText xml:space="preserve"> PAGE  \* Arabic  \* MERGEFORMAT </w:instrText>
    </w:r>
    <w:r>
      <w:fldChar w:fldCharType="separate"/>
    </w:r>
    <w:r w:rsidR="00F56C8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6C8C">
      <w:rPr>
        <w:noProof/>
      </w:rPr>
      <w:t>6</w:t>
    </w:r>
    <w:r>
      <w:rPr>
        <w:noProof/>
      </w:rPr>
      <w:fldChar w:fldCharType="end"/>
    </w:r>
  </w:p>
  <w:p w:rsidR="00C5177E" w:rsidP="00C5177E">
    <w:pPr>
      <w:pStyle w:val="Footer"/>
      <w:framePr w:wrap="around"/>
    </w:pPr>
    <w:r>
      <w:t xml:space="preserve">© Commonwealth of Australia, </w:t>
    </w:r>
    <w:r>
      <w:fldChar w:fldCharType="begin"/>
    </w:r>
    <w:r>
      <w:instrText xml:space="preserve"> DATE  \@ "yyyy"  \* MERGEFORMAT </w:instrText>
    </w:r>
    <w:r>
      <w:fldChar w:fldCharType="separate"/>
    </w:r>
    <w:r w:rsidR="00F56C8C">
      <w:rPr>
        <w:noProof/>
      </w:rPr>
      <w:t>2025</w:t>
    </w:r>
    <w:r>
      <w:fldChar w:fldCharType="end"/>
    </w:r>
    <w:r>
      <w:tab/>
    </w:r>
    <w:r>
      <w:fldChar w:fldCharType="begin"/>
    </w:r>
    <w:r>
      <w:instrText xml:space="preserve"> DOCPROPERTY  Author  \* MERGEFORMAT </w:instrText>
    </w:r>
    <w:r>
      <w:fldChar w:fldCharType="separate"/>
    </w:r>
    <w:r w:rsidR="00F56C8C">
      <w:t>Powering Skills Organisation</w:t>
    </w:r>
    <w:r w:rsidR="00F56C8C">
      <w:fldChar w:fldCharType="end"/>
    </w:r>
  </w:p>
  <w:p w:rsidR="00C5177E" w:rsidP="00C51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77E" w:rsidRPr="00F56C8C" w:rsidP="00F56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C" w:rsidRPr="002D2AF8" w:rsidP="00C5177E">
    <w:pPr>
      <w:pStyle w:val="Header"/>
      <w:framePr w:wrap="around"/>
    </w:pPr>
    <w:r>
      <w:fldChar w:fldCharType="begin"/>
    </w:r>
    <w:r>
      <w:instrText xml:space="preserve"> TITLE   \* MERGEFORMAT </w:instrText>
    </w:r>
    <w:r>
      <w:fldChar w:fldCharType="separate"/>
    </w:r>
    <w:r>
      <w:t>UEPOPS141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6C8C" w:rsidP="00C517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7E" w:rsidRPr="002D2AF8" w:rsidP="00C5177E">
    <w:pPr>
      <w:pStyle w:val="Header"/>
      <w:framePr w:wrap="around"/>
    </w:pPr>
    <w:r>
      <w:fldChar w:fldCharType="begin"/>
    </w:r>
    <w:r>
      <w:instrText xml:space="preserve"> TITLE   \* MERGEFORMAT </w:instrText>
    </w:r>
    <w:r>
      <w:fldChar w:fldCharType="separate"/>
    </w:r>
    <w:r w:rsidR="00F56C8C">
      <w:t>UEPOPS141 Start up a heat recovery steam generator unit</w:t>
    </w:r>
    <w:r w:rsidR="00F56C8C">
      <w:fldChar w:fldCharType="end"/>
    </w:r>
    <w:r>
      <w:tab/>
      <w:t xml:space="preserve">Date this document was generated: </w:t>
    </w:r>
    <w:r>
      <w:fldChar w:fldCharType="begin"/>
    </w:r>
    <w:r>
      <w:instrText xml:space="preserve"> CREATEDATE  \@ "d MMMM yyyy"  \* MERGEFORMAT </w:instrText>
    </w:r>
    <w:r>
      <w:fldChar w:fldCharType="separate"/>
    </w:r>
    <w:r w:rsidR="00F56C8C">
      <w:rPr>
        <w:noProof/>
      </w:rPr>
      <w:t>1 March 2025</w:t>
    </w:r>
    <w:r>
      <w:fldChar w:fldCharType="end"/>
    </w:r>
  </w:p>
  <w:p w:rsidR="00C5177E" w:rsidP="00C51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09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C3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EA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77E"/>
    <w:pPr>
      <w:spacing w:before="360" w:after="60"/>
      <w:outlineLvl w:val="0"/>
    </w:pPr>
    <w:rPr>
      <w:sz w:val="32"/>
    </w:rPr>
  </w:style>
  <w:style w:type="paragraph" w:styleId="Heading2">
    <w:name w:val="heading 2"/>
    <w:basedOn w:val="HeadingBase"/>
    <w:next w:val="BodyText"/>
    <w:link w:val="Heading2Char"/>
    <w:qFormat/>
    <w:rsid w:val="00C5177E"/>
    <w:pPr>
      <w:keepLines/>
      <w:spacing w:before="240" w:after="120"/>
      <w:outlineLvl w:val="1"/>
    </w:pPr>
    <w:rPr>
      <w:sz w:val="28"/>
      <w:szCs w:val="40"/>
    </w:rPr>
  </w:style>
  <w:style w:type="paragraph" w:styleId="Heading3">
    <w:name w:val="heading 3"/>
    <w:basedOn w:val="HeadingBase"/>
    <w:next w:val="BodyText"/>
    <w:link w:val="Heading3Char"/>
    <w:qFormat/>
    <w:rsid w:val="00C5177E"/>
    <w:pPr>
      <w:spacing w:before="180" w:after="120"/>
      <w:outlineLvl w:val="2"/>
    </w:pPr>
    <w:rPr>
      <w:spacing w:val="-10"/>
      <w:kern w:val="32"/>
    </w:rPr>
  </w:style>
  <w:style w:type="paragraph" w:styleId="Heading4">
    <w:name w:val="heading 4"/>
    <w:basedOn w:val="HeadingBase"/>
    <w:next w:val="BodyText"/>
    <w:link w:val="Heading4Char"/>
    <w:qFormat/>
    <w:rsid w:val="00C5177E"/>
    <w:pPr>
      <w:spacing w:before="160" w:after="120"/>
      <w:outlineLvl w:val="3"/>
    </w:pPr>
    <w:rPr>
      <w:sz w:val="22"/>
    </w:rPr>
  </w:style>
  <w:style w:type="paragraph" w:styleId="Heading5">
    <w:name w:val="heading 5"/>
    <w:basedOn w:val="HeadingBase"/>
    <w:next w:val="Normal"/>
    <w:link w:val="Heading5Char"/>
    <w:qFormat/>
    <w:rsid w:val="00C5177E"/>
    <w:pPr>
      <w:spacing w:before="80"/>
      <w:outlineLvl w:val="4"/>
    </w:pPr>
    <w:rPr>
      <w:color w:val="918585"/>
      <w:sz w:val="20"/>
    </w:rPr>
  </w:style>
  <w:style w:type="paragraph" w:styleId="Heading6">
    <w:name w:val="heading 6"/>
    <w:basedOn w:val="HeadingBase"/>
    <w:next w:val="Normal"/>
    <w:link w:val="Heading6Char"/>
    <w:qFormat/>
    <w:rsid w:val="00C5177E"/>
    <w:pPr>
      <w:spacing w:before="60"/>
      <w:outlineLvl w:val="5"/>
    </w:pPr>
    <w:rPr>
      <w:color w:val="918585"/>
      <w:sz w:val="20"/>
    </w:rPr>
  </w:style>
  <w:style w:type="paragraph" w:styleId="Heading7">
    <w:name w:val="heading 7"/>
    <w:basedOn w:val="Normal"/>
    <w:next w:val="Normal"/>
    <w:link w:val="Heading7Char"/>
    <w:qFormat/>
    <w:rsid w:val="00C5177E"/>
    <w:pPr>
      <w:ind w:left="720"/>
      <w:outlineLvl w:val="6"/>
    </w:pPr>
    <w:rPr>
      <w:i/>
    </w:rPr>
  </w:style>
  <w:style w:type="paragraph" w:styleId="Heading8">
    <w:name w:val="heading 8"/>
    <w:basedOn w:val="Normal"/>
    <w:next w:val="Normal"/>
    <w:link w:val="Heading8Char"/>
    <w:qFormat/>
    <w:rsid w:val="00C5177E"/>
    <w:pPr>
      <w:ind w:left="720"/>
      <w:outlineLvl w:val="7"/>
    </w:pPr>
    <w:rPr>
      <w:i/>
    </w:rPr>
  </w:style>
  <w:style w:type="paragraph" w:styleId="Heading9">
    <w:name w:val="heading 9"/>
    <w:basedOn w:val="Normal"/>
    <w:next w:val="Normal"/>
    <w:link w:val="Heading9Char"/>
    <w:qFormat/>
    <w:rsid w:val="00C5177E"/>
    <w:pPr>
      <w:ind w:left="720"/>
      <w:outlineLvl w:val="8"/>
    </w:pPr>
    <w:rPr>
      <w:i/>
    </w:rPr>
  </w:style>
  <w:style w:type="character" w:default="1" w:styleId="DefaultParagraphFont">
    <w:name w:val="Default Paragraph Font"/>
    <w:uiPriority w:val="1"/>
    <w:unhideWhenUsed/>
    <w:rsid w:val="00C51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77E"/>
  </w:style>
  <w:style w:type="character" w:customStyle="1" w:styleId="Heading1Char">
    <w:name w:val="Heading 1 Char"/>
    <w:basedOn w:val="DefaultParagraphFont"/>
    <w:link w:val="Heading1"/>
    <w:rsid w:val="00C5177E"/>
    <w:rPr>
      <w:rFonts w:ascii="Times New Roman" w:eastAsia="Times New Roman" w:hAnsi="Times New Roman" w:cs="Times New Roman"/>
      <w:b/>
      <w:sz w:val="32"/>
      <w:szCs w:val="20"/>
      <w:lang w:eastAsia="en-US"/>
    </w:rPr>
  </w:style>
  <w:style w:type="paragraph" w:styleId="BodyText">
    <w:name w:val="Body Text"/>
    <w:basedOn w:val="Normal"/>
    <w:link w:val="BodyTextChar"/>
    <w:rsid w:val="00C51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77E"/>
    <w:rPr>
      <w:rFonts w:ascii="Times New Roman" w:eastAsia="Times New Roman" w:hAnsi="Times New Roman" w:cs="Times New Roman"/>
      <w:sz w:val="24"/>
      <w:lang w:eastAsia="en-US"/>
    </w:rPr>
  </w:style>
  <w:style w:type="paragraph" w:styleId="ListBullet">
    <w:name w:val="List Bullet"/>
    <w:basedOn w:val="List"/>
    <w:rsid w:val="00C5177E"/>
    <w:pPr>
      <w:numPr>
        <w:numId w:val="12"/>
      </w:numPr>
      <w:tabs>
        <w:tab w:val="clear" w:pos="340"/>
      </w:tabs>
      <w:spacing w:before="40" w:after="40"/>
    </w:pPr>
  </w:style>
  <w:style w:type="character" w:customStyle="1" w:styleId="SpecialBold">
    <w:name w:val="Special Bold"/>
    <w:basedOn w:val="DefaultParagraphFont"/>
    <w:rsid w:val="00C5177E"/>
    <w:rPr>
      <w:b/>
      <w:spacing w:val="0"/>
    </w:rPr>
  </w:style>
  <w:style w:type="paragraph" w:styleId="ListBullet2">
    <w:name w:val="List Bullet 2"/>
    <w:basedOn w:val="List2"/>
    <w:rsid w:val="00C5177E"/>
    <w:pPr>
      <w:numPr>
        <w:numId w:val="13"/>
      </w:numPr>
      <w:tabs>
        <w:tab w:val="clear" w:pos="680"/>
      </w:tabs>
    </w:pPr>
  </w:style>
  <w:style w:type="paragraph" w:customStyle="1" w:styleId="SuperHeading">
    <w:name w:val="SuperHeading"/>
    <w:basedOn w:val="Normal"/>
    <w:rsid w:val="00C5177E"/>
    <w:pPr>
      <w:spacing w:before="240" w:after="120"/>
      <w:outlineLvl w:val="0"/>
    </w:pPr>
    <w:rPr>
      <w:rFonts w:ascii="Times New Roman" w:hAnsi="Times New Roman"/>
      <w:b/>
      <w:sz w:val="32"/>
    </w:rPr>
  </w:style>
  <w:style w:type="paragraph" w:customStyle="1" w:styleId="AllowPageBreak">
    <w:name w:val="AllowPageBreak"/>
    <w:rsid w:val="00C517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1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77E"/>
    <w:rPr>
      <w:rFonts w:ascii="Courier New" w:eastAsia="Times New Roman" w:hAnsi="Courier New" w:cs="Times New Roman"/>
      <w:i/>
      <w:szCs w:val="20"/>
      <w:lang w:eastAsia="en-US"/>
    </w:rPr>
  </w:style>
  <w:style w:type="paragraph" w:customStyle="1" w:styleId="HeadingBase">
    <w:name w:val="Heading Base"/>
    <w:rsid w:val="00C51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77E"/>
    <w:pPr>
      <w:tabs>
        <w:tab w:val="right" w:leader="dot" w:pos="9072"/>
      </w:tabs>
      <w:ind w:left="567"/>
    </w:pPr>
    <w:rPr>
      <w:szCs w:val="22"/>
    </w:rPr>
  </w:style>
  <w:style w:type="paragraph" w:customStyle="1" w:styleId="TOCBase">
    <w:name w:val="TOC Base"/>
    <w:rsid w:val="00C51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77E"/>
    <w:pPr>
      <w:tabs>
        <w:tab w:val="right" w:leader="dot" w:pos="9072"/>
      </w:tabs>
      <w:spacing w:before="40" w:after="40"/>
      <w:ind w:left="284"/>
    </w:pPr>
    <w:rPr>
      <w:rFonts w:ascii="Times New Roman" w:hAnsi="Times New Roman"/>
    </w:rPr>
  </w:style>
  <w:style w:type="paragraph" w:styleId="TOC1">
    <w:name w:val="toc 1"/>
    <w:basedOn w:val="TOCBase"/>
    <w:next w:val="Normal"/>
    <w:rsid w:val="00C51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77E"/>
    <w:rPr>
      <w:rFonts w:ascii="Times New Roman" w:eastAsia="Times New Roman" w:hAnsi="Times New Roman" w:cs="Times New Roman"/>
      <w:sz w:val="16"/>
      <w:lang w:eastAsia="en-US"/>
    </w:rPr>
  </w:style>
  <w:style w:type="paragraph" w:styleId="Title">
    <w:name w:val="Title"/>
    <w:basedOn w:val="HeadingBase"/>
    <w:link w:val="TitleChar"/>
    <w:qFormat/>
    <w:rsid w:val="00C5177E"/>
    <w:pPr>
      <w:spacing w:before="5040"/>
      <w:jc w:val="center"/>
    </w:pPr>
    <w:rPr>
      <w:sz w:val="48"/>
      <w:szCs w:val="72"/>
      <w:lang w:val="en-US"/>
    </w:rPr>
  </w:style>
  <w:style w:type="character" w:customStyle="1" w:styleId="TitleChar">
    <w:name w:val="Title Char"/>
    <w:basedOn w:val="DefaultParagraphFont"/>
    <w:link w:val="Title"/>
    <w:rsid w:val="00C51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77E"/>
    <w:pPr>
      <w:tabs>
        <w:tab w:val="left" w:pos="3600"/>
        <w:tab w:val="left" w:pos="3958"/>
      </w:tabs>
    </w:pPr>
  </w:style>
  <w:style w:type="paragraph" w:styleId="List">
    <w:name w:val="List"/>
    <w:basedOn w:val="BodyText"/>
    <w:next w:val="BodyText"/>
    <w:rsid w:val="00C5177E"/>
    <w:pPr>
      <w:tabs>
        <w:tab w:val="left" w:pos="340"/>
      </w:tabs>
      <w:spacing w:before="60" w:after="60"/>
      <w:ind w:left="340" w:hanging="340"/>
    </w:pPr>
  </w:style>
  <w:style w:type="paragraph" w:customStyle="1" w:styleId="Note">
    <w:name w:val="Note"/>
    <w:basedOn w:val="BodyText"/>
    <w:rsid w:val="00C51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77E"/>
    <w:pPr>
      <w:framePr w:wrap="auto" w:hAnchor="text" w:y="6049"/>
    </w:pPr>
    <w:rPr>
      <w:color w:val="000000"/>
      <w:sz w:val="40"/>
    </w:rPr>
  </w:style>
  <w:style w:type="paragraph" w:customStyle="1" w:styleId="TOCTitle">
    <w:name w:val="TOCTitle"/>
    <w:basedOn w:val="Heading1"/>
    <w:rsid w:val="00C5177E"/>
    <w:pPr>
      <w:spacing w:after="240"/>
      <w:jc w:val="center"/>
      <w:outlineLvl w:val="9"/>
    </w:pPr>
    <w:rPr>
      <w:caps/>
    </w:rPr>
  </w:style>
  <w:style w:type="paragraph" w:customStyle="1" w:styleId="Version">
    <w:name w:val="Version"/>
    <w:rsid w:val="00C51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77E"/>
    <w:pPr>
      <w:keepNext w:val="0"/>
      <w:tabs>
        <w:tab w:val="right" w:pos="4176"/>
      </w:tabs>
      <w:ind w:left="198" w:hanging="198"/>
    </w:pPr>
    <w:rPr>
      <w:rFonts w:ascii="Garamond" w:hAnsi="Garamond"/>
    </w:rPr>
  </w:style>
  <w:style w:type="paragraph" w:styleId="IndexHeading">
    <w:name w:val="index heading"/>
    <w:basedOn w:val="Normal"/>
    <w:next w:val="Index1"/>
    <w:semiHidden/>
    <w:rsid w:val="00C5177E"/>
    <w:pPr>
      <w:spacing w:before="120" w:after="120"/>
    </w:pPr>
    <w:rPr>
      <w:rFonts w:ascii="Arial" w:hAnsi="Arial"/>
      <w:b/>
      <w:color w:val="918585"/>
      <w:sz w:val="24"/>
    </w:rPr>
  </w:style>
  <w:style w:type="paragraph" w:styleId="Header">
    <w:name w:val="header"/>
    <w:basedOn w:val="Normal"/>
    <w:link w:val="HeaderChar"/>
    <w:rsid w:val="00C51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77E"/>
    <w:rPr>
      <w:rFonts w:ascii="Times New Roman" w:eastAsia="Times New Roman" w:hAnsi="Times New Roman" w:cs="Times New Roman"/>
      <w:sz w:val="16"/>
      <w:szCs w:val="20"/>
      <w:lang w:val="en-GB" w:eastAsia="en-US"/>
    </w:rPr>
  </w:style>
  <w:style w:type="paragraph" w:customStyle="1" w:styleId="Chapter">
    <w:name w:val="Chapter"/>
    <w:basedOn w:val="Normal"/>
    <w:rsid w:val="00C5177E"/>
    <w:pPr>
      <w:spacing w:before="240"/>
    </w:pPr>
    <w:rPr>
      <w:rFonts w:ascii="Times New Roman" w:hAnsi="Times New Roman"/>
      <w:smallCaps/>
      <w:spacing w:val="80"/>
      <w:sz w:val="28"/>
    </w:rPr>
  </w:style>
  <w:style w:type="paragraph" w:customStyle="1" w:styleId="InChapter">
    <w:name w:val="InChapter"/>
    <w:basedOn w:val="Heading3"/>
    <w:rsid w:val="00C5177E"/>
    <w:pPr>
      <w:spacing w:after="240"/>
      <w:outlineLvl w:val="9"/>
    </w:pPr>
    <w:rPr>
      <w:noProof/>
    </w:rPr>
  </w:style>
  <w:style w:type="paragraph" w:styleId="Index2">
    <w:name w:val="index 2"/>
    <w:basedOn w:val="Normal"/>
    <w:next w:val="Normal"/>
    <w:semiHidden/>
    <w:rsid w:val="00C5177E"/>
    <w:pPr>
      <w:tabs>
        <w:tab w:val="right" w:pos="4176"/>
      </w:tabs>
      <w:ind w:left="568" w:hanging="284"/>
    </w:pPr>
    <w:rPr>
      <w:rFonts w:ascii="Garamond" w:hAnsi="Garamond"/>
    </w:rPr>
  </w:style>
  <w:style w:type="paragraph" w:customStyle="1" w:styleId="Byline">
    <w:name w:val="Byline"/>
    <w:rsid w:val="00C51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77E"/>
    <w:pPr>
      <w:tabs>
        <w:tab w:val="clear" w:pos="3600"/>
        <w:tab w:val="clear" w:pos="3958"/>
      </w:tabs>
      <w:jc w:val="right"/>
    </w:pPr>
  </w:style>
  <w:style w:type="character" w:styleId="Emphasis">
    <w:name w:val="Emphasis"/>
    <w:basedOn w:val="DefaultParagraphFont"/>
    <w:qFormat/>
    <w:rsid w:val="00C5177E"/>
    <w:rPr>
      <w:i/>
    </w:rPr>
  </w:style>
  <w:style w:type="paragraph" w:styleId="Caption">
    <w:name w:val="caption"/>
    <w:basedOn w:val="BodyText"/>
    <w:next w:val="Normal"/>
    <w:qFormat/>
    <w:rsid w:val="00C5177E"/>
    <w:pPr>
      <w:framePr w:w="2268" w:hSpace="181" w:vSpace="181" w:wrap="around" w:vAnchor="text" w:hAnchor="page" w:x="1135" w:y="285" w:anchorLock="1"/>
    </w:pPr>
    <w:rPr>
      <w:i/>
    </w:rPr>
  </w:style>
  <w:style w:type="paragraph" w:customStyle="1" w:styleId="MiniTOCTitle">
    <w:name w:val="MiniTOCTitle"/>
    <w:basedOn w:val="Heading4"/>
    <w:rsid w:val="00C5177E"/>
    <w:pPr>
      <w:spacing w:before="240"/>
      <w:outlineLvl w:val="9"/>
    </w:pPr>
    <w:rPr>
      <w:noProof/>
      <w:sz w:val="24"/>
    </w:rPr>
  </w:style>
  <w:style w:type="paragraph" w:customStyle="1" w:styleId="MiniTOCItem">
    <w:name w:val="MiniTOCItem"/>
    <w:basedOn w:val="ListBullet"/>
    <w:rsid w:val="00C5177E"/>
    <w:pPr>
      <w:numPr>
        <w:numId w:val="0"/>
      </w:numPr>
      <w:tabs>
        <w:tab w:val="right" w:leader="dot" w:pos="6521"/>
      </w:tabs>
      <w:spacing w:before="0" w:after="0"/>
    </w:pPr>
  </w:style>
  <w:style w:type="paragraph" w:customStyle="1" w:styleId="TOFTitle">
    <w:name w:val="TOFTitle"/>
    <w:basedOn w:val="TOCTitle"/>
    <w:rsid w:val="00C5177E"/>
  </w:style>
  <w:style w:type="paragraph" w:styleId="TableofFigures">
    <w:name w:val="table of figures"/>
    <w:basedOn w:val="Normal"/>
    <w:next w:val="Normal"/>
    <w:semiHidden/>
    <w:rsid w:val="00C5177E"/>
    <w:pPr>
      <w:tabs>
        <w:tab w:val="right" w:leader="dot" w:pos="9072"/>
      </w:tabs>
      <w:ind w:left="970" w:hanging="403"/>
    </w:pPr>
    <w:rPr>
      <w:rFonts w:ascii="Times New Roman" w:hAnsi="Times New Roman"/>
      <w:b/>
    </w:rPr>
  </w:style>
  <w:style w:type="paragraph" w:styleId="ListNumber">
    <w:name w:val="List Number"/>
    <w:basedOn w:val="List"/>
    <w:rsid w:val="00C5177E"/>
    <w:pPr>
      <w:numPr>
        <w:numId w:val="15"/>
      </w:numPr>
      <w:tabs>
        <w:tab w:val="clear" w:pos="340"/>
      </w:tabs>
    </w:pPr>
  </w:style>
  <w:style w:type="character" w:customStyle="1" w:styleId="WingdingSymbols">
    <w:name w:val="Wingding Symbols"/>
    <w:rsid w:val="00C5177E"/>
    <w:rPr>
      <w:rFonts w:ascii="Wingdings" w:hAnsi="Wingdings"/>
    </w:rPr>
  </w:style>
  <w:style w:type="paragraph" w:customStyle="1" w:styleId="TableHeading">
    <w:name w:val="Table Heading"/>
    <w:basedOn w:val="HeadingBase"/>
    <w:rsid w:val="00C5177E"/>
    <w:pPr>
      <w:keepLines/>
      <w:pBdr>
        <w:bottom w:val="single" w:sz="6" w:space="1" w:color="918585"/>
      </w:pBdr>
      <w:spacing w:before="240"/>
    </w:pPr>
  </w:style>
  <w:style w:type="character" w:customStyle="1" w:styleId="HotSpot">
    <w:name w:val="HotSpot"/>
    <w:rsid w:val="00C5177E"/>
    <w:rPr>
      <w:color w:val="0033CC"/>
      <w:u w:val="none"/>
    </w:rPr>
  </w:style>
  <w:style w:type="paragraph" w:customStyle="1" w:styleId="BodyTextRight">
    <w:name w:val="Body Text Right"/>
    <w:basedOn w:val="BodyText"/>
    <w:rsid w:val="00C5177E"/>
    <w:pPr>
      <w:spacing w:before="0" w:after="0"/>
      <w:jc w:val="right"/>
    </w:pPr>
  </w:style>
  <w:style w:type="paragraph" w:styleId="Index3">
    <w:name w:val="index 3"/>
    <w:basedOn w:val="ListNumber2"/>
    <w:next w:val="Normal"/>
    <w:semiHidden/>
    <w:rsid w:val="00C5177E"/>
    <w:pPr>
      <w:numPr>
        <w:numId w:val="0"/>
      </w:numPr>
      <w:tabs>
        <w:tab w:val="right" w:leader="dot" w:pos="4176"/>
      </w:tabs>
    </w:pPr>
  </w:style>
  <w:style w:type="paragraph" w:styleId="ListNumber2">
    <w:name w:val="List Number 2"/>
    <w:basedOn w:val="List2"/>
    <w:rsid w:val="00C5177E"/>
    <w:pPr>
      <w:numPr>
        <w:numId w:val="10"/>
      </w:numPr>
      <w:tabs>
        <w:tab w:val="clear" w:pos="1060"/>
      </w:tabs>
    </w:pPr>
  </w:style>
  <w:style w:type="paragraph" w:customStyle="1" w:styleId="MarginNote">
    <w:name w:val="Margin Note"/>
    <w:basedOn w:val="BodyText"/>
    <w:rsid w:val="00C51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77E"/>
    <w:rPr>
      <w:sz w:val="32"/>
    </w:rPr>
  </w:style>
  <w:style w:type="paragraph" w:customStyle="1" w:styleId="HeadingProcedure">
    <w:name w:val="Heading Procedure"/>
    <w:basedOn w:val="HeadingBase"/>
    <w:next w:val="Normal"/>
    <w:rsid w:val="00C5177E"/>
    <w:pPr>
      <w:tabs>
        <w:tab w:val="left" w:pos="0"/>
      </w:tabs>
      <w:spacing w:before="120" w:after="60"/>
    </w:pPr>
    <w:rPr>
      <w:i/>
      <w:color w:val="918585"/>
      <w:sz w:val="22"/>
    </w:rPr>
  </w:style>
  <w:style w:type="paragraph" w:customStyle="1" w:styleId="TableBodyText">
    <w:name w:val="Table Body Text"/>
    <w:basedOn w:val="BodyText"/>
    <w:rsid w:val="00C5177E"/>
    <w:pPr>
      <w:spacing w:before="60" w:after="60"/>
    </w:pPr>
  </w:style>
  <w:style w:type="paragraph" w:styleId="ListContinue">
    <w:name w:val="List Continue"/>
    <w:basedOn w:val="List"/>
    <w:rsid w:val="00C5177E"/>
    <w:pPr>
      <w:ind w:firstLine="0"/>
    </w:pPr>
  </w:style>
  <w:style w:type="paragraph" w:customStyle="1" w:styleId="ListNote">
    <w:name w:val="List Note"/>
    <w:basedOn w:val="List"/>
    <w:rsid w:val="00C5177E"/>
    <w:pPr>
      <w:pBdr>
        <w:top w:val="single" w:sz="6" w:space="2" w:color="918585"/>
        <w:bottom w:val="single" w:sz="6" w:space="2" w:color="918585"/>
      </w:pBdr>
      <w:tabs>
        <w:tab w:val="left" w:pos="1021"/>
      </w:tabs>
      <w:ind w:firstLine="0"/>
    </w:pPr>
  </w:style>
  <w:style w:type="paragraph" w:customStyle="1" w:styleId="Warning">
    <w:name w:val="Warning"/>
    <w:basedOn w:val="BodyText"/>
    <w:rsid w:val="00C5177E"/>
    <w:pPr>
      <w:shd w:val="clear" w:color="auto" w:fill="D9D9D9"/>
      <w:tabs>
        <w:tab w:val="left" w:pos="992"/>
      </w:tabs>
      <w:ind w:left="119" w:right="119"/>
    </w:pPr>
    <w:rPr>
      <w:sz w:val="20"/>
    </w:rPr>
  </w:style>
  <w:style w:type="paragraph" w:customStyle="1" w:styleId="MarginIcons">
    <w:name w:val="Margin Icons"/>
    <w:basedOn w:val="BodyText"/>
    <w:rsid w:val="00C51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77E"/>
    <w:rPr>
      <w:rFonts w:ascii="Courier New" w:hAnsi="Courier New"/>
    </w:rPr>
  </w:style>
  <w:style w:type="paragraph" w:customStyle="1" w:styleId="NoteBullet">
    <w:name w:val="Note Bullet"/>
    <w:basedOn w:val="Note"/>
    <w:rsid w:val="00C5177E"/>
    <w:pPr>
      <w:tabs>
        <w:tab w:val="clear" w:pos="680"/>
      </w:tabs>
      <w:spacing w:before="60" w:after="60"/>
    </w:pPr>
  </w:style>
  <w:style w:type="paragraph" w:customStyle="1" w:styleId="SubHeading2">
    <w:name w:val="SubHeading2"/>
    <w:basedOn w:val="HeadingBase"/>
    <w:rsid w:val="00C5177E"/>
    <w:pPr>
      <w:spacing w:before="240" w:after="60"/>
    </w:pPr>
    <w:rPr>
      <w:sz w:val="20"/>
    </w:rPr>
  </w:style>
  <w:style w:type="paragraph" w:customStyle="1" w:styleId="SubHeading1">
    <w:name w:val="SubHeading1"/>
    <w:basedOn w:val="HeadingBase"/>
    <w:rsid w:val="00C5177E"/>
    <w:pPr>
      <w:spacing w:before="240" w:after="60"/>
    </w:pPr>
    <w:rPr>
      <w:color w:val="918585"/>
      <w:sz w:val="22"/>
    </w:rPr>
  </w:style>
  <w:style w:type="paragraph" w:customStyle="1" w:styleId="SideHeading">
    <w:name w:val="Side Heading"/>
    <w:basedOn w:val="HeadingBase"/>
    <w:rsid w:val="00C51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77E"/>
    <w:pPr>
      <w:tabs>
        <w:tab w:val="num" w:pos="360"/>
      </w:tabs>
    </w:pPr>
  </w:style>
  <w:style w:type="paragraph" w:styleId="PlainText">
    <w:name w:val="Plain Text"/>
    <w:basedOn w:val="Normal"/>
    <w:link w:val="PlainTextChar"/>
    <w:rsid w:val="00C5177E"/>
    <w:rPr>
      <w:sz w:val="20"/>
    </w:rPr>
  </w:style>
  <w:style w:type="character" w:customStyle="1" w:styleId="PlainTextChar">
    <w:name w:val="Plain Text Char"/>
    <w:basedOn w:val="DefaultParagraphFont"/>
    <w:link w:val="PlainText"/>
    <w:rsid w:val="00C5177E"/>
    <w:rPr>
      <w:rFonts w:ascii="Courier New" w:eastAsia="Times New Roman" w:hAnsi="Courier New" w:cs="Times New Roman"/>
      <w:sz w:val="20"/>
      <w:szCs w:val="20"/>
      <w:lang w:eastAsia="en-US"/>
    </w:rPr>
  </w:style>
  <w:style w:type="character" w:customStyle="1" w:styleId="MenuOption">
    <w:name w:val="Menu Option"/>
    <w:basedOn w:val="DefaultParagraphFont"/>
    <w:rsid w:val="00C5177E"/>
    <w:rPr>
      <w:b/>
      <w:smallCaps/>
    </w:rPr>
  </w:style>
  <w:style w:type="paragraph" w:customStyle="1" w:styleId="TableListNumber">
    <w:name w:val="Table List Number"/>
    <w:basedOn w:val="ListNumber"/>
    <w:rsid w:val="00C5177E"/>
    <w:pPr>
      <w:numPr>
        <w:numId w:val="0"/>
      </w:numPr>
    </w:pPr>
  </w:style>
  <w:style w:type="paragraph" w:styleId="TOC4">
    <w:name w:val="toc 4"/>
    <w:basedOn w:val="TOCBase"/>
    <w:next w:val="Normal"/>
    <w:semiHidden/>
    <w:rsid w:val="00C5177E"/>
    <w:pPr>
      <w:tabs>
        <w:tab w:val="right" w:leader="dot" w:pos="9071"/>
      </w:tabs>
      <w:ind w:left="1701"/>
    </w:pPr>
  </w:style>
  <w:style w:type="paragraph" w:customStyle="1" w:styleId="ListAlpha">
    <w:name w:val="List Alpha"/>
    <w:basedOn w:val="List"/>
    <w:rsid w:val="00C5177E"/>
    <w:pPr>
      <w:numPr>
        <w:numId w:val="9"/>
      </w:numPr>
    </w:pPr>
  </w:style>
  <w:style w:type="paragraph" w:customStyle="1" w:styleId="ListAlpha2">
    <w:name w:val="List Alpha 2"/>
    <w:basedOn w:val="List2"/>
    <w:rsid w:val="00C5177E"/>
    <w:pPr>
      <w:numPr>
        <w:numId w:val="8"/>
      </w:numPr>
    </w:pPr>
  </w:style>
  <w:style w:type="paragraph" w:styleId="List2">
    <w:name w:val="List 2"/>
    <w:basedOn w:val="BodyText"/>
    <w:rsid w:val="00C5177E"/>
    <w:pPr>
      <w:tabs>
        <w:tab w:val="left" w:pos="680"/>
      </w:tabs>
      <w:spacing w:before="60" w:after="60"/>
      <w:ind w:left="680" w:hanging="340"/>
    </w:pPr>
  </w:style>
  <w:style w:type="paragraph" w:styleId="List3">
    <w:name w:val="List 3"/>
    <w:basedOn w:val="BodyText"/>
    <w:rsid w:val="00C5177E"/>
    <w:pPr>
      <w:tabs>
        <w:tab w:val="left" w:pos="1021"/>
      </w:tabs>
      <w:spacing w:before="60" w:after="60"/>
      <w:ind w:left="1020" w:hanging="340"/>
    </w:pPr>
  </w:style>
  <w:style w:type="paragraph" w:styleId="List4">
    <w:name w:val="List 4"/>
    <w:basedOn w:val="BodyText"/>
    <w:rsid w:val="00C5177E"/>
    <w:pPr>
      <w:tabs>
        <w:tab w:val="left" w:pos="1361"/>
      </w:tabs>
      <w:spacing w:before="60" w:after="60"/>
      <w:ind w:left="1361" w:hanging="340"/>
    </w:pPr>
  </w:style>
  <w:style w:type="paragraph" w:styleId="List5">
    <w:name w:val="List 5"/>
    <w:basedOn w:val="BodyText"/>
    <w:rsid w:val="00C5177E"/>
    <w:pPr>
      <w:tabs>
        <w:tab w:val="left" w:pos="1701"/>
      </w:tabs>
      <w:spacing w:before="60" w:after="60"/>
      <w:ind w:left="1701" w:hanging="340"/>
    </w:pPr>
  </w:style>
  <w:style w:type="paragraph" w:styleId="ListBullet3">
    <w:name w:val="List Bullet 3"/>
    <w:basedOn w:val="List3"/>
    <w:rsid w:val="00C5177E"/>
    <w:pPr>
      <w:numPr>
        <w:numId w:val="14"/>
      </w:numPr>
      <w:tabs>
        <w:tab w:val="clear" w:pos="1021"/>
      </w:tabs>
      <w:ind w:left="1037" w:hanging="357"/>
    </w:pPr>
  </w:style>
  <w:style w:type="paragraph" w:styleId="ListBullet4">
    <w:name w:val="List Bullet 4"/>
    <w:basedOn w:val="List4"/>
    <w:rsid w:val="00C5177E"/>
    <w:pPr>
      <w:numPr>
        <w:numId w:val="3"/>
      </w:numPr>
      <w:tabs>
        <w:tab w:val="clear" w:pos="1361"/>
      </w:tabs>
    </w:pPr>
  </w:style>
  <w:style w:type="paragraph" w:styleId="ListBullet5">
    <w:name w:val="List Bullet 5"/>
    <w:basedOn w:val="List5"/>
    <w:rsid w:val="00C5177E"/>
    <w:pPr>
      <w:numPr>
        <w:numId w:val="4"/>
      </w:numPr>
    </w:pPr>
  </w:style>
  <w:style w:type="paragraph" w:styleId="ListContinue2">
    <w:name w:val="List Continue 2"/>
    <w:basedOn w:val="List2"/>
    <w:rsid w:val="00C5177E"/>
    <w:pPr>
      <w:ind w:firstLine="0"/>
    </w:pPr>
  </w:style>
  <w:style w:type="paragraph" w:styleId="ListContinue3">
    <w:name w:val="List Continue 3"/>
    <w:basedOn w:val="List3"/>
    <w:rsid w:val="00C5177E"/>
    <w:pPr>
      <w:ind w:left="1021" w:firstLine="0"/>
    </w:pPr>
  </w:style>
  <w:style w:type="paragraph" w:styleId="ListContinue4">
    <w:name w:val="List Continue 4"/>
    <w:basedOn w:val="List4"/>
    <w:rsid w:val="00C5177E"/>
    <w:pPr>
      <w:ind w:firstLine="0"/>
    </w:pPr>
  </w:style>
  <w:style w:type="paragraph" w:styleId="ListContinue5">
    <w:name w:val="List Continue 5"/>
    <w:basedOn w:val="List5"/>
    <w:rsid w:val="00C5177E"/>
    <w:pPr>
      <w:ind w:firstLine="0"/>
    </w:pPr>
  </w:style>
  <w:style w:type="paragraph" w:styleId="ListNumber3">
    <w:name w:val="List Number 3"/>
    <w:basedOn w:val="List3"/>
    <w:rsid w:val="00C5177E"/>
    <w:pPr>
      <w:numPr>
        <w:numId w:val="5"/>
      </w:numPr>
    </w:pPr>
  </w:style>
  <w:style w:type="paragraph" w:styleId="ListNumber4">
    <w:name w:val="List Number 4"/>
    <w:basedOn w:val="List4"/>
    <w:rsid w:val="00C5177E"/>
    <w:pPr>
      <w:numPr>
        <w:numId w:val="6"/>
      </w:numPr>
    </w:pPr>
  </w:style>
  <w:style w:type="paragraph" w:styleId="ListNumber5">
    <w:name w:val="List Number 5"/>
    <w:basedOn w:val="List5"/>
    <w:rsid w:val="00C5177E"/>
    <w:pPr>
      <w:numPr>
        <w:numId w:val="7"/>
      </w:numPr>
    </w:pPr>
  </w:style>
  <w:style w:type="paragraph" w:styleId="BlockText">
    <w:name w:val="Block Text"/>
    <w:basedOn w:val="Normal"/>
    <w:rsid w:val="00C5177E"/>
    <w:pPr>
      <w:spacing w:after="120"/>
      <w:ind w:left="1440" w:right="1440"/>
    </w:pPr>
  </w:style>
  <w:style w:type="character" w:customStyle="1" w:styleId="Subscript">
    <w:name w:val="Subscript"/>
    <w:basedOn w:val="DefaultParagraphFont"/>
    <w:rsid w:val="00C5177E"/>
    <w:rPr>
      <w:sz w:val="16"/>
      <w:vertAlign w:val="subscript"/>
    </w:rPr>
  </w:style>
  <w:style w:type="character" w:customStyle="1" w:styleId="Superscript">
    <w:name w:val="Superscript"/>
    <w:basedOn w:val="DefaultParagraphFont"/>
    <w:rsid w:val="00C5177E"/>
    <w:rPr>
      <w:sz w:val="16"/>
      <w:vertAlign w:val="superscript"/>
    </w:rPr>
  </w:style>
  <w:style w:type="character" w:customStyle="1" w:styleId="Symbols">
    <w:name w:val="Symbols"/>
    <w:basedOn w:val="DefaultParagraphFont"/>
    <w:rsid w:val="00C5177E"/>
    <w:rPr>
      <w:rFonts w:ascii="Symbol" w:hAnsi="Symbol"/>
    </w:rPr>
  </w:style>
  <w:style w:type="character" w:customStyle="1" w:styleId="MenuOptions">
    <w:name w:val="Menu Options"/>
    <w:basedOn w:val="DefaultParagraphFont"/>
    <w:rsid w:val="00C5177E"/>
    <w:rPr>
      <w:rFonts w:ascii="Arial Narrow" w:hAnsi="Arial Narrow"/>
      <w:smallCaps/>
    </w:rPr>
  </w:style>
  <w:style w:type="character" w:customStyle="1" w:styleId="Buttons">
    <w:name w:val="Buttons"/>
    <w:basedOn w:val="DefaultParagraphFont"/>
    <w:rsid w:val="00C5177E"/>
    <w:rPr>
      <w:b/>
    </w:rPr>
  </w:style>
  <w:style w:type="character" w:customStyle="1" w:styleId="Underlined">
    <w:name w:val="Underlined"/>
    <w:basedOn w:val="DefaultParagraphFont"/>
    <w:rsid w:val="00C5177E"/>
    <w:rPr>
      <w:u w:val="single"/>
    </w:rPr>
  </w:style>
  <w:style w:type="paragraph" w:customStyle="1" w:styleId="TableBodyTextRight">
    <w:name w:val="Table Body Text Right"/>
    <w:basedOn w:val="TableBodyText"/>
    <w:rsid w:val="00C5177E"/>
    <w:pPr>
      <w:widowControl w:val="0"/>
      <w:autoSpaceDE w:val="0"/>
      <w:autoSpaceDN w:val="0"/>
      <w:adjustRightInd w:val="0"/>
      <w:jc w:val="right"/>
    </w:pPr>
    <w:rPr>
      <w:rFonts w:cs="Arial"/>
      <w:szCs w:val="18"/>
    </w:rPr>
  </w:style>
  <w:style w:type="paragraph" w:customStyle="1" w:styleId="CopyrightText">
    <w:name w:val="Copyright Text"/>
    <w:basedOn w:val="BodyText"/>
    <w:rsid w:val="00C5177E"/>
    <w:rPr>
      <w:sz w:val="18"/>
    </w:rPr>
  </w:style>
  <w:style w:type="paragraph" w:customStyle="1" w:styleId="BodySmallRight">
    <w:name w:val="Body Small Right"/>
    <w:basedOn w:val="BodyTextRight"/>
    <w:rsid w:val="00C5177E"/>
    <w:rPr>
      <w:sz w:val="18"/>
      <w:szCs w:val="18"/>
    </w:rPr>
  </w:style>
  <w:style w:type="paragraph" w:customStyle="1" w:styleId="MarginEdition">
    <w:name w:val="Margin Edition"/>
    <w:basedOn w:val="MarginNote"/>
    <w:rsid w:val="00C5177E"/>
    <w:pPr>
      <w:spacing w:before="0" w:after="0"/>
    </w:pPr>
    <w:rPr>
      <w:rFonts w:ascii="Times New Roman" w:hAnsi="Times New Roman"/>
      <w:color w:val="999999"/>
    </w:rPr>
  </w:style>
  <w:style w:type="paragraph" w:customStyle="1" w:styleId="Spacer">
    <w:name w:val="Spacer"/>
    <w:basedOn w:val="Normal"/>
    <w:rsid w:val="00C5177E"/>
    <w:rPr>
      <w:sz w:val="2"/>
      <w:szCs w:val="2"/>
    </w:rPr>
  </w:style>
  <w:style w:type="character" w:customStyle="1" w:styleId="Small">
    <w:name w:val="Small"/>
    <w:basedOn w:val="DefaultParagraphFont"/>
    <w:rsid w:val="00C5177E"/>
    <w:rPr>
      <w:sz w:val="16"/>
    </w:rPr>
  </w:style>
  <w:style w:type="paragraph" w:customStyle="1" w:styleId="WideTable">
    <w:name w:val="Wide Table"/>
    <w:basedOn w:val="Normal"/>
    <w:rsid w:val="00C5177E"/>
    <w:pPr>
      <w:ind w:left="-1418"/>
    </w:pPr>
    <w:rPr>
      <w:sz w:val="2"/>
      <w:szCs w:val="2"/>
    </w:rPr>
  </w:style>
  <w:style w:type="character" w:styleId="PageNumber">
    <w:name w:val="page number"/>
    <w:basedOn w:val="DefaultParagraphFont"/>
    <w:rsid w:val="00C5177E"/>
  </w:style>
  <w:style w:type="paragraph" w:styleId="Quote">
    <w:name w:val="Quote"/>
    <w:basedOn w:val="Heading1"/>
    <w:link w:val="QuoteChar"/>
    <w:qFormat/>
    <w:rsid w:val="00C5177E"/>
    <w:rPr>
      <w:b w:val="0"/>
      <w:sz w:val="72"/>
      <w:szCs w:val="72"/>
      <w:lang w:val="en-NZ"/>
    </w:rPr>
  </w:style>
  <w:style w:type="character" w:customStyle="1" w:styleId="QuoteChar">
    <w:name w:val="Quote Char"/>
    <w:basedOn w:val="DefaultParagraphFont"/>
    <w:link w:val="Quote"/>
    <w:rsid w:val="00C51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77E"/>
    <w:pPr>
      <w:pageBreakBefore/>
    </w:pPr>
  </w:style>
  <w:style w:type="paragraph" w:customStyle="1" w:styleId="Border">
    <w:name w:val="Border"/>
    <w:basedOn w:val="Normal"/>
    <w:qFormat/>
    <w:rsid w:val="00C51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77E"/>
    <w:rPr>
      <w:b/>
      <w:bCs/>
      <w:i/>
      <w:iCs/>
      <w:color w:val="auto"/>
    </w:rPr>
  </w:style>
  <w:style w:type="paragraph" w:styleId="IntenseQuote">
    <w:name w:val="Intense Quote"/>
    <w:basedOn w:val="Normal"/>
    <w:next w:val="Normal"/>
    <w:link w:val="IntenseQuoteChar"/>
    <w:uiPriority w:val="30"/>
    <w:qFormat/>
    <w:rsid w:val="00C51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77E"/>
    <w:rPr>
      <w:smallCaps/>
      <w:color w:val="auto"/>
      <w:u w:val="single"/>
    </w:rPr>
  </w:style>
  <w:style w:type="character" w:styleId="IntenseReference">
    <w:name w:val="Intense Reference"/>
    <w:basedOn w:val="DefaultParagraphFont"/>
    <w:uiPriority w:val="32"/>
    <w:qFormat/>
    <w:rsid w:val="00C5177E"/>
    <w:rPr>
      <w:b/>
      <w:bCs/>
      <w:smallCaps/>
      <w:color w:val="auto"/>
      <w:spacing w:val="5"/>
      <w:u w:val="single"/>
    </w:rPr>
  </w:style>
  <w:style w:type="paragraph" w:customStyle="1" w:styleId="2ColumnHeading">
    <w:name w:val="2Column Heading"/>
    <w:basedOn w:val="BodyText"/>
    <w:qFormat/>
    <w:rsid w:val="00C5177E"/>
    <w:pPr>
      <w:spacing w:after="60"/>
      <w:ind w:left="-2268"/>
    </w:pPr>
    <w:rPr>
      <w:b/>
    </w:rPr>
  </w:style>
  <w:style w:type="paragraph" w:customStyle="1" w:styleId="Heading1TOC">
    <w:name w:val="Heading1 TOC"/>
    <w:basedOn w:val="Normal"/>
    <w:qFormat/>
    <w:rsid w:val="00C5177E"/>
    <w:pPr>
      <w:spacing w:before="240" w:after="120"/>
    </w:pPr>
    <w:rPr>
      <w:rFonts w:ascii="Times New Roman" w:hAnsi="Times New Roman"/>
      <w:b/>
      <w:sz w:val="32"/>
    </w:rPr>
  </w:style>
  <w:style w:type="paragraph" w:customStyle="1" w:styleId="Heading2TOC">
    <w:name w:val="Heading2 TOC"/>
    <w:basedOn w:val="Normal"/>
    <w:qFormat/>
    <w:rsid w:val="00C5177E"/>
    <w:pPr>
      <w:spacing w:before="240" w:after="60"/>
    </w:pPr>
    <w:rPr>
      <w:rFonts w:ascii="Times New Roman" w:hAnsi="Times New Roman"/>
      <w:b/>
      <w:sz w:val="28"/>
    </w:rPr>
  </w:style>
  <w:style w:type="character" w:customStyle="1" w:styleId="Underline">
    <w:name w:val="Underline"/>
    <w:basedOn w:val="DefaultParagraphFont"/>
    <w:qFormat/>
    <w:rsid w:val="00C5177E"/>
    <w:rPr>
      <w:u w:val="single"/>
    </w:rPr>
  </w:style>
  <w:style w:type="character" w:customStyle="1" w:styleId="BoldandItalics">
    <w:name w:val="Bold and Italics"/>
    <w:qFormat/>
    <w:rsid w:val="00C5177E"/>
    <w:rPr>
      <w:b/>
      <w:i/>
      <w:u w:val="none"/>
    </w:rPr>
  </w:style>
  <w:style w:type="paragraph" w:styleId="BalloonText">
    <w:name w:val="Balloon Text"/>
    <w:basedOn w:val="Normal"/>
    <w:link w:val="BalloonTextChar"/>
    <w:rsid w:val="00C5177E"/>
    <w:rPr>
      <w:rFonts w:ascii="Tahoma" w:hAnsi="Tahoma" w:cs="Tahoma"/>
      <w:sz w:val="16"/>
      <w:szCs w:val="16"/>
    </w:rPr>
  </w:style>
  <w:style w:type="character" w:customStyle="1" w:styleId="BalloonTextChar">
    <w:name w:val="Balloon Text Char"/>
    <w:basedOn w:val="DefaultParagraphFont"/>
    <w:link w:val="BalloonText"/>
    <w:rsid w:val="00C51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77E"/>
    <w:rPr>
      <w:b/>
      <w:color w:val="660033"/>
      <w:spacing w:val="0"/>
    </w:rPr>
  </w:style>
  <w:style w:type="paragraph" w:customStyle="1" w:styleId="Nameditemlist">
    <w:name w:val="Named item list"/>
    <w:basedOn w:val="BodyText"/>
    <w:qFormat/>
    <w:rsid w:val="00C5177E"/>
    <w:pPr>
      <w:tabs>
        <w:tab w:val="left" w:pos="2835"/>
      </w:tabs>
      <w:ind w:left="2835" w:hanging="2835"/>
    </w:pPr>
  </w:style>
  <w:style w:type="paragraph" w:customStyle="1" w:styleId="BodyTextnopadding">
    <w:name w:val="Body Text no padding"/>
    <w:basedOn w:val="BodyText"/>
    <w:qFormat/>
    <w:rsid w:val="00C5177E"/>
    <w:pPr>
      <w:spacing w:before="0" w:after="0"/>
    </w:pPr>
  </w:style>
  <w:style w:type="paragraph" w:customStyle="1" w:styleId="BodyTextBold">
    <w:name w:val="Body Text Bold"/>
    <w:basedOn w:val="BodyText"/>
    <w:qFormat/>
    <w:rsid w:val="00C5177E"/>
    <w:rPr>
      <w:b/>
    </w:rPr>
  </w:style>
  <w:style w:type="character" w:styleId="Hyperlink">
    <w:name w:val="Hyperlink"/>
    <w:basedOn w:val="DefaultParagraphFont"/>
    <w:uiPriority w:val="99"/>
    <w:unhideWhenUsed/>
    <w:rsid w:val="00F56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1220</Words>
  <Characters>7897</Characters>
  <Application>Microsoft Office Word</Application>
  <DocSecurity>0</DocSecurity>
  <Lines>272</Lines>
  <Paragraphs>151</Paragraphs>
  <ScaleCrop>false</ScaleCrop>
  <Company>Author-it Software Corporation Ltd.</Company>
  <LinksUpToDate>false</LinksUpToDate>
  <CharactersWithSpaces>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UEPOPS141 Start up a heat recovery steam generator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