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68B" w:rsidP="00145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UEPOPS138 Start and run up gas turbine</w:t>
      </w:r>
      <w:r>
        <w:fldChar w:fldCharType="end"/>
      </w:r>
    </w:p>
    <w:p w:rsidR="0014568B" w:rsidP="0014568B">
      <w:pPr>
        <w:pStyle w:val="Version"/>
        <w:sectPr w:rsidSect="00411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695" w:rsidP="00411695">
      <w:pPr>
        <w:pStyle w:val="SuperHeading"/>
      </w:pPr>
      <w:r w:rsidRPr="00411695">
        <w:t>UEPOPS138 Start and run up gas turbine</w:t>
      </w:r>
    </w:p>
    <w:p w:rsidR="00000000" w:rsidRPr="00411695" w:rsidP="00411695">
      <w:pPr>
        <w:pStyle w:val="Heading1"/>
      </w:pPr>
      <w:bookmarkStart w:id="1" w:name="O_1193979"/>
      <w:bookmarkEnd w:id="1"/>
      <w:r w:rsidRPr="004116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411695" w:rsidP="00411695">
      <w:pPr>
        <w:pStyle w:val="NoPaddingFontSize1"/>
      </w:pPr>
    </w:p>
    <w:p w:rsidR="00000000" w:rsidRPr="00411695" w:rsidP="00411695">
      <w:pPr>
        <w:pStyle w:val="AllowPageBreak"/>
      </w:pPr>
    </w:p>
    <w:p w:rsidR="00000000" w:rsidRPr="00411695" w:rsidP="00411695">
      <w:pPr>
        <w:pStyle w:val="Heading1"/>
      </w:pPr>
      <w:bookmarkStart w:id="2" w:name="O_1193980"/>
      <w:bookmarkEnd w:id="2"/>
      <w:r w:rsidRPr="004116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t>This unit involves the skills and knowledge requi</w:t>
            </w:r>
            <w:r w:rsidRPr="00411695">
              <w:t xml:space="preserve">red for the purging, ignition and establishment of combustion and run-up of a gas turbine to operational and synchronous speed. </w:t>
            </w:r>
          </w:p>
          <w:p w:rsidR="00000000" w:rsidRPr="00411695" w:rsidP="00411695">
            <w:pPr>
              <w:pStyle w:val="BodyText"/>
            </w:pPr>
            <w:r w:rsidRPr="00411695">
              <w:t>A gas turbine may be operated as an individual unit on open cycle or as a component of a combined cycle plant consisting of a g</w:t>
            </w:r>
            <w:r w:rsidRPr="00411695">
              <w:t xml:space="preserve">as turbine, heat recovery steam generator (HRSG) and steam turbine. </w:t>
            </w:r>
          </w:p>
          <w:p w:rsidR="00000000" w:rsidRPr="00411695" w:rsidP="00411695">
            <w:pPr>
              <w:pStyle w:val="BodyText"/>
            </w:pPr>
            <w:r w:rsidRPr="00411695">
              <w:t>Competency in this unit requires the ability to plan and prepare work, conduct gas turbine start and run-up, test gas turbine plant, identify and respond to gas turbine plant operation, a</w:t>
            </w:r>
            <w:r w:rsidRPr="00411695">
              <w:t xml:space="preserve">nd complete documentation. Individuals will, in general, work under supervision, in a power generation facility as an operator. </w:t>
            </w:r>
          </w:p>
          <w:p w:rsidR="00000000" w:rsidRPr="00411695" w:rsidP="00411695">
            <w:pPr>
              <w:pStyle w:val="BodyText"/>
            </w:pPr>
            <w:r w:rsidRPr="00411695">
              <w:t>Power generation plant operators are trained and authorised to isolate, prepare plant and issue permits to work.</w:t>
            </w:r>
          </w:p>
          <w:p w:rsidR="00000000" w:rsidRPr="00411695" w:rsidP="00411695">
            <w:pPr>
              <w:pStyle w:val="BodyText"/>
            </w:pPr>
            <w:r w:rsidRPr="00411695">
              <w:t xml:space="preserve">No licensing, </w:t>
            </w:r>
            <w:r w:rsidRPr="00411695">
              <w:t>legislative or certification requirements apply to this unit at the time of publication.</w:t>
            </w:r>
          </w:p>
        </w:tc>
      </w:tr>
    </w:tbl>
    <w:p w:rsidR="00000000" w:rsidRPr="00411695" w:rsidP="00411695">
      <w:pPr>
        <w:pStyle w:val="NoPaddingFontSize1"/>
      </w:pPr>
    </w:p>
    <w:p w:rsidR="00000000" w:rsidRPr="00411695" w:rsidP="00411695">
      <w:pPr>
        <w:pStyle w:val="AllowPageBreak"/>
      </w:pPr>
    </w:p>
    <w:p w:rsidR="00000000" w:rsidRPr="00411695" w:rsidP="00411695">
      <w:pPr>
        <w:pStyle w:val="Heading1"/>
      </w:pPr>
      <w:bookmarkStart w:id="3" w:name="O_1193981"/>
      <w:bookmarkEnd w:id="3"/>
      <w:r w:rsidRPr="004116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t>There are no prerequisite units</w:t>
            </w:r>
          </w:p>
        </w:tc>
      </w:tr>
    </w:tbl>
    <w:p w:rsidR="00000000" w:rsidRPr="00411695" w:rsidP="00411695">
      <w:pPr>
        <w:pStyle w:val="NoPaddingFontSize1"/>
      </w:pPr>
    </w:p>
    <w:p w:rsidR="00000000" w:rsidRPr="00411695" w:rsidP="00411695">
      <w:pPr>
        <w:pStyle w:val="AllowPageBreak"/>
      </w:pPr>
    </w:p>
    <w:p w:rsidR="00000000" w:rsidRPr="00411695" w:rsidP="00411695">
      <w:pPr>
        <w:pStyle w:val="Heading1"/>
      </w:pPr>
      <w:bookmarkStart w:id="4" w:name="O_1193982"/>
      <w:bookmarkEnd w:id="4"/>
      <w:r w:rsidRPr="004116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t>Operations</w:t>
            </w:r>
          </w:p>
        </w:tc>
      </w:tr>
    </w:tbl>
    <w:p w:rsidR="00000000" w:rsidRPr="00411695" w:rsidP="00411695">
      <w:pPr>
        <w:pStyle w:val="NoPaddingFontSize1"/>
      </w:pPr>
    </w:p>
    <w:p w:rsidR="00000000" w:rsidRPr="00411695" w:rsidP="00411695">
      <w:pPr>
        <w:pStyle w:val="AllowPageBreak"/>
      </w:pPr>
    </w:p>
    <w:p w:rsidR="00000000" w:rsidRPr="00411695" w:rsidP="00411695">
      <w:pPr>
        <w:pStyle w:val="Heading1"/>
      </w:pPr>
      <w:bookmarkStart w:id="5" w:name="O_1193983"/>
      <w:bookmarkEnd w:id="5"/>
      <w:r w:rsidRPr="004116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t>Electricity generation</w:t>
            </w:r>
          </w:p>
        </w:tc>
      </w:tr>
    </w:tbl>
    <w:p w:rsidR="00000000" w:rsidRPr="00411695" w:rsidP="00411695">
      <w:pPr>
        <w:pStyle w:val="NoPaddingFontSize1"/>
      </w:pPr>
    </w:p>
    <w:p w:rsidR="00000000" w:rsidRPr="00411695" w:rsidP="00411695">
      <w:pPr>
        <w:pStyle w:val="AllowPageBreak"/>
      </w:pPr>
    </w:p>
    <w:p w:rsidR="00000000" w:rsidRPr="00411695" w:rsidP="00411695">
      <w:pPr>
        <w:pStyle w:val="Heading1"/>
      </w:pPr>
      <w:bookmarkStart w:id="6" w:name="O_1193984"/>
      <w:bookmarkEnd w:id="6"/>
      <w:r w:rsidRPr="0041169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PERFORMANCE CRITERIA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Performance criteria describe the performance needed to demonstrate achievement of the element.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Plan and prepare gas turbine start and run-up</w:t>
            </w:r>
            <w:r w:rsidRPr="00411695">
              <w:t xml:space="preserve"> </w:t>
            </w:r>
            <w:r w:rsidRPr="00411695">
              <w:rPr>
                <w:rStyle w:val="SpecialBold"/>
              </w:rPr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Work health and safety (WHS)/occupational health and safety (OHS) regulations, legislative requirements, codes of practice, manufacturers’ recommendations and specifications, environmental requirements</w:t>
            </w:r>
            <w:r w:rsidRPr="00411695">
              <w:t xml:space="preserve"> and workplace procedures are identified, applied and monitored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Work requirements are identified from relevant personnel and documentation in accordance with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Preoperational checks are carried out on gas turbine plant in accordance with manufacturers</w:t>
            </w:r>
            <w:r>
              <w:t>’</w:t>
            </w:r>
            <w:r w:rsidRPr="00411695">
              <w:t xml:space="preserve"> recommendations and specifications, and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Conduct gas turbine</w:t>
            </w:r>
            <w:r w:rsidRPr="00411695">
              <w:t xml:space="preserve"> </w:t>
            </w:r>
            <w:r w:rsidRPr="00411695">
              <w:rPr>
                <w:rStyle w:val="SpecialBold"/>
              </w:rPr>
              <w:t>start and run-up</w:t>
            </w:r>
            <w:r w:rsidRPr="00411695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Preoperational conditions for gas turbine plant are estab</w:t>
            </w:r>
            <w:r w:rsidRPr="00411695">
              <w:t>lished in accordance with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 xml:space="preserve">Preoperational conditions of the HRSG, associated steam mains and steam turbine are established when gas turbine is a component of a combined unit in accordance with workplace procedures 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Startin</w:t>
            </w:r>
            <w:r w:rsidRPr="00411695">
              <w:t>g procedures and correct purge, ignition and run-up sequence are commenced and observed in accordance with workplace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Minimum operation of gas turbine is established and supported in accordance with manufacturers</w:t>
            </w:r>
            <w:r>
              <w:t>’</w:t>
            </w:r>
            <w:r w:rsidRPr="00411695">
              <w:t xml:space="preserve"> recommendations and specifications, </w:t>
            </w:r>
            <w:r w:rsidRPr="00411695">
              <w:t>and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 xml:space="preserve">Monitoring and control of HRSG drum level, feedwater flow, steam and metal temperature rates of rise, steam pressure rate of rise, steam flow and </w:t>
            </w:r>
            <w:r w:rsidRPr="00411695">
              <w:t>drainage are carried out where gas turbine is a component of a combined cycle unit in accordance with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Gas turbine exhaust temperature and flow to HRSG and gas turbine power output are monitored and adjusted to achieve required s</w:t>
            </w:r>
            <w:r w:rsidRPr="00411695">
              <w:t xml:space="preserve">team conditions in accordance with workplace procedures 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 xml:space="preserve">Generating plant is operated within limits of design in accordance with workplace procedures 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 xml:space="preserve">Generating plant is monitored and observed to detect deviations from required operating conditions in </w:t>
            </w:r>
            <w:r w:rsidRPr="00411695">
              <w:t>accordance with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Corrective action is taken to rectify gas turbine abnormalities in accordance with manufacturers</w:t>
            </w:r>
            <w:r>
              <w:t>’</w:t>
            </w:r>
            <w:r w:rsidRPr="00411695">
              <w:t xml:space="preserve"> recommendations and specifications, and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Test gas turbine</w:t>
            </w:r>
            <w:r w:rsidRPr="00411695">
              <w:t xml:space="preserve"> </w:t>
            </w:r>
            <w:r w:rsidRPr="00411695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Tests are performed in accordance with workplace procedur</w:t>
            </w:r>
            <w:r w:rsidRPr="00411695">
              <w:t xml:space="preserve">es 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Power generation system and gas turbine plant is observed for correct operational response in accordance with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 xml:space="preserve">Gas turbine plant is returned to required operational status upon completion of testing in accordance with </w:t>
            </w:r>
            <w:r w:rsidRPr="00411695">
              <w:t>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Identify</w:t>
            </w:r>
            <w:r w:rsidRPr="00411695">
              <w:t xml:space="preserve">, </w:t>
            </w:r>
            <w:r w:rsidRPr="00411695">
              <w:rPr>
                <w:rStyle w:val="SpecialBold"/>
              </w:rPr>
              <w:t>respond and report on gas turbine plant operation and anomalies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 xml:space="preserve">Causes of abnormal gas turbine plant operating conditions are identified by analysing technical and operational information in accordance with </w:t>
            </w:r>
            <w:r w:rsidRPr="00411695">
              <w:t>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Corrective action is taken in accordance with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Gas turbine plant integrity and personnel safety are maintained through consultation with relevant personnel and technical and operational documentation i</w:t>
            </w:r>
            <w:r w:rsidRPr="00411695">
              <w:t>n accordance with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Relevant personnel are notified when defects are detected in accordance with workplace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t>Gas turbine plant problems, movements, and status reported in accordance with work</w:t>
            </w:r>
            <w:r w:rsidRPr="00411695">
              <w:t>place procedures</w:t>
            </w:r>
          </w:p>
        </w:tc>
      </w:tr>
      <w:tr w:rsidTr="004116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95">
            <w:pPr>
              <w:pStyle w:val="BodyText"/>
              <w:rPr>
                <w:lang w:val="en-NZ"/>
              </w:rPr>
            </w:pPr>
            <w:r w:rsidRPr="00411695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t>Documentation is updated in accordance with workplace procedures</w:t>
            </w:r>
          </w:p>
        </w:tc>
      </w:tr>
    </w:tbl>
    <w:p w:rsidR="00000000" w:rsidRPr="00411695" w:rsidP="00411695">
      <w:pPr>
        <w:pStyle w:val="NoPaddingFontSize1"/>
      </w:pPr>
    </w:p>
    <w:p w:rsidR="00000000" w:rsidRPr="00411695" w:rsidP="00411695">
      <w:pPr>
        <w:pStyle w:val="AllowPageBreak"/>
      </w:pPr>
    </w:p>
    <w:p w:rsidR="00000000" w:rsidRPr="00411695" w:rsidP="00411695">
      <w:pPr>
        <w:pStyle w:val="Heading1"/>
      </w:pPr>
      <w:bookmarkStart w:id="7" w:name="O_1193985"/>
      <w:bookmarkEnd w:id="7"/>
      <w:r w:rsidRPr="004116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t>Foundation skills essential to performance are explicit in the performance criteria of this unit of competency.</w:t>
            </w:r>
          </w:p>
        </w:tc>
      </w:tr>
    </w:tbl>
    <w:p w:rsidR="00000000" w:rsidRPr="00411695" w:rsidP="00411695">
      <w:pPr>
        <w:pStyle w:val="NoPaddingFontSize1"/>
      </w:pPr>
    </w:p>
    <w:p w:rsidR="00000000" w:rsidRPr="00411695" w:rsidP="00411695">
      <w:pPr>
        <w:pStyle w:val="AllowPageBreak"/>
      </w:pPr>
    </w:p>
    <w:p w:rsidR="00000000" w:rsidRPr="00411695" w:rsidP="00411695">
      <w:pPr>
        <w:pStyle w:val="Heading1"/>
      </w:pPr>
      <w:bookmarkStart w:id="8" w:name="O_1193986"/>
      <w:bookmarkEnd w:id="8"/>
      <w:r w:rsidRPr="004116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t>Range is restricted to essential operating conditions and any other variables essential to the work environment.</w:t>
            </w:r>
          </w:p>
          <w:p w:rsidR="00000000" w:rsidRPr="00411695" w:rsidP="00411695">
            <w:pPr>
              <w:pStyle w:val="BodyText"/>
            </w:pPr>
            <w:r w:rsidRPr="00411695">
              <w:t xml:space="preserve">Non-essential conditions may be found in the UEP Electricity Supply Industry – Generation Sector Training Package </w:t>
            </w:r>
            <w:r w:rsidRPr="00411695">
              <w:t>Companion Volume Implementation Guide.</w:t>
            </w:r>
          </w:p>
        </w:tc>
      </w:tr>
    </w:tbl>
    <w:p w:rsidR="00000000" w:rsidRPr="00411695" w:rsidP="00411695">
      <w:pPr>
        <w:pStyle w:val="NoPaddingFontSize1"/>
      </w:pPr>
    </w:p>
    <w:p w:rsidR="00000000" w:rsidRPr="00411695" w:rsidP="00411695">
      <w:pPr>
        <w:pStyle w:val="AllowPageBreak"/>
      </w:pPr>
    </w:p>
    <w:p w:rsidR="00000000" w:rsidRPr="00411695" w:rsidP="00411695">
      <w:pPr>
        <w:pStyle w:val="Heading1"/>
      </w:pPr>
      <w:bookmarkStart w:id="9" w:name="O_1193987"/>
      <w:bookmarkEnd w:id="9"/>
      <w:r w:rsidRPr="004116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95" w:rsidP="00411695">
            <w:pPr>
              <w:pStyle w:val="BodyText"/>
            </w:pPr>
            <w:r w:rsidRPr="00411695">
              <w:t>This unit replaces and is equivalent to UEPOPS407 Start and run up gas turbine.</w:t>
            </w:r>
          </w:p>
        </w:tc>
      </w:tr>
    </w:tbl>
    <w:p w:rsidR="00000000" w:rsidRPr="00411695" w:rsidP="00411695">
      <w:pPr>
        <w:pStyle w:val="NoPaddingFontSize1"/>
      </w:pPr>
    </w:p>
    <w:p w:rsidR="00000000" w:rsidRPr="00411695" w:rsidP="00411695">
      <w:pPr>
        <w:pStyle w:val="AllowPageBreak"/>
      </w:pPr>
    </w:p>
    <w:p w:rsidR="00000000" w:rsidRPr="00411695" w:rsidP="00411695">
      <w:pPr>
        <w:pStyle w:val="Heading1"/>
      </w:pPr>
      <w:bookmarkStart w:id="10" w:name="O_1193994"/>
      <w:bookmarkEnd w:id="10"/>
      <w:r w:rsidRPr="00411695">
        <w:t>Links</w:t>
      </w:r>
    </w:p>
    <w:p w:rsidR="00000000" w:rsidRPr="00411695" w:rsidP="0014568B">
      <w:pPr>
        <w:pStyle w:val="BodyText"/>
      </w:pPr>
      <w:r w:rsidRPr="00411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7574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11695" w:rsidP="00411695"/>
    <w:sectPr w:rsidSect="00411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95" w:rsidRPr="0014568B" w:rsidP="00145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68B" w:rsidP="00411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68B" w:rsidP="00411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568B" w:rsidP="00411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6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695" w:rsidRPr="0014568B" w:rsidP="001456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68B" w:rsidRPr="002D2AF8" w:rsidP="00411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UEPOPS138 Start and run up gas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4568B" w:rsidP="00411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695"/>
  </w:style>
  <w:style w:type="character" w:customStyle="1" w:styleId="Heading1Char">
    <w:name w:val="Heading 1 Char"/>
    <w:basedOn w:val="DefaultParagraphFont"/>
    <w:link w:val="Heading1"/>
    <w:rsid w:val="00411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6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1695"/>
    <w:rPr>
      <w:b/>
      <w:spacing w:val="0"/>
    </w:rPr>
  </w:style>
  <w:style w:type="paragraph" w:customStyle="1" w:styleId="SuperHeading">
    <w:name w:val="SuperHeading"/>
    <w:basedOn w:val="Normal"/>
    <w:rsid w:val="00411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1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6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16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1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6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6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695"/>
    <w:rPr>
      <w:i/>
    </w:rPr>
  </w:style>
  <w:style w:type="paragraph" w:styleId="Caption">
    <w:name w:val="caption"/>
    <w:basedOn w:val="BodyText"/>
    <w:next w:val="Normal"/>
    <w:qFormat/>
    <w:rsid w:val="00411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695"/>
  </w:style>
  <w:style w:type="paragraph" w:styleId="TableofFigures">
    <w:name w:val="table of figures"/>
    <w:basedOn w:val="Normal"/>
    <w:next w:val="Normal"/>
    <w:semiHidden/>
    <w:rsid w:val="00411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6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1695"/>
    <w:rPr>
      <w:rFonts w:ascii="Wingdings" w:hAnsi="Wingdings"/>
    </w:rPr>
  </w:style>
  <w:style w:type="paragraph" w:customStyle="1" w:styleId="TableHeading">
    <w:name w:val="Table Heading"/>
    <w:basedOn w:val="HeadingBase"/>
    <w:rsid w:val="00411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695"/>
    <w:rPr>
      <w:color w:val="0033CC"/>
      <w:u w:val="none"/>
    </w:rPr>
  </w:style>
  <w:style w:type="paragraph" w:customStyle="1" w:styleId="BodyTextRight">
    <w:name w:val="Body Text Right"/>
    <w:basedOn w:val="BodyText"/>
    <w:rsid w:val="00411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6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695"/>
    <w:rPr>
      <w:sz w:val="32"/>
    </w:rPr>
  </w:style>
  <w:style w:type="paragraph" w:customStyle="1" w:styleId="HeadingProcedure">
    <w:name w:val="Heading Procedure"/>
    <w:basedOn w:val="HeadingBase"/>
    <w:next w:val="Normal"/>
    <w:rsid w:val="00411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695"/>
    <w:pPr>
      <w:spacing w:before="60" w:after="60"/>
    </w:pPr>
  </w:style>
  <w:style w:type="paragraph" w:styleId="ListContinue">
    <w:name w:val="List Continue"/>
    <w:basedOn w:val="List"/>
    <w:rsid w:val="00411695"/>
    <w:pPr>
      <w:ind w:firstLine="0"/>
    </w:pPr>
  </w:style>
  <w:style w:type="paragraph" w:customStyle="1" w:styleId="ListNote">
    <w:name w:val="List Note"/>
    <w:basedOn w:val="List"/>
    <w:rsid w:val="00411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695"/>
    <w:rPr>
      <w:rFonts w:ascii="Courier New" w:hAnsi="Courier New"/>
    </w:rPr>
  </w:style>
  <w:style w:type="paragraph" w:customStyle="1" w:styleId="NoteBullet">
    <w:name w:val="Note Bullet"/>
    <w:basedOn w:val="Note"/>
    <w:rsid w:val="00411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6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1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695"/>
    <w:rPr>
      <w:b/>
      <w:smallCaps/>
    </w:rPr>
  </w:style>
  <w:style w:type="paragraph" w:customStyle="1" w:styleId="TableListNumber">
    <w:name w:val="Table List Number"/>
    <w:basedOn w:val="ListNumber"/>
    <w:rsid w:val="00411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695"/>
    <w:pPr>
      <w:numPr>
        <w:numId w:val="7"/>
      </w:numPr>
    </w:pPr>
  </w:style>
  <w:style w:type="paragraph" w:customStyle="1" w:styleId="ListAlpha2">
    <w:name w:val="List Alpha 2"/>
    <w:basedOn w:val="List2"/>
    <w:rsid w:val="00411695"/>
    <w:pPr>
      <w:numPr>
        <w:numId w:val="6"/>
      </w:numPr>
    </w:pPr>
  </w:style>
  <w:style w:type="paragraph" w:styleId="List2">
    <w:name w:val="List 2"/>
    <w:basedOn w:val="BodyText"/>
    <w:rsid w:val="00411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6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6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1695"/>
    <w:pPr>
      <w:numPr>
        <w:numId w:val="2"/>
      </w:numPr>
    </w:pPr>
  </w:style>
  <w:style w:type="paragraph" w:styleId="ListContinue2">
    <w:name w:val="List Continue 2"/>
    <w:basedOn w:val="List2"/>
    <w:rsid w:val="00411695"/>
    <w:pPr>
      <w:ind w:firstLine="0"/>
    </w:pPr>
  </w:style>
  <w:style w:type="paragraph" w:styleId="ListContinue3">
    <w:name w:val="List Continue 3"/>
    <w:basedOn w:val="List3"/>
    <w:rsid w:val="00411695"/>
    <w:pPr>
      <w:ind w:left="1021" w:firstLine="0"/>
    </w:pPr>
  </w:style>
  <w:style w:type="paragraph" w:styleId="ListContinue4">
    <w:name w:val="List Continue 4"/>
    <w:basedOn w:val="List4"/>
    <w:rsid w:val="00411695"/>
    <w:pPr>
      <w:ind w:firstLine="0"/>
    </w:pPr>
  </w:style>
  <w:style w:type="paragraph" w:styleId="ListContinue5">
    <w:name w:val="List Continue 5"/>
    <w:basedOn w:val="List5"/>
    <w:rsid w:val="00411695"/>
    <w:pPr>
      <w:ind w:firstLine="0"/>
    </w:pPr>
  </w:style>
  <w:style w:type="paragraph" w:styleId="ListNumber3">
    <w:name w:val="List Number 3"/>
    <w:basedOn w:val="List3"/>
    <w:rsid w:val="00411695"/>
    <w:pPr>
      <w:numPr>
        <w:numId w:val="3"/>
      </w:numPr>
    </w:pPr>
  </w:style>
  <w:style w:type="paragraph" w:styleId="ListNumber4">
    <w:name w:val="List Number 4"/>
    <w:basedOn w:val="List4"/>
    <w:rsid w:val="00411695"/>
    <w:pPr>
      <w:numPr>
        <w:numId w:val="4"/>
      </w:numPr>
    </w:pPr>
  </w:style>
  <w:style w:type="paragraph" w:styleId="ListNumber5">
    <w:name w:val="List Number 5"/>
    <w:basedOn w:val="List5"/>
    <w:rsid w:val="00411695"/>
    <w:pPr>
      <w:numPr>
        <w:numId w:val="5"/>
      </w:numPr>
    </w:pPr>
  </w:style>
  <w:style w:type="paragraph" w:styleId="BlockText">
    <w:name w:val="Block Text"/>
    <w:basedOn w:val="Normal"/>
    <w:rsid w:val="00411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695"/>
    <w:rPr>
      <w:sz w:val="16"/>
      <w:vertAlign w:val="superscript"/>
    </w:rPr>
  </w:style>
  <w:style w:type="character" w:customStyle="1" w:styleId="Symbols">
    <w:name w:val="Symbols"/>
    <w:basedOn w:val="DefaultParagraphFont"/>
    <w:rsid w:val="00411695"/>
    <w:rPr>
      <w:rFonts w:ascii="Symbol" w:hAnsi="Symbol"/>
    </w:rPr>
  </w:style>
  <w:style w:type="character" w:customStyle="1" w:styleId="MenuOptions">
    <w:name w:val="Menu Options"/>
    <w:basedOn w:val="DefaultParagraphFont"/>
    <w:rsid w:val="00411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695"/>
    <w:rPr>
      <w:b/>
    </w:rPr>
  </w:style>
  <w:style w:type="character" w:customStyle="1" w:styleId="Underlined">
    <w:name w:val="Underlined"/>
    <w:basedOn w:val="DefaultParagraphFont"/>
    <w:rsid w:val="00411695"/>
    <w:rPr>
      <w:u w:val="single"/>
    </w:rPr>
  </w:style>
  <w:style w:type="paragraph" w:customStyle="1" w:styleId="TableBodyTextRight">
    <w:name w:val="Table Body Text Right"/>
    <w:basedOn w:val="TableBodyText"/>
    <w:rsid w:val="00411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695"/>
    <w:rPr>
      <w:sz w:val="18"/>
    </w:rPr>
  </w:style>
  <w:style w:type="paragraph" w:customStyle="1" w:styleId="BodySmallRight">
    <w:name w:val="Body Small Right"/>
    <w:basedOn w:val="BodyTextRight"/>
    <w:rsid w:val="00411695"/>
    <w:rPr>
      <w:sz w:val="18"/>
      <w:szCs w:val="18"/>
    </w:rPr>
  </w:style>
  <w:style w:type="paragraph" w:customStyle="1" w:styleId="MarginEdition">
    <w:name w:val="Margin Edition"/>
    <w:basedOn w:val="MarginNote"/>
    <w:rsid w:val="00411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695"/>
    <w:rPr>
      <w:sz w:val="2"/>
      <w:szCs w:val="2"/>
    </w:rPr>
  </w:style>
  <w:style w:type="character" w:customStyle="1" w:styleId="Small">
    <w:name w:val="Small"/>
    <w:basedOn w:val="DefaultParagraphFont"/>
    <w:rsid w:val="00411695"/>
    <w:rPr>
      <w:sz w:val="16"/>
    </w:rPr>
  </w:style>
  <w:style w:type="paragraph" w:customStyle="1" w:styleId="WideTable">
    <w:name w:val="Wide Table"/>
    <w:basedOn w:val="Normal"/>
    <w:rsid w:val="00411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695"/>
  </w:style>
  <w:style w:type="paragraph" w:styleId="Quote">
    <w:name w:val="Quote"/>
    <w:basedOn w:val="Heading1"/>
    <w:link w:val="QuoteChar"/>
    <w:qFormat/>
    <w:rsid w:val="00411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695"/>
    <w:pPr>
      <w:pageBreakBefore/>
    </w:pPr>
  </w:style>
  <w:style w:type="paragraph" w:customStyle="1" w:styleId="Border">
    <w:name w:val="Border"/>
    <w:basedOn w:val="Normal"/>
    <w:qFormat/>
    <w:rsid w:val="00411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695"/>
    <w:rPr>
      <w:u w:val="single"/>
    </w:rPr>
  </w:style>
  <w:style w:type="character" w:customStyle="1" w:styleId="BoldandItalics">
    <w:name w:val="Bold and Italics"/>
    <w:qFormat/>
    <w:rsid w:val="00411695"/>
    <w:rPr>
      <w:b/>
      <w:i/>
      <w:u w:val="none"/>
    </w:rPr>
  </w:style>
  <w:style w:type="paragraph" w:styleId="BalloonText">
    <w:name w:val="Balloon Text"/>
    <w:basedOn w:val="Normal"/>
    <w:link w:val="BalloonTextChar"/>
    <w:rsid w:val="00411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695"/>
    <w:pPr>
      <w:spacing w:before="0" w:after="0"/>
    </w:pPr>
  </w:style>
  <w:style w:type="paragraph" w:customStyle="1" w:styleId="BodyTextBold">
    <w:name w:val="Body Text Bold"/>
    <w:basedOn w:val="BodyText"/>
    <w:qFormat/>
    <w:rsid w:val="00411695"/>
    <w:rPr>
      <w:b/>
    </w:rPr>
  </w:style>
  <w:style w:type="character" w:styleId="Hyperlink">
    <w:name w:val="Hyperlink"/>
    <w:basedOn w:val="DefaultParagraphFont"/>
    <w:uiPriority w:val="99"/>
    <w:unhideWhenUsed/>
    <w:rsid w:val="00145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4898</Characters>
  <Application>Microsoft Office Word</Application>
  <DocSecurity>0</DocSecurity>
  <Lines>212</Lines>
  <Paragraphs>99</Paragraphs>
  <ScaleCrop>false</ScaleCrop>
  <Company>Author-it Software Corporation Ltd.</Company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UEPOPS138 Start and run up gas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