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B0198" w:rsidP="00DB0198">
      <w:pPr>
        <w:pStyle w:val="Title"/>
      </w:pPr>
      <w:r>
        <w:fldChar w:fldCharType="begin"/>
      </w:r>
      <w:r>
        <w:instrText xml:space="preserve"> TITLE   \* MERGEFORMAT </w:instrText>
      </w:r>
      <w:r>
        <w:fldChar w:fldCharType="separate"/>
      </w:r>
      <w:r>
        <w:t>UEPOPS130 Respond to a critical incident</w:t>
      </w:r>
      <w:r>
        <w:fldChar w:fldCharType="end"/>
      </w:r>
    </w:p>
    <w:p w:rsidR="00DB0198" w:rsidP="00DB0198">
      <w:pPr>
        <w:pStyle w:val="Version"/>
        <w:sectPr w:rsidSect="00830C7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30C70" w:rsidP="00830C70">
      <w:pPr>
        <w:pStyle w:val="SuperHeading"/>
      </w:pPr>
      <w:r w:rsidRPr="00830C70">
        <w:t>UEPOPS130 Respond to a critical incident</w:t>
      </w:r>
    </w:p>
    <w:p w:rsidR="00000000" w:rsidRPr="00830C70" w:rsidP="00830C70">
      <w:pPr>
        <w:pStyle w:val="Heading1"/>
      </w:pPr>
      <w:bookmarkStart w:id="1" w:name="O_1193827"/>
      <w:bookmarkEnd w:id="1"/>
      <w:r w:rsidRPr="00830C70">
        <w:t>Modification History</w:t>
      </w:r>
    </w:p>
    <w:tbl>
      <w:tblPr>
        <w:tblW w:w="9497" w:type="dxa"/>
        <w:tblLayout w:type="fixed"/>
        <w:tblCellMar>
          <w:left w:w="62" w:type="dxa"/>
          <w:right w:w="62" w:type="dxa"/>
        </w:tblCellMar>
        <w:tblLook w:val="0000"/>
      </w:tblPr>
      <w:tblGrid>
        <w:gridCol w:w="9497"/>
      </w:tblGrid>
      <w:tr w:rsidTr="00830C7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30C70" w:rsidP="00830C70">
            <w:pPr>
              <w:pStyle w:val="BodyText"/>
            </w:pPr>
            <w:r w:rsidRPr="00830C70">
              <w:t>Release 1. This is the first release of this unit of competency in the UEP Electricity Supply Industry – Generation Sector Training Package Release 2.0.</w:t>
            </w:r>
          </w:p>
        </w:tc>
      </w:tr>
    </w:tbl>
    <w:p w:rsidR="00000000" w:rsidRPr="00830C70" w:rsidP="00830C70">
      <w:pPr>
        <w:pStyle w:val="NoPaddingFontSize1"/>
      </w:pPr>
    </w:p>
    <w:p w:rsidR="00000000" w:rsidRPr="00830C70" w:rsidP="00830C70">
      <w:pPr>
        <w:pStyle w:val="AllowPageBreak"/>
      </w:pPr>
    </w:p>
    <w:p w:rsidR="00000000" w:rsidRPr="00830C70" w:rsidP="00830C70">
      <w:pPr>
        <w:pStyle w:val="Heading1"/>
      </w:pPr>
      <w:bookmarkStart w:id="2" w:name="O_1193828"/>
      <w:bookmarkEnd w:id="2"/>
      <w:r w:rsidRPr="00830C70">
        <w:t>Application</w:t>
      </w:r>
    </w:p>
    <w:tbl>
      <w:tblPr>
        <w:tblW w:w="9497" w:type="dxa"/>
        <w:tblLayout w:type="fixed"/>
        <w:tblCellMar>
          <w:left w:w="62" w:type="dxa"/>
          <w:right w:w="62" w:type="dxa"/>
        </w:tblCellMar>
        <w:tblLook w:val="0000"/>
      </w:tblPr>
      <w:tblGrid>
        <w:gridCol w:w="9497"/>
      </w:tblGrid>
      <w:tr w:rsidTr="00830C7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30C70" w:rsidP="00830C70">
            <w:pPr>
              <w:pStyle w:val="BodyText"/>
            </w:pPr>
            <w:r w:rsidRPr="00830C70">
              <w:t>This unit involves the skills and knowledge requi</w:t>
            </w:r>
            <w:r w:rsidRPr="00830C70">
              <w:t>red to respond to a critical incident that may impact the operational effectiveness of a power generation facility</w:t>
            </w:r>
            <w:r>
              <w:t>’</w:t>
            </w:r>
            <w:r w:rsidRPr="00830C70">
              <w:t>s plant or system, endanger human life, damage or destroy property and/or have an adverse impact on the environment.</w:t>
            </w:r>
          </w:p>
          <w:p w:rsidR="00000000" w:rsidRPr="00830C70" w:rsidP="00830C70">
            <w:pPr>
              <w:pStyle w:val="BodyText"/>
            </w:pPr>
            <w:r w:rsidRPr="00830C70">
              <w:t>A critical incident refe</w:t>
            </w:r>
            <w:r w:rsidRPr="00830C70">
              <w:t>rs to a crisis that may result in a high level of risk, directly or indirectly, to the core operations of a power generation facility. A high level of risk would be determined using the risk management processes outlined in the power generation facility</w:t>
            </w:r>
            <w:r>
              <w:t>’</w:t>
            </w:r>
            <w:r w:rsidRPr="00830C70">
              <w:t xml:space="preserve">s </w:t>
            </w:r>
            <w:r w:rsidRPr="00830C70">
              <w:t>risk management system.</w:t>
            </w:r>
          </w:p>
          <w:p w:rsidR="00000000" w:rsidRPr="00830C70" w:rsidP="00830C70">
            <w:pPr>
              <w:pStyle w:val="BodyText"/>
            </w:pPr>
            <w:r w:rsidRPr="00830C70">
              <w:t>Competency in this unit requires the ability to identify a critical incident and consequences, stabilise power generation system, restore power generation system and review response to incident. Individuals will, in general, work as</w:t>
            </w:r>
            <w:r w:rsidRPr="00830C70">
              <w:t xml:space="preserve"> an operator, in a power generation facility.</w:t>
            </w:r>
          </w:p>
          <w:p w:rsidR="00000000" w:rsidRPr="00830C70" w:rsidP="00830C70">
            <w:pPr>
              <w:pStyle w:val="BodyText"/>
            </w:pPr>
            <w:r w:rsidRPr="00830C70">
              <w:t>Power generation plant operators are trained and authorised to isolate, prepare plant and issue permits to work.</w:t>
            </w:r>
          </w:p>
          <w:p w:rsidR="00000000" w:rsidRPr="00830C70" w:rsidP="00830C70">
            <w:pPr>
              <w:pStyle w:val="BodyText"/>
            </w:pPr>
            <w:r w:rsidRPr="00830C70">
              <w:t>No licensing, legislative or certification requirements apply to this unit at the time of publica</w:t>
            </w:r>
            <w:r w:rsidRPr="00830C70">
              <w:t>tion.</w:t>
            </w:r>
          </w:p>
        </w:tc>
      </w:tr>
    </w:tbl>
    <w:p w:rsidR="00000000" w:rsidRPr="00830C70" w:rsidP="00830C70">
      <w:pPr>
        <w:pStyle w:val="NoPaddingFontSize1"/>
      </w:pPr>
    </w:p>
    <w:p w:rsidR="00000000" w:rsidRPr="00830C70" w:rsidP="00830C70">
      <w:pPr>
        <w:pStyle w:val="AllowPageBreak"/>
      </w:pPr>
    </w:p>
    <w:p w:rsidR="00000000" w:rsidRPr="00830C70" w:rsidP="00830C70">
      <w:pPr>
        <w:pStyle w:val="Heading1"/>
      </w:pPr>
      <w:bookmarkStart w:id="3" w:name="O_1193829"/>
      <w:bookmarkEnd w:id="3"/>
      <w:r w:rsidRPr="00830C70">
        <w:t>Pre-requisite Unit</w:t>
      </w:r>
    </w:p>
    <w:tbl>
      <w:tblPr>
        <w:tblW w:w="9497" w:type="dxa"/>
        <w:tblLayout w:type="fixed"/>
        <w:tblCellMar>
          <w:left w:w="62" w:type="dxa"/>
          <w:right w:w="62" w:type="dxa"/>
        </w:tblCellMar>
        <w:tblLook w:val="0000"/>
      </w:tblPr>
      <w:tblGrid>
        <w:gridCol w:w="9497"/>
      </w:tblGrid>
      <w:tr w:rsidTr="00830C7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30C70" w:rsidP="00830C70">
            <w:pPr>
              <w:pStyle w:val="BodyText"/>
            </w:pPr>
            <w:r w:rsidRPr="00830C70">
              <w:t>There are no prerequisite units</w:t>
            </w:r>
          </w:p>
        </w:tc>
      </w:tr>
    </w:tbl>
    <w:p w:rsidR="00000000" w:rsidRPr="00830C70" w:rsidP="00830C70">
      <w:pPr>
        <w:pStyle w:val="NoPaddingFontSize1"/>
      </w:pPr>
    </w:p>
    <w:p w:rsidR="00000000" w:rsidRPr="00830C70" w:rsidP="00830C70">
      <w:pPr>
        <w:pStyle w:val="AllowPageBreak"/>
      </w:pPr>
    </w:p>
    <w:p w:rsidR="00000000" w:rsidRPr="00830C70" w:rsidP="00830C70">
      <w:pPr>
        <w:pStyle w:val="Heading1"/>
      </w:pPr>
      <w:bookmarkStart w:id="4" w:name="O_1193830"/>
      <w:bookmarkEnd w:id="4"/>
      <w:r w:rsidRPr="00830C70">
        <w:t>Competency Field</w:t>
      </w:r>
    </w:p>
    <w:tbl>
      <w:tblPr>
        <w:tblW w:w="9497" w:type="dxa"/>
        <w:tblLayout w:type="fixed"/>
        <w:tblCellMar>
          <w:left w:w="62" w:type="dxa"/>
          <w:right w:w="62" w:type="dxa"/>
        </w:tblCellMar>
        <w:tblLook w:val="0000"/>
      </w:tblPr>
      <w:tblGrid>
        <w:gridCol w:w="9497"/>
      </w:tblGrid>
      <w:tr w:rsidTr="00830C7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30C70" w:rsidP="00830C70">
            <w:pPr>
              <w:pStyle w:val="BodyText"/>
            </w:pPr>
            <w:r w:rsidRPr="00830C70">
              <w:t>Operations</w:t>
            </w:r>
          </w:p>
        </w:tc>
      </w:tr>
    </w:tbl>
    <w:p w:rsidR="00000000" w:rsidRPr="00830C70" w:rsidP="00830C70">
      <w:pPr>
        <w:pStyle w:val="NoPaddingFontSize1"/>
      </w:pPr>
    </w:p>
    <w:p w:rsidR="00000000" w:rsidRPr="00830C70" w:rsidP="00830C70">
      <w:pPr>
        <w:pStyle w:val="AllowPageBreak"/>
      </w:pPr>
    </w:p>
    <w:p w:rsidR="00000000" w:rsidRPr="00830C70" w:rsidP="00830C70">
      <w:pPr>
        <w:pStyle w:val="Heading1"/>
      </w:pPr>
      <w:bookmarkStart w:id="5" w:name="O_1193831"/>
      <w:bookmarkEnd w:id="5"/>
      <w:r w:rsidRPr="00830C70">
        <w:t>Unit Sector</w:t>
      </w:r>
    </w:p>
    <w:tbl>
      <w:tblPr>
        <w:tblW w:w="9497" w:type="dxa"/>
        <w:tblLayout w:type="fixed"/>
        <w:tblCellMar>
          <w:left w:w="62" w:type="dxa"/>
          <w:right w:w="62" w:type="dxa"/>
        </w:tblCellMar>
        <w:tblLook w:val="0000"/>
      </w:tblPr>
      <w:tblGrid>
        <w:gridCol w:w="9497"/>
      </w:tblGrid>
      <w:tr w:rsidTr="00830C7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30C70" w:rsidP="00830C70">
            <w:pPr>
              <w:pStyle w:val="BodyText"/>
            </w:pPr>
            <w:r w:rsidRPr="00830C70">
              <w:t>Electricity generation</w:t>
            </w:r>
          </w:p>
        </w:tc>
      </w:tr>
    </w:tbl>
    <w:p w:rsidR="00000000" w:rsidRPr="00830C70" w:rsidP="00830C70">
      <w:pPr>
        <w:pStyle w:val="NoPaddingFontSize1"/>
      </w:pPr>
    </w:p>
    <w:p w:rsidR="00000000" w:rsidRPr="00830C70" w:rsidP="00830C70">
      <w:pPr>
        <w:pStyle w:val="AllowPageBreak"/>
      </w:pPr>
    </w:p>
    <w:p w:rsidR="00000000" w:rsidRPr="00830C70" w:rsidP="00830C70">
      <w:pPr>
        <w:pStyle w:val="Heading1"/>
      </w:pPr>
      <w:bookmarkStart w:id="6" w:name="O_1193832"/>
      <w:bookmarkEnd w:id="6"/>
      <w:r w:rsidRPr="00830C70">
        <w:t>Elements and Performance Criteria</w:t>
      </w:r>
    </w:p>
    <w:tbl>
      <w:tblPr>
        <w:tblW w:w="9498" w:type="dxa"/>
        <w:tblLayout w:type="fixed"/>
        <w:tblCellMar>
          <w:left w:w="62" w:type="dxa"/>
          <w:right w:w="62" w:type="dxa"/>
        </w:tblCellMar>
        <w:tblLook w:val="0000"/>
      </w:tblPr>
      <w:tblGrid>
        <w:gridCol w:w="279"/>
        <w:gridCol w:w="2889"/>
        <w:gridCol w:w="702"/>
        <w:gridCol w:w="5628"/>
      </w:tblGrid>
      <w:tr w:rsidTr="00830C70">
        <w:tblPrEx>
          <w:tblW w:w="9498"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RPr="00830C70" w:rsidP="00830C70">
            <w:pPr>
              <w:pStyle w:val="BodyText"/>
            </w:pPr>
            <w:r w:rsidRPr="00830C70">
              <w:rPr>
                <w:rStyle w:val="SpecialBold"/>
              </w:rPr>
              <w:t>ELEMENTS</w:t>
            </w:r>
          </w:p>
        </w:tc>
        <w:tc>
          <w:tcPr>
            <w:tcW w:w="6330" w:type="dxa"/>
            <w:gridSpan w:val="2"/>
            <w:tcBorders>
              <w:top w:val="nil"/>
              <w:left w:val="nil"/>
              <w:bottom w:val="nil"/>
              <w:right w:val="nil"/>
            </w:tcBorders>
            <w:tcMar>
              <w:top w:w="0" w:type="dxa"/>
              <w:left w:w="62" w:type="dxa"/>
              <w:bottom w:w="0" w:type="dxa"/>
              <w:right w:w="62" w:type="dxa"/>
            </w:tcMar>
          </w:tcPr>
          <w:p w:rsidR="00000000" w:rsidP="00830C70">
            <w:pPr>
              <w:pStyle w:val="BodyText"/>
              <w:rPr>
                <w:lang w:val="en-NZ"/>
              </w:rPr>
            </w:pPr>
            <w:r w:rsidRPr="00830C70">
              <w:rPr>
                <w:rStyle w:val="SpecialBold"/>
              </w:rPr>
              <w:t>PERFORMANCE CRITERIA</w:t>
            </w:r>
          </w:p>
        </w:tc>
      </w:tr>
      <w:tr w:rsidTr="00830C70">
        <w:tblPrEx>
          <w:tblW w:w="9498"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P="00830C70">
            <w:pPr>
              <w:pStyle w:val="BodyText"/>
              <w:rPr>
                <w:lang w:val="en-NZ"/>
              </w:rPr>
            </w:pPr>
            <w:r w:rsidRPr="00830C70">
              <w:t xml:space="preserve">Elements describe the essential </w:t>
            </w:r>
            <w:r w:rsidRPr="00830C70">
              <w:t>outcomes.</w:t>
            </w:r>
          </w:p>
        </w:tc>
        <w:tc>
          <w:tcPr>
            <w:tcW w:w="6330" w:type="dxa"/>
            <w:gridSpan w:val="2"/>
            <w:tcBorders>
              <w:top w:val="nil"/>
              <w:left w:val="nil"/>
              <w:bottom w:val="nil"/>
              <w:right w:val="nil"/>
            </w:tcBorders>
            <w:tcMar>
              <w:top w:w="0" w:type="dxa"/>
              <w:left w:w="62" w:type="dxa"/>
              <w:bottom w:w="0" w:type="dxa"/>
              <w:right w:w="62" w:type="dxa"/>
            </w:tcMar>
          </w:tcPr>
          <w:p w:rsidR="00000000" w:rsidP="00830C70">
            <w:pPr>
              <w:pStyle w:val="BodyText"/>
              <w:rPr>
                <w:lang w:val="en-NZ"/>
              </w:rPr>
            </w:pPr>
            <w:r w:rsidRPr="00830C70">
              <w:t xml:space="preserve">Performance criteria describe the performance needed to </w:t>
            </w:r>
            <w:r w:rsidRPr="00830C70">
              <w:t>demonstrate achievement of the element.</w:t>
            </w:r>
          </w:p>
        </w:tc>
      </w:tr>
      <w:tr w:rsidTr="00830C70">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830C70" w:rsidP="00830C70">
            <w:pPr>
              <w:pStyle w:val="BodyText"/>
            </w:pPr>
            <w:r w:rsidRPr="00830C70">
              <w:rPr>
                <w:rStyle w:val="SpecialBold"/>
              </w:rPr>
              <w:t>1</w:t>
            </w:r>
          </w:p>
        </w:tc>
        <w:tc>
          <w:tcPr>
            <w:tcW w:w="2889" w:type="dxa"/>
            <w:tcBorders>
              <w:top w:val="nil"/>
              <w:left w:val="nil"/>
              <w:bottom w:val="nil"/>
              <w:right w:val="nil"/>
            </w:tcBorders>
            <w:tcMar>
              <w:top w:w="0" w:type="dxa"/>
              <w:left w:w="62" w:type="dxa"/>
              <w:bottom w:w="0" w:type="dxa"/>
              <w:right w:w="62" w:type="dxa"/>
            </w:tcMar>
          </w:tcPr>
          <w:p w:rsidR="00000000" w:rsidRPr="00830C70" w:rsidP="00830C70">
            <w:pPr>
              <w:pStyle w:val="BodyText"/>
            </w:pPr>
            <w:r w:rsidRPr="00830C70">
              <w:rPr>
                <w:rStyle w:val="SpecialBold"/>
              </w:rPr>
              <w:t>Identify critical incident and consequences</w:t>
            </w:r>
          </w:p>
        </w:tc>
        <w:tc>
          <w:tcPr>
            <w:tcW w:w="702" w:type="dxa"/>
            <w:tcBorders>
              <w:top w:val="nil"/>
              <w:left w:val="nil"/>
              <w:bottom w:val="nil"/>
              <w:right w:val="nil"/>
            </w:tcBorders>
            <w:tcMar>
              <w:top w:w="0" w:type="dxa"/>
              <w:left w:w="62" w:type="dxa"/>
              <w:bottom w:w="0" w:type="dxa"/>
              <w:right w:w="62" w:type="dxa"/>
            </w:tcMar>
          </w:tcPr>
          <w:p w:rsidR="00000000" w:rsidP="00830C70">
            <w:pPr>
              <w:pStyle w:val="BodyText"/>
              <w:rPr>
                <w:lang w:val="en-NZ"/>
              </w:rPr>
            </w:pPr>
            <w:r w:rsidRPr="00830C70">
              <w:rPr>
                <w:rStyle w:val="SpecialBold"/>
              </w:rPr>
              <w:t>1.1</w:t>
            </w:r>
          </w:p>
        </w:tc>
        <w:tc>
          <w:tcPr>
            <w:tcW w:w="5628" w:type="dxa"/>
            <w:tcBorders>
              <w:top w:val="nil"/>
              <w:left w:val="nil"/>
              <w:bottom w:val="nil"/>
              <w:right w:val="nil"/>
            </w:tcBorders>
            <w:tcMar>
              <w:top w:w="0" w:type="dxa"/>
              <w:left w:w="62" w:type="dxa"/>
              <w:bottom w:w="0" w:type="dxa"/>
              <w:right w:w="62" w:type="dxa"/>
            </w:tcMar>
          </w:tcPr>
          <w:p w:rsidR="00000000" w:rsidP="00830C70">
            <w:pPr>
              <w:pStyle w:val="BodyText"/>
              <w:rPr>
                <w:lang w:val="en-NZ"/>
              </w:rPr>
            </w:pPr>
            <w:r w:rsidRPr="00830C70">
              <w:t>Work health and safety (WHS)/occupational health and safety (OHS) regulations, legislative requirements, codes of practice, manufacturers’ recommendations and specifications, environmental requirements and workplace procedures are identified, applied and m</w:t>
            </w:r>
            <w:r w:rsidRPr="00830C70">
              <w:t>onitored</w:t>
            </w:r>
          </w:p>
        </w:tc>
      </w:tr>
      <w:tr w:rsidTr="00830C70">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830C70">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830C70">
            <w:pPr>
              <w:pStyle w:val="BodyText"/>
              <w:rPr>
                <w:lang w:val="en-NZ"/>
              </w:rPr>
            </w:pPr>
            <w:r w:rsidRPr="00830C70">
              <w:rPr>
                <w:rStyle w:val="SpecialBold"/>
              </w:rPr>
              <w:t>1.2</w:t>
            </w:r>
          </w:p>
        </w:tc>
        <w:tc>
          <w:tcPr>
            <w:tcW w:w="5628" w:type="dxa"/>
            <w:tcBorders>
              <w:top w:val="nil"/>
              <w:left w:val="nil"/>
              <w:bottom w:val="nil"/>
              <w:right w:val="nil"/>
            </w:tcBorders>
            <w:tcMar>
              <w:top w:w="0" w:type="dxa"/>
              <w:left w:w="62" w:type="dxa"/>
              <w:bottom w:w="0" w:type="dxa"/>
              <w:right w:w="62" w:type="dxa"/>
            </w:tcMar>
          </w:tcPr>
          <w:p w:rsidR="00000000" w:rsidP="00830C70">
            <w:pPr>
              <w:pStyle w:val="BodyText"/>
              <w:rPr>
                <w:lang w:val="en-NZ"/>
              </w:rPr>
            </w:pPr>
            <w:r w:rsidRPr="00830C70">
              <w:t>Work requirements are identified from relevant personnel and documentation in accordance with workplace procedures</w:t>
            </w:r>
          </w:p>
        </w:tc>
      </w:tr>
      <w:tr w:rsidTr="00830C70">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830C70">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830C70">
            <w:pPr>
              <w:pStyle w:val="BodyText"/>
              <w:rPr>
                <w:lang w:val="en-NZ"/>
              </w:rPr>
            </w:pPr>
            <w:r w:rsidRPr="00830C70">
              <w:rPr>
                <w:rStyle w:val="SpecialBold"/>
              </w:rPr>
              <w:t>1.3</w:t>
            </w:r>
          </w:p>
        </w:tc>
        <w:tc>
          <w:tcPr>
            <w:tcW w:w="5628" w:type="dxa"/>
            <w:tcBorders>
              <w:top w:val="nil"/>
              <w:left w:val="nil"/>
              <w:bottom w:val="nil"/>
              <w:right w:val="nil"/>
            </w:tcBorders>
            <w:tcMar>
              <w:top w:w="0" w:type="dxa"/>
              <w:left w:w="62" w:type="dxa"/>
              <w:bottom w:w="0" w:type="dxa"/>
              <w:right w:w="62" w:type="dxa"/>
            </w:tcMar>
          </w:tcPr>
          <w:p w:rsidR="00000000" w:rsidP="00830C70">
            <w:pPr>
              <w:pStyle w:val="BodyText"/>
              <w:rPr>
                <w:lang w:val="en-NZ"/>
              </w:rPr>
            </w:pPr>
            <w:r w:rsidRPr="00830C70">
              <w:t>Fault location is determined by monitoring and evaluating power generation system configuration and operational prerequisites in accordance with workplace procedures</w:t>
            </w:r>
          </w:p>
        </w:tc>
      </w:tr>
      <w:tr w:rsidTr="00830C70">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830C70">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830C70">
            <w:pPr>
              <w:pStyle w:val="BodyText"/>
              <w:rPr>
                <w:lang w:val="en-NZ"/>
              </w:rPr>
            </w:pPr>
            <w:r w:rsidRPr="00830C70">
              <w:rPr>
                <w:rStyle w:val="SpecialBold"/>
              </w:rPr>
              <w:t>1.4</w:t>
            </w:r>
          </w:p>
        </w:tc>
        <w:tc>
          <w:tcPr>
            <w:tcW w:w="5628" w:type="dxa"/>
            <w:tcBorders>
              <w:top w:val="nil"/>
              <w:left w:val="nil"/>
              <w:bottom w:val="nil"/>
              <w:right w:val="nil"/>
            </w:tcBorders>
            <w:tcMar>
              <w:top w:w="0" w:type="dxa"/>
              <w:left w:w="62" w:type="dxa"/>
              <w:bottom w:w="0" w:type="dxa"/>
              <w:right w:w="62" w:type="dxa"/>
            </w:tcMar>
          </w:tcPr>
          <w:p w:rsidR="00000000" w:rsidP="00830C70">
            <w:pPr>
              <w:pStyle w:val="BodyText"/>
              <w:rPr>
                <w:lang w:val="en-NZ"/>
              </w:rPr>
            </w:pPr>
            <w:r w:rsidRPr="00830C70">
              <w:t xml:space="preserve">Fault information is collated to determine type and cause of failure in accordance </w:t>
            </w:r>
            <w:r w:rsidRPr="00830C70">
              <w:t>with workplace procedures</w:t>
            </w:r>
          </w:p>
        </w:tc>
      </w:tr>
      <w:tr w:rsidTr="00830C70">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830C70">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830C70">
            <w:pPr>
              <w:pStyle w:val="BodyText"/>
              <w:rPr>
                <w:lang w:val="en-NZ"/>
              </w:rPr>
            </w:pPr>
            <w:r w:rsidRPr="00830C70">
              <w:rPr>
                <w:rStyle w:val="SpecialBold"/>
              </w:rPr>
              <w:t>1.5</w:t>
            </w:r>
          </w:p>
        </w:tc>
        <w:tc>
          <w:tcPr>
            <w:tcW w:w="5628" w:type="dxa"/>
            <w:tcBorders>
              <w:top w:val="nil"/>
              <w:left w:val="nil"/>
              <w:bottom w:val="nil"/>
              <w:right w:val="nil"/>
            </w:tcBorders>
            <w:tcMar>
              <w:top w:w="0" w:type="dxa"/>
              <w:left w:w="62" w:type="dxa"/>
              <w:bottom w:w="0" w:type="dxa"/>
              <w:right w:w="62" w:type="dxa"/>
            </w:tcMar>
          </w:tcPr>
          <w:p w:rsidR="00000000" w:rsidP="00830C70">
            <w:pPr>
              <w:pStyle w:val="BodyText"/>
              <w:rPr>
                <w:lang w:val="en-NZ"/>
              </w:rPr>
            </w:pPr>
            <w:r w:rsidRPr="00830C70">
              <w:t>Power generation system limitations and performance, including location and external influences, are identified in accordance with workplace procedures</w:t>
            </w:r>
          </w:p>
        </w:tc>
      </w:tr>
      <w:tr w:rsidTr="00830C70">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830C70" w:rsidP="00830C70">
            <w:pPr>
              <w:pStyle w:val="BodyText"/>
            </w:pPr>
            <w:r w:rsidRPr="00830C70">
              <w:rPr>
                <w:rStyle w:val="SpecialBold"/>
              </w:rPr>
              <w:t>2</w:t>
            </w:r>
          </w:p>
        </w:tc>
        <w:tc>
          <w:tcPr>
            <w:tcW w:w="2889" w:type="dxa"/>
            <w:tcBorders>
              <w:top w:val="nil"/>
              <w:left w:val="nil"/>
              <w:bottom w:val="nil"/>
              <w:right w:val="nil"/>
            </w:tcBorders>
            <w:tcMar>
              <w:top w:w="0" w:type="dxa"/>
              <w:left w:w="62" w:type="dxa"/>
              <w:bottom w:w="0" w:type="dxa"/>
              <w:right w:w="62" w:type="dxa"/>
            </w:tcMar>
          </w:tcPr>
          <w:p w:rsidR="00000000" w:rsidRPr="00830C70" w:rsidP="00830C70">
            <w:pPr>
              <w:pStyle w:val="BodyText"/>
            </w:pPr>
            <w:r w:rsidRPr="00830C70">
              <w:rPr>
                <w:rStyle w:val="SpecialBold"/>
              </w:rPr>
              <w:t>Stabilise power generation system</w:t>
            </w:r>
          </w:p>
        </w:tc>
        <w:tc>
          <w:tcPr>
            <w:tcW w:w="702" w:type="dxa"/>
            <w:tcBorders>
              <w:top w:val="nil"/>
              <w:left w:val="nil"/>
              <w:bottom w:val="nil"/>
              <w:right w:val="nil"/>
            </w:tcBorders>
            <w:tcMar>
              <w:top w:w="0" w:type="dxa"/>
              <w:left w:w="62" w:type="dxa"/>
              <w:bottom w:w="0" w:type="dxa"/>
              <w:right w:w="62" w:type="dxa"/>
            </w:tcMar>
          </w:tcPr>
          <w:p w:rsidR="00000000" w:rsidP="00830C70">
            <w:pPr>
              <w:pStyle w:val="BodyText"/>
              <w:rPr>
                <w:lang w:val="en-NZ"/>
              </w:rPr>
            </w:pPr>
            <w:r w:rsidRPr="00830C70">
              <w:rPr>
                <w:rStyle w:val="SpecialBold"/>
              </w:rPr>
              <w:t>2.1</w:t>
            </w:r>
          </w:p>
        </w:tc>
        <w:tc>
          <w:tcPr>
            <w:tcW w:w="5628" w:type="dxa"/>
            <w:tcBorders>
              <w:top w:val="nil"/>
              <w:left w:val="nil"/>
              <w:bottom w:val="nil"/>
              <w:right w:val="nil"/>
            </w:tcBorders>
            <w:tcMar>
              <w:top w:w="0" w:type="dxa"/>
              <w:left w:w="62" w:type="dxa"/>
              <w:bottom w:w="0" w:type="dxa"/>
              <w:right w:w="62" w:type="dxa"/>
            </w:tcMar>
          </w:tcPr>
          <w:p w:rsidR="00000000" w:rsidP="00830C70">
            <w:pPr>
              <w:pStyle w:val="BodyText"/>
              <w:rPr>
                <w:lang w:val="en-NZ"/>
              </w:rPr>
            </w:pPr>
            <w:r w:rsidRPr="00830C70">
              <w:t>Critical incident response tec</w:t>
            </w:r>
            <w:r w:rsidRPr="00830C70">
              <w:t>hniques are identified and used in accordance with workplace procedures</w:t>
            </w:r>
          </w:p>
        </w:tc>
      </w:tr>
      <w:tr w:rsidTr="00830C70">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830C70">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830C70">
            <w:pPr>
              <w:pStyle w:val="BodyText"/>
              <w:rPr>
                <w:lang w:val="en-NZ"/>
              </w:rPr>
            </w:pPr>
            <w:r w:rsidRPr="00830C70">
              <w:rPr>
                <w:rStyle w:val="SpecialBold"/>
              </w:rPr>
              <w:t>2.2</w:t>
            </w:r>
          </w:p>
        </w:tc>
        <w:tc>
          <w:tcPr>
            <w:tcW w:w="5628" w:type="dxa"/>
            <w:tcBorders>
              <w:top w:val="nil"/>
              <w:left w:val="nil"/>
              <w:bottom w:val="nil"/>
              <w:right w:val="nil"/>
            </w:tcBorders>
            <w:tcMar>
              <w:top w:w="0" w:type="dxa"/>
              <w:left w:w="62" w:type="dxa"/>
              <w:bottom w:w="0" w:type="dxa"/>
              <w:right w:w="62" w:type="dxa"/>
            </w:tcMar>
          </w:tcPr>
          <w:p w:rsidR="00000000" w:rsidP="00830C70">
            <w:pPr>
              <w:pStyle w:val="BodyText"/>
              <w:rPr>
                <w:lang w:val="en-NZ"/>
              </w:rPr>
            </w:pPr>
            <w:r w:rsidRPr="00830C70">
              <w:t>Personnel and external stakeholders are consulted prior to further critical incident actions being undertaken in accordance with workplace procedures</w:t>
            </w:r>
          </w:p>
        </w:tc>
      </w:tr>
      <w:tr w:rsidTr="00830C70">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830C70">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830C70">
            <w:pPr>
              <w:pStyle w:val="BodyText"/>
              <w:rPr>
                <w:lang w:val="en-NZ"/>
              </w:rPr>
            </w:pPr>
            <w:r w:rsidRPr="00830C70">
              <w:rPr>
                <w:rStyle w:val="SpecialBold"/>
              </w:rPr>
              <w:t>2.3</w:t>
            </w:r>
          </w:p>
        </w:tc>
        <w:tc>
          <w:tcPr>
            <w:tcW w:w="5628" w:type="dxa"/>
            <w:tcBorders>
              <w:top w:val="nil"/>
              <w:left w:val="nil"/>
              <w:bottom w:val="nil"/>
              <w:right w:val="nil"/>
            </w:tcBorders>
            <w:tcMar>
              <w:top w:w="0" w:type="dxa"/>
              <w:left w:w="62" w:type="dxa"/>
              <w:bottom w:w="0" w:type="dxa"/>
              <w:right w:w="62" w:type="dxa"/>
            </w:tcMar>
          </w:tcPr>
          <w:p w:rsidR="00000000" w:rsidP="00830C70">
            <w:pPr>
              <w:pStyle w:val="BodyText"/>
              <w:rPr>
                <w:lang w:val="en-NZ"/>
              </w:rPr>
            </w:pPr>
            <w:r w:rsidRPr="00830C70">
              <w:t>Power generation system requirements are assessed and controlled to maintain stability and integrity in accordance with workplace procedures</w:t>
            </w:r>
          </w:p>
        </w:tc>
      </w:tr>
      <w:tr w:rsidTr="00830C70">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830C70">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830C70">
            <w:pPr>
              <w:pStyle w:val="BodyText"/>
              <w:rPr>
                <w:lang w:val="en-NZ"/>
              </w:rPr>
            </w:pPr>
            <w:r w:rsidRPr="00830C70">
              <w:rPr>
                <w:rStyle w:val="SpecialBold"/>
              </w:rPr>
              <w:t>2.4</w:t>
            </w:r>
          </w:p>
        </w:tc>
        <w:tc>
          <w:tcPr>
            <w:tcW w:w="5628" w:type="dxa"/>
            <w:tcBorders>
              <w:top w:val="nil"/>
              <w:left w:val="nil"/>
              <w:bottom w:val="nil"/>
              <w:right w:val="nil"/>
            </w:tcBorders>
            <w:tcMar>
              <w:top w:w="0" w:type="dxa"/>
              <w:left w:w="62" w:type="dxa"/>
              <w:bottom w:w="0" w:type="dxa"/>
              <w:right w:w="62" w:type="dxa"/>
            </w:tcMar>
          </w:tcPr>
          <w:p w:rsidR="00000000" w:rsidP="00830C70">
            <w:pPr>
              <w:pStyle w:val="BodyText"/>
              <w:rPr>
                <w:lang w:val="en-NZ"/>
              </w:rPr>
            </w:pPr>
            <w:r w:rsidRPr="00830C70">
              <w:t>Corrective actions to rectify power generation system abnormalities are implemented following analysis of da</w:t>
            </w:r>
            <w:r w:rsidRPr="00830C70">
              <w:t>ta in accordance with workplace procedures</w:t>
            </w:r>
          </w:p>
        </w:tc>
      </w:tr>
      <w:tr w:rsidTr="00830C70">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830C70" w:rsidP="00830C70">
            <w:pPr>
              <w:pStyle w:val="BodyText"/>
            </w:pPr>
            <w:r w:rsidRPr="00830C70">
              <w:rPr>
                <w:rStyle w:val="SpecialBold"/>
              </w:rPr>
              <w:t>3</w:t>
            </w:r>
          </w:p>
        </w:tc>
        <w:tc>
          <w:tcPr>
            <w:tcW w:w="2889" w:type="dxa"/>
            <w:tcBorders>
              <w:top w:val="nil"/>
              <w:left w:val="nil"/>
              <w:bottom w:val="nil"/>
              <w:right w:val="nil"/>
            </w:tcBorders>
            <w:tcMar>
              <w:top w:w="0" w:type="dxa"/>
              <w:left w:w="62" w:type="dxa"/>
              <w:bottom w:w="0" w:type="dxa"/>
              <w:right w:w="62" w:type="dxa"/>
            </w:tcMar>
          </w:tcPr>
          <w:p w:rsidR="00000000" w:rsidRPr="00830C70" w:rsidP="00830C70">
            <w:pPr>
              <w:pStyle w:val="BodyText"/>
            </w:pPr>
            <w:r w:rsidRPr="00830C70">
              <w:rPr>
                <w:rStyle w:val="SpecialBold"/>
              </w:rPr>
              <w:t>Restore power generation system</w:t>
            </w:r>
          </w:p>
        </w:tc>
        <w:tc>
          <w:tcPr>
            <w:tcW w:w="702" w:type="dxa"/>
            <w:tcBorders>
              <w:top w:val="nil"/>
              <w:left w:val="nil"/>
              <w:bottom w:val="nil"/>
              <w:right w:val="nil"/>
            </w:tcBorders>
            <w:tcMar>
              <w:top w:w="0" w:type="dxa"/>
              <w:left w:w="62" w:type="dxa"/>
              <w:bottom w:w="0" w:type="dxa"/>
              <w:right w:w="62" w:type="dxa"/>
            </w:tcMar>
          </w:tcPr>
          <w:p w:rsidR="00000000" w:rsidP="00830C70">
            <w:pPr>
              <w:pStyle w:val="BodyText"/>
              <w:rPr>
                <w:lang w:val="en-NZ"/>
              </w:rPr>
            </w:pPr>
            <w:r w:rsidRPr="00830C70">
              <w:rPr>
                <w:rStyle w:val="SpecialBold"/>
              </w:rPr>
              <w:t>3.1</w:t>
            </w:r>
          </w:p>
        </w:tc>
        <w:tc>
          <w:tcPr>
            <w:tcW w:w="5628" w:type="dxa"/>
            <w:tcBorders>
              <w:top w:val="nil"/>
              <w:left w:val="nil"/>
              <w:bottom w:val="nil"/>
              <w:right w:val="nil"/>
            </w:tcBorders>
            <w:tcMar>
              <w:top w:w="0" w:type="dxa"/>
              <w:left w:w="62" w:type="dxa"/>
              <w:bottom w:w="0" w:type="dxa"/>
              <w:right w:w="62" w:type="dxa"/>
            </w:tcMar>
          </w:tcPr>
          <w:p w:rsidR="00000000" w:rsidP="00830C70">
            <w:pPr>
              <w:pStyle w:val="BodyText"/>
              <w:rPr>
                <w:lang w:val="en-NZ"/>
              </w:rPr>
            </w:pPr>
            <w:r w:rsidRPr="00830C70">
              <w:t>Specialised assistance is identified in accordance with workplace procedures</w:t>
            </w:r>
          </w:p>
        </w:tc>
      </w:tr>
      <w:tr w:rsidTr="00830C70">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830C70">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830C70">
            <w:pPr>
              <w:pStyle w:val="BodyText"/>
              <w:rPr>
                <w:lang w:val="en-NZ"/>
              </w:rPr>
            </w:pPr>
            <w:r w:rsidRPr="00830C70">
              <w:rPr>
                <w:rStyle w:val="SpecialBold"/>
              </w:rPr>
              <w:t>3.2</w:t>
            </w:r>
          </w:p>
        </w:tc>
        <w:tc>
          <w:tcPr>
            <w:tcW w:w="5628" w:type="dxa"/>
            <w:tcBorders>
              <w:top w:val="nil"/>
              <w:left w:val="nil"/>
              <w:bottom w:val="nil"/>
              <w:right w:val="nil"/>
            </w:tcBorders>
            <w:tcMar>
              <w:top w:w="0" w:type="dxa"/>
              <w:left w:w="62" w:type="dxa"/>
              <w:bottom w:w="0" w:type="dxa"/>
              <w:right w:w="62" w:type="dxa"/>
            </w:tcMar>
          </w:tcPr>
          <w:p w:rsidR="00000000" w:rsidP="00830C70">
            <w:pPr>
              <w:pStyle w:val="BodyText"/>
              <w:rPr>
                <w:lang w:val="en-NZ"/>
              </w:rPr>
            </w:pPr>
            <w:r w:rsidRPr="00830C70">
              <w:t xml:space="preserve">Strategies to restore power generation system integrity are identified and communicated to relevant personnel in accordance with workplace procedures </w:t>
            </w:r>
          </w:p>
        </w:tc>
      </w:tr>
      <w:tr w:rsidTr="00830C70">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830C70">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830C70">
            <w:pPr>
              <w:pStyle w:val="BodyText"/>
              <w:rPr>
                <w:lang w:val="en-NZ"/>
              </w:rPr>
            </w:pPr>
            <w:r w:rsidRPr="00830C70">
              <w:rPr>
                <w:rStyle w:val="SpecialBold"/>
              </w:rPr>
              <w:t>3.3</w:t>
            </w:r>
          </w:p>
        </w:tc>
        <w:tc>
          <w:tcPr>
            <w:tcW w:w="5628" w:type="dxa"/>
            <w:tcBorders>
              <w:top w:val="nil"/>
              <w:left w:val="nil"/>
              <w:bottom w:val="nil"/>
              <w:right w:val="nil"/>
            </w:tcBorders>
            <w:tcMar>
              <w:top w:w="0" w:type="dxa"/>
              <w:left w:w="62" w:type="dxa"/>
              <w:bottom w:w="0" w:type="dxa"/>
              <w:right w:w="62" w:type="dxa"/>
            </w:tcMar>
          </w:tcPr>
          <w:p w:rsidR="00000000" w:rsidP="00830C70">
            <w:pPr>
              <w:pStyle w:val="BodyText"/>
              <w:rPr>
                <w:lang w:val="en-NZ"/>
              </w:rPr>
            </w:pPr>
            <w:r w:rsidRPr="00830C70">
              <w:t>Power generation system restor</w:t>
            </w:r>
            <w:r w:rsidRPr="00830C70">
              <w:t xml:space="preserve">ation is undertaken and monitored and adjusted in accordance with workplace </w:t>
            </w:r>
            <w:r w:rsidRPr="00830C70">
              <w:t>procedures</w:t>
            </w:r>
          </w:p>
        </w:tc>
      </w:tr>
      <w:tr w:rsidTr="00830C70">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830C70" w:rsidP="00830C70">
            <w:pPr>
              <w:pStyle w:val="BodyText"/>
            </w:pPr>
            <w:r w:rsidRPr="00830C70">
              <w:rPr>
                <w:rStyle w:val="SpecialBold"/>
              </w:rPr>
              <w:t>4</w:t>
            </w:r>
          </w:p>
        </w:tc>
        <w:tc>
          <w:tcPr>
            <w:tcW w:w="2889" w:type="dxa"/>
            <w:tcBorders>
              <w:top w:val="nil"/>
              <w:left w:val="nil"/>
              <w:bottom w:val="nil"/>
              <w:right w:val="nil"/>
            </w:tcBorders>
            <w:tcMar>
              <w:top w:w="0" w:type="dxa"/>
              <w:left w:w="62" w:type="dxa"/>
              <w:bottom w:w="0" w:type="dxa"/>
              <w:right w:w="62" w:type="dxa"/>
            </w:tcMar>
          </w:tcPr>
          <w:p w:rsidR="00000000" w:rsidRPr="00830C70" w:rsidP="00830C70">
            <w:pPr>
              <w:pStyle w:val="BodyText"/>
            </w:pPr>
            <w:r w:rsidRPr="00830C70">
              <w:rPr>
                <w:rStyle w:val="SpecialBold"/>
              </w:rPr>
              <w:t>Review response to incident</w:t>
            </w:r>
          </w:p>
        </w:tc>
        <w:tc>
          <w:tcPr>
            <w:tcW w:w="702" w:type="dxa"/>
            <w:tcBorders>
              <w:top w:val="nil"/>
              <w:left w:val="nil"/>
              <w:bottom w:val="nil"/>
              <w:right w:val="nil"/>
            </w:tcBorders>
            <w:tcMar>
              <w:top w:w="0" w:type="dxa"/>
              <w:left w:w="62" w:type="dxa"/>
              <w:bottom w:w="0" w:type="dxa"/>
              <w:right w:w="62" w:type="dxa"/>
            </w:tcMar>
          </w:tcPr>
          <w:p w:rsidR="00000000" w:rsidP="00830C70">
            <w:pPr>
              <w:pStyle w:val="BodyText"/>
              <w:rPr>
                <w:lang w:val="en-NZ"/>
              </w:rPr>
            </w:pPr>
            <w:r w:rsidRPr="00830C70">
              <w:rPr>
                <w:rStyle w:val="SpecialBold"/>
              </w:rPr>
              <w:t>4.1</w:t>
            </w:r>
          </w:p>
        </w:tc>
        <w:tc>
          <w:tcPr>
            <w:tcW w:w="5628" w:type="dxa"/>
            <w:tcBorders>
              <w:top w:val="nil"/>
              <w:left w:val="nil"/>
              <w:bottom w:val="nil"/>
              <w:right w:val="nil"/>
            </w:tcBorders>
            <w:tcMar>
              <w:top w:w="0" w:type="dxa"/>
              <w:left w:w="62" w:type="dxa"/>
              <w:bottom w:w="0" w:type="dxa"/>
              <w:right w:w="62" w:type="dxa"/>
            </w:tcMar>
          </w:tcPr>
          <w:p w:rsidR="00000000" w:rsidP="00830C70">
            <w:pPr>
              <w:pStyle w:val="BodyText"/>
              <w:rPr>
                <w:lang w:val="en-NZ"/>
              </w:rPr>
            </w:pPr>
            <w:r w:rsidRPr="00830C70">
              <w:t>Power generation system response is analysed in accordance with workplace procedures</w:t>
            </w:r>
          </w:p>
        </w:tc>
      </w:tr>
      <w:tr w:rsidTr="00830C70">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830C70">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830C70">
            <w:pPr>
              <w:pStyle w:val="BodyText"/>
              <w:rPr>
                <w:lang w:val="en-NZ"/>
              </w:rPr>
            </w:pPr>
            <w:r w:rsidRPr="00830C70">
              <w:rPr>
                <w:rStyle w:val="SpecialBold"/>
              </w:rPr>
              <w:t>4.2</w:t>
            </w:r>
          </w:p>
        </w:tc>
        <w:tc>
          <w:tcPr>
            <w:tcW w:w="5628" w:type="dxa"/>
            <w:tcBorders>
              <w:top w:val="nil"/>
              <w:left w:val="nil"/>
              <w:bottom w:val="nil"/>
              <w:right w:val="nil"/>
            </w:tcBorders>
            <w:tcMar>
              <w:top w:w="0" w:type="dxa"/>
              <w:left w:w="62" w:type="dxa"/>
              <w:bottom w:w="0" w:type="dxa"/>
              <w:right w:w="62" w:type="dxa"/>
            </w:tcMar>
          </w:tcPr>
          <w:p w:rsidR="00000000" w:rsidP="00830C70">
            <w:pPr>
              <w:pStyle w:val="BodyText"/>
              <w:rPr>
                <w:lang w:val="en-NZ"/>
              </w:rPr>
            </w:pPr>
            <w:r w:rsidRPr="00830C70">
              <w:t xml:space="preserve">Critical incident preventive measures are </w:t>
            </w:r>
            <w:r w:rsidRPr="00830C70">
              <w:t>documented in accordance with workplace procedures</w:t>
            </w:r>
          </w:p>
        </w:tc>
      </w:tr>
      <w:tr w:rsidTr="00830C70">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830C70">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830C70">
            <w:pPr>
              <w:pStyle w:val="BodyText"/>
              <w:rPr>
                <w:lang w:val="en-NZ"/>
              </w:rPr>
            </w:pPr>
            <w:r w:rsidRPr="00830C70">
              <w:rPr>
                <w:rStyle w:val="SpecialBold"/>
              </w:rPr>
              <w:t>4.3</w:t>
            </w:r>
          </w:p>
        </w:tc>
        <w:tc>
          <w:tcPr>
            <w:tcW w:w="5628" w:type="dxa"/>
            <w:tcBorders>
              <w:top w:val="nil"/>
              <w:left w:val="nil"/>
              <w:bottom w:val="nil"/>
              <w:right w:val="nil"/>
            </w:tcBorders>
            <w:tcMar>
              <w:top w:w="0" w:type="dxa"/>
              <w:left w:w="62" w:type="dxa"/>
              <w:bottom w:w="0" w:type="dxa"/>
              <w:right w:w="62" w:type="dxa"/>
            </w:tcMar>
          </w:tcPr>
          <w:p w:rsidR="00000000" w:rsidRPr="00830C70" w:rsidP="00830C70">
            <w:pPr>
              <w:pStyle w:val="BodyText"/>
            </w:pPr>
            <w:r w:rsidRPr="00830C70">
              <w:t>Findings are communicated to relevant personnel and key stakeholders in accordance with workplace procedures</w:t>
            </w:r>
          </w:p>
        </w:tc>
      </w:tr>
    </w:tbl>
    <w:p w:rsidR="00000000" w:rsidRPr="00830C70" w:rsidP="00830C70">
      <w:pPr>
        <w:pStyle w:val="NoPaddingFontSize1"/>
      </w:pPr>
    </w:p>
    <w:p w:rsidR="00000000" w:rsidRPr="00830C70" w:rsidP="00830C70">
      <w:pPr>
        <w:pStyle w:val="AllowPageBreak"/>
      </w:pPr>
    </w:p>
    <w:p w:rsidR="00000000" w:rsidRPr="00830C70" w:rsidP="00830C70">
      <w:pPr>
        <w:pStyle w:val="Heading1"/>
      </w:pPr>
      <w:bookmarkStart w:id="7" w:name="O_1193833"/>
      <w:bookmarkEnd w:id="7"/>
      <w:r w:rsidRPr="00830C70">
        <w:t>Foundation Skills</w:t>
      </w:r>
    </w:p>
    <w:tbl>
      <w:tblPr>
        <w:tblW w:w="9497" w:type="dxa"/>
        <w:tblLayout w:type="fixed"/>
        <w:tblCellMar>
          <w:left w:w="62" w:type="dxa"/>
          <w:right w:w="62" w:type="dxa"/>
        </w:tblCellMar>
        <w:tblLook w:val="0000"/>
      </w:tblPr>
      <w:tblGrid>
        <w:gridCol w:w="9497"/>
      </w:tblGrid>
      <w:tr w:rsidTr="00830C7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30C70" w:rsidP="00830C70">
            <w:pPr>
              <w:pStyle w:val="BodyText"/>
            </w:pPr>
            <w:r w:rsidRPr="00830C70">
              <w:t>Foundation skills essential to performance are explicit in the performance criteria of this unit of competency.</w:t>
            </w:r>
          </w:p>
        </w:tc>
      </w:tr>
    </w:tbl>
    <w:p w:rsidR="00000000" w:rsidRPr="00830C70" w:rsidP="00830C70">
      <w:pPr>
        <w:pStyle w:val="NoPaddingFontSize1"/>
      </w:pPr>
    </w:p>
    <w:p w:rsidR="00000000" w:rsidRPr="00830C70" w:rsidP="00830C70">
      <w:pPr>
        <w:pStyle w:val="AllowPageBreak"/>
      </w:pPr>
    </w:p>
    <w:p w:rsidR="00000000" w:rsidRPr="00830C70" w:rsidP="00830C70">
      <w:pPr>
        <w:pStyle w:val="Heading1"/>
      </w:pPr>
      <w:bookmarkStart w:id="8" w:name="O_1193834"/>
      <w:bookmarkEnd w:id="8"/>
      <w:r w:rsidRPr="00830C70">
        <w:t>Range of Conditions</w:t>
      </w:r>
    </w:p>
    <w:tbl>
      <w:tblPr>
        <w:tblW w:w="9497" w:type="dxa"/>
        <w:tblLayout w:type="fixed"/>
        <w:tblCellMar>
          <w:left w:w="62" w:type="dxa"/>
          <w:right w:w="62" w:type="dxa"/>
        </w:tblCellMar>
        <w:tblLook w:val="0000"/>
      </w:tblPr>
      <w:tblGrid>
        <w:gridCol w:w="9497"/>
      </w:tblGrid>
      <w:tr w:rsidTr="00830C7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30C70" w:rsidP="00830C70">
            <w:pPr>
              <w:pStyle w:val="BodyText"/>
            </w:pPr>
            <w:r w:rsidRPr="00830C70">
              <w:t>Range is restricted to essential operating conditions and any other variables essential to the work env</w:t>
            </w:r>
            <w:r w:rsidRPr="00830C70">
              <w:t>ironment.</w:t>
            </w:r>
          </w:p>
          <w:p w:rsidR="00000000" w:rsidRPr="00830C70" w:rsidP="00830C70">
            <w:pPr>
              <w:pStyle w:val="BodyText"/>
            </w:pPr>
            <w:r w:rsidRPr="00830C70">
              <w:t>Non-essential conditions may be found in the UEP Electricity Supply Industry – Generation Sector Training Package Companion Volume Implementation Guide.</w:t>
            </w:r>
          </w:p>
        </w:tc>
      </w:tr>
    </w:tbl>
    <w:p w:rsidR="00000000" w:rsidRPr="00830C70" w:rsidP="00830C70">
      <w:pPr>
        <w:pStyle w:val="NoPaddingFontSize1"/>
      </w:pPr>
    </w:p>
    <w:p w:rsidR="00000000" w:rsidRPr="00830C70" w:rsidP="00830C70">
      <w:pPr>
        <w:pStyle w:val="AllowPageBreak"/>
      </w:pPr>
    </w:p>
    <w:p w:rsidR="00000000" w:rsidRPr="00830C70" w:rsidP="00830C70">
      <w:pPr>
        <w:pStyle w:val="Heading1"/>
      </w:pPr>
      <w:bookmarkStart w:id="9" w:name="O_1193835"/>
      <w:bookmarkEnd w:id="9"/>
      <w:r w:rsidRPr="00830C70">
        <w:t>Unit Mapping Information</w:t>
      </w:r>
    </w:p>
    <w:tbl>
      <w:tblPr>
        <w:tblW w:w="9497" w:type="dxa"/>
        <w:tblLayout w:type="fixed"/>
        <w:tblCellMar>
          <w:left w:w="62" w:type="dxa"/>
          <w:right w:w="62" w:type="dxa"/>
        </w:tblCellMar>
        <w:tblLook w:val="0000"/>
      </w:tblPr>
      <w:tblGrid>
        <w:gridCol w:w="9497"/>
      </w:tblGrid>
      <w:tr w:rsidTr="00830C7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30C70" w:rsidP="00830C70">
            <w:pPr>
              <w:pStyle w:val="BodyText"/>
            </w:pPr>
            <w:r w:rsidRPr="00830C70">
              <w:t>This unit replaces and is equivalent to UEPOPS3</w:t>
            </w:r>
            <w:r w:rsidRPr="00830C70">
              <w:t>69 Respond to a critical incident.</w:t>
            </w:r>
          </w:p>
        </w:tc>
      </w:tr>
    </w:tbl>
    <w:p w:rsidR="00000000" w:rsidRPr="00830C70" w:rsidP="00830C70">
      <w:pPr>
        <w:pStyle w:val="NoPaddingFontSize1"/>
      </w:pPr>
    </w:p>
    <w:p w:rsidR="00000000" w:rsidRPr="00830C70" w:rsidP="00830C70">
      <w:pPr>
        <w:pStyle w:val="AllowPageBreak"/>
      </w:pPr>
    </w:p>
    <w:p w:rsidR="00000000" w:rsidRPr="00830C70" w:rsidP="00830C70">
      <w:pPr>
        <w:pStyle w:val="Heading1"/>
      </w:pPr>
      <w:bookmarkStart w:id="10" w:name="O_1193842"/>
      <w:bookmarkEnd w:id="10"/>
      <w:r w:rsidRPr="00830C70">
        <w:t>Links</w:t>
      </w:r>
    </w:p>
    <w:p w:rsidR="00000000" w:rsidRPr="00830C70" w:rsidP="00DB0198">
      <w:pPr>
        <w:pStyle w:val="BodyText"/>
      </w:pPr>
      <w:r w:rsidRPr="00830C70">
        <w:t xml:space="preserve">Companion Volume implementation guides are found in VETNet - </w:t>
      </w:r>
      <w:r>
        <w:fldChar w:fldCharType="begin"/>
      </w:r>
      <w:r>
        <w:instrText xml:space="preserve"> HYPERLINK "https://vetnet.gov.au/Pages/TrainingDocs.aspx?q=1715b9fa-e7bd-441c-bb8d-cf22c9c825a8" </w:instrText>
      </w:r>
      <w:r>
        <w:fldChar w:fldCharType="separate"/>
      </w:r>
      <w:r w:rsidRPr="009825EF">
        <w:rPr>
          <w:rStyle w:val="Hyperlink"/>
        </w:rPr>
        <w:t>https://vetnet.gov.au/Pages/TrainingDocs.aspx?q=1715b9fa-e7bd-441c-bb8d-cf22c9c825a8</w:t>
      </w:r>
      <w:r>
        <w:fldChar w:fldCharType="end"/>
      </w:r>
    </w:p>
    <w:p w:rsidR="00000000" w:rsidRPr="00830C70" w:rsidP="00DB0198">
      <w:pPr>
        <w:pStyle w:val="BodyText"/>
        <w:sectPr w:rsidSect="00830C70">
          <w:headerReference w:type="default" r:id="rId10"/>
          <w:footerReference w:type="default" r:id="rId11"/>
          <w:pgSz w:w="11908" w:h="16833"/>
          <w:pgMar w:top="1702" w:right="1418" w:bottom="1702" w:left="1418" w:header="992" w:footer="992" w:gutter="0"/>
          <w:cols w:space="720"/>
          <w:noEndnote/>
          <w:docGrid w:linePitch="299"/>
        </w:sectPr>
      </w:pPr>
    </w:p>
    <w:p w:rsidR="00000000" w:rsidRPr="00830C70" w:rsidP="00830C70">
      <w:pPr>
        <w:pStyle w:val="SuperHeading"/>
      </w:pPr>
      <w:r w:rsidRPr="00830C70">
        <w:t>Assessment Requirements for UEPOPS130 Respond to a critical incident</w:t>
      </w:r>
    </w:p>
    <w:p w:rsidR="00000000" w:rsidRPr="00830C70" w:rsidP="00830C70">
      <w:pPr>
        <w:pStyle w:val="Heading1"/>
      </w:pPr>
      <w:bookmarkStart w:id="11" w:name="O_1193837"/>
      <w:bookmarkEnd w:id="11"/>
      <w:r w:rsidRPr="00830C70">
        <w:t>Modification History</w:t>
      </w:r>
    </w:p>
    <w:tbl>
      <w:tblPr>
        <w:tblW w:w="9497" w:type="dxa"/>
        <w:tblLayout w:type="fixed"/>
        <w:tblCellMar>
          <w:left w:w="62" w:type="dxa"/>
          <w:right w:w="62" w:type="dxa"/>
        </w:tblCellMar>
        <w:tblLook w:val="0000"/>
      </w:tblPr>
      <w:tblGrid>
        <w:gridCol w:w="9497"/>
      </w:tblGrid>
      <w:tr w:rsidTr="00830C7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30C70" w:rsidP="00830C70">
            <w:pPr>
              <w:pStyle w:val="BodyText"/>
            </w:pPr>
            <w:r w:rsidRPr="00830C70">
              <w:t>Release 1. This is the first release of this unit of competency in the UEP Electricity Supply Industry – Generation Sector Training Package Release</w:t>
            </w:r>
            <w:r w:rsidRPr="00830C70">
              <w:t xml:space="preserve"> 2.0.</w:t>
            </w:r>
          </w:p>
        </w:tc>
      </w:tr>
    </w:tbl>
    <w:p w:rsidR="00000000" w:rsidRPr="00830C70" w:rsidP="00830C70">
      <w:pPr>
        <w:pStyle w:val="NoPaddingFontSize1"/>
      </w:pPr>
    </w:p>
    <w:p w:rsidR="00000000" w:rsidRPr="00830C70" w:rsidP="00830C70">
      <w:pPr>
        <w:pStyle w:val="AllowPageBreak"/>
      </w:pPr>
    </w:p>
    <w:p w:rsidR="00000000" w:rsidRPr="00830C70" w:rsidP="00830C70">
      <w:pPr>
        <w:pStyle w:val="Heading1"/>
      </w:pPr>
      <w:bookmarkStart w:id="12" w:name="O_1193838"/>
      <w:bookmarkEnd w:id="12"/>
      <w:r w:rsidRPr="00830C70">
        <w:t>Performance Evidence</w:t>
      </w:r>
    </w:p>
    <w:tbl>
      <w:tblPr>
        <w:tblW w:w="9497" w:type="dxa"/>
        <w:tblLayout w:type="fixed"/>
        <w:tblCellMar>
          <w:left w:w="62" w:type="dxa"/>
          <w:right w:w="62" w:type="dxa"/>
        </w:tblCellMar>
        <w:tblLook w:val="0000"/>
      </w:tblPr>
      <w:tblGrid>
        <w:gridCol w:w="9497"/>
      </w:tblGrid>
      <w:tr w:rsidTr="00830C7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830C70">
            <w:pPr>
              <w:pStyle w:val="BodyText"/>
              <w:rPr>
                <w:lang w:val="en-NZ"/>
              </w:rPr>
            </w:pPr>
            <w:r w:rsidRPr="00830C70">
              <w:t xml:space="preserve">Evidence required to demonstrate competence in this unit must be relevant to and satisfy all the requirements of the elements and performance criteria on at least two separate occasions and include: </w:t>
            </w:r>
          </w:p>
        </w:tc>
      </w:tr>
      <w:tr w:rsidTr="00830C7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30C70" w:rsidP="00830C70">
            <w:pPr>
              <w:pStyle w:val="ListBullet"/>
            </w:pPr>
            <w:r w:rsidRPr="00830C70">
              <w:t>applyi</w:t>
            </w:r>
            <w:r w:rsidRPr="00830C70">
              <w:t>ng work health and safety (WHS)/occupational health and safety (OHS) requirements, including:</w:t>
            </w:r>
          </w:p>
          <w:p w:rsidR="00000000" w:rsidRPr="00830C70" w:rsidP="00830C70">
            <w:pPr>
              <w:pStyle w:val="ListBullet2"/>
            </w:pPr>
            <w:r w:rsidRPr="00830C70">
              <w:t>emergency procedures</w:t>
            </w:r>
          </w:p>
          <w:p w:rsidR="00000000" w:rsidRPr="00830C70" w:rsidP="00830C70">
            <w:pPr>
              <w:pStyle w:val="ListBullet2"/>
            </w:pPr>
            <w:r w:rsidRPr="00830C70">
              <w:t xml:space="preserve">risk control measures </w:t>
            </w:r>
          </w:p>
          <w:p w:rsidR="00000000" w:rsidRPr="00830C70" w:rsidP="00830C70">
            <w:pPr>
              <w:pStyle w:val="ListBullet2"/>
            </w:pPr>
            <w:r w:rsidRPr="00830C70">
              <w:t>safe working practices</w:t>
            </w:r>
          </w:p>
          <w:p w:rsidR="00000000" w:rsidRPr="00830C70" w:rsidP="00830C70">
            <w:pPr>
              <w:pStyle w:val="ListBullet"/>
            </w:pPr>
            <w:r w:rsidRPr="00830C70">
              <w:t>communicating with personnel and stakeholders</w:t>
            </w:r>
          </w:p>
          <w:p w:rsidR="00000000" w:rsidRPr="00830C70" w:rsidP="00830C70">
            <w:pPr>
              <w:pStyle w:val="ListBullet"/>
            </w:pPr>
            <w:r w:rsidRPr="00830C70">
              <w:t>identifying and responding to abnormal power generation system operating conditions using data analysis techniques and tools</w:t>
            </w:r>
          </w:p>
          <w:p w:rsidR="00000000" w:rsidRPr="00830C70" w:rsidP="00830C70">
            <w:pPr>
              <w:pStyle w:val="ListBullet"/>
            </w:pPr>
            <w:r w:rsidRPr="00830C70">
              <w:t>identifying critical incident and consequences</w:t>
            </w:r>
          </w:p>
          <w:p w:rsidR="00000000" w:rsidRPr="00830C70" w:rsidP="00830C70">
            <w:pPr>
              <w:pStyle w:val="ListBullet"/>
            </w:pPr>
            <w:r w:rsidRPr="00830C70">
              <w:t>implementing regulations, legislative requirements, codes of practice, manufacturers</w:t>
            </w:r>
            <w:r w:rsidRPr="00830C70">
              <w:t>’ recommendations and specifications, and environmental requirements</w:t>
            </w:r>
          </w:p>
          <w:p w:rsidR="00000000" w:rsidRPr="00830C70" w:rsidP="00830C70">
            <w:pPr>
              <w:pStyle w:val="ListBullet"/>
            </w:pPr>
            <w:r w:rsidRPr="00830C70">
              <w:t>interpreting manuals</w:t>
            </w:r>
          </w:p>
          <w:p w:rsidR="00000000" w:rsidRPr="00830C70" w:rsidP="00830C70">
            <w:pPr>
              <w:pStyle w:val="ListBullet"/>
            </w:pPr>
            <w:r w:rsidRPr="00830C70">
              <w:t>recognising power generation plant or system status using diagnostic techniques</w:t>
            </w:r>
          </w:p>
          <w:p w:rsidR="00000000" w:rsidRPr="00830C70" w:rsidP="00830C70">
            <w:pPr>
              <w:pStyle w:val="ListBullet"/>
            </w:pPr>
            <w:r w:rsidRPr="00830C70">
              <w:t>restoring power generation system</w:t>
            </w:r>
          </w:p>
          <w:p w:rsidR="00000000" w:rsidRPr="00830C70" w:rsidP="00830C70">
            <w:pPr>
              <w:pStyle w:val="ListBullet"/>
            </w:pPr>
            <w:r w:rsidRPr="00830C70">
              <w:t>reviewing response to incident</w:t>
            </w:r>
          </w:p>
          <w:p w:rsidR="00000000" w:rsidRPr="00830C70" w:rsidP="00830C70">
            <w:pPr>
              <w:pStyle w:val="ListBullet"/>
            </w:pPr>
            <w:r w:rsidRPr="00830C70">
              <w:t>stabilising and resto</w:t>
            </w:r>
            <w:r w:rsidRPr="00830C70">
              <w:t>ring power generation system operations</w:t>
            </w:r>
          </w:p>
          <w:p w:rsidR="00000000" w:rsidRPr="00830C70" w:rsidP="00830C70">
            <w:pPr>
              <w:pStyle w:val="ListBullet"/>
            </w:pPr>
            <w:r w:rsidRPr="00830C70">
              <w:t>stabilising power generation system</w:t>
            </w:r>
          </w:p>
          <w:p w:rsidR="00000000" w:rsidRPr="00830C70" w:rsidP="00830C70">
            <w:pPr>
              <w:pStyle w:val="ListBullet"/>
            </w:pPr>
            <w:r w:rsidRPr="00830C70">
              <w:t>using manuals.</w:t>
            </w:r>
          </w:p>
        </w:tc>
      </w:tr>
    </w:tbl>
    <w:p w:rsidR="00000000" w:rsidRPr="00830C70" w:rsidP="00830C70">
      <w:pPr>
        <w:pStyle w:val="NoPaddingFontSize1"/>
      </w:pPr>
    </w:p>
    <w:p w:rsidR="00000000" w:rsidRPr="00830C70" w:rsidP="00830C70">
      <w:pPr>
        <w:pStyle w:val="AllowPageBreak"/>
      </w:pPr>
    </w:p>
    <w:p w:rsidR="00000000" w:rsidRPr="00830C70" w:rsidP="00830C70">
      <w:pPr>
        <w:pStyle w:val="Heading1"/>
      </w:pPr>
      <w:bookmarkStart w:id="13" w:name="O_1193839"/>
      <w:bookmarkEnd w:id="13"/>
      <w:r w:rsidRPr="00830C70">
        <w:t>Knowledge Evidence</w:t>
      </w:r>
    </w:p>
    <w:tbl>
      <w:tblPr>
        <w:tblW w:w="9497" w:type="dxa"/>
        <w:tblLayout w:type="fixed"/>
        <w:tblCellMar>
          <w:left w:w="62" w:type="dxa"/>
          <w:right w:w="62" w:type="dxa"/>
        </w:tblCellMar>
        <w:tblLook w:val="0000"/>
      </w:tblPr>
      <w:tblGrid>
        <w:gridCol w:w="9497"/>
      </w:tblGrid>
      <w:tr w:rsidTr="00830C7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830C70">
            <w:pPr>
              <w:pStyle w:val="BodyText"/>
              <w:rPr>
                <w:lang w:val="en-NZ"/>
              </w:rPr>
            </w:pPr>
            <w:r w:rsidRPr="00830C70">
              <w:t xml:space="preserve">Evidence required to demonstrate competence in this unit must be relevant to and satisfy all the requirements of the elements and performance criteria and include knowledge of: </w:t>
            </w:r>
          </w:p>
        </w:tc>
      </w:tr>
      <w:tr w:rsidTr="00830C7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30C70" w:rsidP="00830C70">
            <w:pPr>
              <w:pStyle w:val="ListBullet"/>
            </w:pPr>
            <w:r w:rsidRPr="00830C70">
              <w:t>abnormal power generation system operating conditions</w:t>
            </w:r>
          </w:p>
          <w:p w:rsidR="00000000" w:rsidRPr="00830C70" w:rsidP="00830C70">
            <w:pPr>
              <w:pStyle w:val="ListBullet"/>
            </w:pPr>
            <w:r w:rsidRPr="00830C70">
              <w:t xml:space="preserve">arrangements of power </w:t>
            </w:r>
            <w:r w:rsidRPr="00830C70">
              <w:t>production plant</w:t>
            </w:r>
          </w:p>
          <w:p w:rsidR="00000000" w:rsidRPr="00830C70" w:rsidP="00830C70">
            <w:pPr>
              <w:pStyle w:val="ListBullet"/>
            </w:pPr>
            <w:r w:rsidRPr="00830C70">
              <w:t>generation and transmission capability limits</w:t>
            </w:r>
          </w:p>
          <w:p w:rsidR="00000000" w:rsidRPr="00830C70" w:rsidP="00830C70">
            <w:pPr>
              <w:pStyle w:val="ListBullet"/>
            </w:pPr>
            <w:r w:rsidRPr="00830C70">
              <w:t>manuals</w:t>
            </w:r>
          </w:p>
          <w:p w:rsidR="00000000" w:rsidRPr="00830C70" w:rsidP="00830C70">
            <w:pPr>
              <w:pStyle w:val="ListBullet"/>
            </w:pPr>
            <w:r w:rsidRPr="00830C70">
              <w:t>power generation plant and equipment, location and operating parameters</w:t>
            </w:r>
          </w:p>
          <w:p w:rsidR="00000000" w:rsidRPr="00830C70" w:rsidP="00830C70">
            <w:pPr>
              <w:pStyle w:val="ListBullet"/>
            </w:pPr>
            <w:r w:rsidRPr="00830C70">
              <w:t>power generation plant status</w:t>
            </w:r>
          </w:p>
          <w:p w:rsidR="00000000" w:rsidRPr="00830C70" w:rsidP="00830C70">
            <w:pPr>
              <w:pStyle w:val="ListBullet"/>
            </w:pPr>
            <w:r w:rsidRPr="00830C70">
              <w:t>power generation system restoration operations</w:t>
            </w:r>
          </w:p>
          <w:p w:rsidR="00000000" w:rsidRPr="00830C70" w:rsidP="00830C70">
            <w:pPr>
              <w:pStyle w:val="ListBullet"/>
            </w:pPr>
            <w:r w:rsidRPr="00830C70">
              <w:t>power generation system stabilisation</w:t>
            </w:r>
          </w:p>
          <w:p w:rsidR="00000000" w:rsidRPr="00830C70" w:rsidP="00830C70">
            <w:pPr>
              <w:pStyle w:val="ListBullet"/>
            </w:pPr>
            <w:r w:rsidRPr="00830C70">
              <w:t>regulations, legislative requirements, codes of practice, manufacturers’ recommendations and specifications, and environmental requirements</w:t>
            </w:r>
          </w:p>
          <w:p w:rsidR="00000000" w:rsidRPr="00830C70" w:rsidP="00830C70">
            <w:pPr>
              <w:pStyle w:val="ListBullet"/>
            </w:pPr>
            <w:r w:rsidRPr="00830C70">
              <w:t>WHS/OHS requirements, including:</w:t>
            </w:r>
          </w:p>
          <w:p w:rsidR="00000000" w:rsidRPr="00830C70" w:rsidP="00830C70">
            <w:pPr>
              <w:pStyle w:val="ListBullet2"/>
            </w:pPr>
            <w:r w:rsidRPr="00830C70">
              <w:t>emergency procedures</w:t>
            </w:r>
          </w:p>
          <w:p w:rsidR="00000000" w:rsidRPr="00830C70" w:rsidP="00830C70">
            <w:pPr>
              <w:pStyle w:val="ListBullet2"/>
            </w:pPr>
            <w:r w:rsidRPr="00830C70">
              <w:t>risk control measures</w:t>
            </w:r>
          </w:p>
          <w:p w:rsidR="00000000" w:rsidRPr="00830C70" w:rsidP="00830C70">
            <w:pPr>
              <w:pStyle w:val="ListBullet2"/>
            </w:pPr>
            <w:r w:rsidRPr="00830C70">
              <w:t>s</w:t>
            </w:r>
            <w:r w:rsidRPr="00830C70">
              <w:t>afe working practices</w:t>
            </w:r>
          </w:p>
          <w:p w:rsidR="00000000" w:rsidRPr="00830C70" w:rsidP="00830C70">
            <w:pPr>
              <w:pStyle w:val="ListBullet"/>
            </w:pPr>
            <w:r w:rsidRPr="00830C70">
              <w:t>workplace documentation</w:t>
            </w:r>
          </w:p>
          <w:p w:rsidR="00000000" w:rsidRPr="00830C70" w:rsidP="00830C70">
            <w:pPr>
              <w:pStyle w:val="ListBullet"/>
            </w:pPr>
            <w:r w:rsidRPr="00830C70">
              <w:t>workplace policies and procedures.</w:t>
            </w:r>
          </w:p>
        </w:tc>
      </w:tr>
    </w:tbl>
    <w:p w:rsidR="00000000" w:rsidRPr="00830C70" w:rsidP="00830C70">
      <w:pPr>
        <w:pStyle w:val="NoPaddingFontSize1"/>
      </w:pPr>
    </w:p>
    <w:p w:rsidR="00000000" w:rsidRPr="00830C70" w:rsidP="00830C70">
      <w:pPr>
        <w:pStyle w:val="AllowPageBreak"/>
      </w:pPr>
    </w:p>
    <w:p w:rsidR="00000000" w:rsidRPr="00830C70" w:rsidP="00830C70">
      <w:pPr>
        <w:pStyle w:val="Heading1"/>
      </w:pPr>
      <w:bookmarkStart w:id="14" w:name="O_1193840"/>
      <w:bookmarkEnd w:id="14"/>
      <w:r w:rsidRPr="00830C70">
        <w:t>Assessment Conditions</w:t>
      </w:r>
    </w:p>
    <w:tbl>
      <w:tblPr>
        <w:tblW w:w="9497" w:type="dxa"/>
        <w:tblLayout w:type="fixed"/>
        <w:tblCellMar>
          <w:left w:w="62" w:type="dxa"/>
          <w:right w:w="62" w:type="dxa"/>
        </w:tblCellMar>
        <w:tblLook w:val="0000"/>
      </w:tblPr>
      <w:tblGrid>
        <w:gridCol w:w="9497"/>
      </w:tblGrid>
      <w:tr w:rsidTr="00830C7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30C70" w:rsidP="00830C70">
            <w:pPr>
              <w:pStyle w:val="BodyText"/>
            </w:pPr>
            <w:r w:rsidRPr="00830C70">
              <w:t xml:space="preserve">Assessors must hold credentials specified within the Standards for Registered Training Organisations current at the time of assessment. </w:t>
            </w:r>
          </w:p>
          <w:p w:rsidR="00000000" w:rsidRPr="00830C70" w:rsidP="00830C70">
            <w:pPr>
              <w:pStyle w:val="BodyText"/>
            </w:pPr>
            <w:r w:rsidRPr="00830C70">
              <w:t>Assessment must satisfy the Principles of Assessment and Rules of Evidence and all regulatory requirements included wit</w:t>
            </w:r>
            <w:r w:rsidRPr="00830C70">
              <w:t>hin the Standards for Registered Training Organisations current at the time of assessment.</w:t>
            </w:r>
          </w:p>
          <w:p w:rsidR="00000000" w:rsidRPr="00830C70" w:rsidP="00830C70">
            <w:pPr>
              <w:pStyle w:val="BodyText"/>
            </w:pPr>
            <w:r w:rsidRPr="00830C70">
              <w:t>Assessment must occur in workplace operational situations where it is appropriate to do so; where this is not appropriate, assessment must occur in simulated workpla</w:t>
            </w:r>
            <w:r w:rsidRPr="00830C70">
              <w:t>ce operational situations that replicate workplace conditions.</w:t>
            </w:r>
          </w:p>
          <w:p w:rsidR="00000000" w:rsidRPr="00830C70" w:rsidP="00830C70">
            <w:pPr>
              <w:pStyle w:val="BodyText"/>
            </w:pPr>
            <w:r w:rsidRPr="00830C70">
              <w:t>Assessment processes and techniques must be appropriate to the language, literacy and numeracy requirements of the work being performed and the needs of the candidate.</w:t>
            </w:r>
          </w:p>
          <w:p w:rsidR="00000000" w:rsidRPr="00830C70" w:rsidP="00830C70">
            <w:pPr>
              <w:pStyle w:val="BodyText"/>
            </w:pPr>
            <w:r w:rsidRPr="00830C70">
              <w:t xml:space="preserve">Resources for assessment </w:t>
            </w:r>
            <w:r w:rsidRPr="00830C70">
              <w:t>must include access to:</w:t>
            </w:r>
          </w:p>
          <w:p w:rsidR="00000000" w:rsidRPr="00830C70" w:rsidP="00830C70">
            <w:pPr>
              <w:pStyle w:val="ListBullet"/>
            </w:pPr>
            <w:r w:rsidRPr="00830C70">
              <w:t>a range of relevant exercises, case studies and/or other simulations</w:t>
            </w:r>
          </w:p>
          <w:p w:rsidR="00000000" w:rsidRPr="00830C70" w:rsidP="00830C70">
            <w:pPr>
              <w:pStyle w:val="ListBullet"/>
            </w:pPr>
            <w:r w:rsidRPr="00830C70">
              <w:t xml:space="preserve">relevant and appropriate materials, tools, equipment and personal protective equipment (PPE) currently used in industry </w:t>
            </w:r>
          </w:p>
          <w:p w:rsidR="00000000" w:rsidRPr="00830C70" w:rsidP="00830C70">
            <w:pPr>
              <w:pStyle w:val="ListBullet"/>
            </w:pPr>
            <w:r w:rsidRPr="00830C70">
              <w:t>applicable documentation, including workp</w:t>
            </w:r>
            <w:r w:rsidRPr="00830C70">
              <w:t>lace procedures, equipment specifications, regulations, codes of practice and operation manuals.</w:t>
            </w:r>
          </w:p>
        </w:tc>
      </w:tr>
    </w:tbl>
    <w:p w:rsidR="00000000" w:rsidRPr="00830C70" w:rsidP="00830C70">
      <w:pPr>
        <w:pStyle w:val="NoPaddingFontSize1"/>
      </w:pPr>
    </w:p>
    <w:p w:rsidR="00000000" w:rsidRPr="00830C70" w:rsidP="00830C70">
      <w:pPr>
        <w:pStyle w:val="AllowPageBreak"/>
      </w:pPr>
    </w:p>
    <w:p w:rsidR="00000000" w:rsidRPr="00830C70" w:rsidP="00830C70">
      <w:pPr>
        <w:pStyle w:val="Heading1"/>
      </w:pPr>
      <w:bookmarkStart w:id="15" w:name="O_1193843"/>
      <w:bookmarkEnd w:id="15"/>
      <w:r w:rsidRPr="00830C70">
        <w:t>Links</w:t>
      </w:r>
    </w:p>
    <w:p w:rsidR="00000000" w:rsidRPr="00830C70" w:rsidP="00DB0198">
      <w:pPr>
        <w:pStyle w:val="BodyText"/>
      </w:pPr>
      <w:r w:rsidRPr="00830C70">
        <w:t xml:space="preserve">Companion Volume implementation guides are found in VETNet - </w:t>
      </w:r>
      <w:r>
        <w:fldChar w:fldCharType="begin"/>
      </w:r>
      <w:r>
        <w:instrText xml:space="preserve"> HYPERLINK "https://vetnet.gov.au/Pages/TrainingDocs.aspx?q=1715b9fa-e7bd-441c-bb8d-cf22c9c825a8" </w:instrText>
      </w:r>
      <w:r>
        <w:fldChar w:fldCharType="separate"/>
      </w:r>
      <w:r w:rsidRPr="009825EF">
        <w:rPr>
          <w:rStyle w:val="Hyperlink"/>
        </w:rPr>
        <w:t>https://vetnet.gov.au/Pages/TrainingDocs.aspx?q=1715b9fa-e7bd-441c-bb8d-cf22c9c825a8</w:t>
      </w:r>
      <w:r>
        <w:fldChar w:fldCharType="end"/>
      </w:r>
    </w:p>
    <w:p w:rsidR="00000000" w:rsidRPr="00830C70" w:rsidP="00830C70"/>
    <w:sectPr w:rsidSect="00830C70">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0C7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0C70" w:rsidRPr="00DB0198" w:rsidP="00DB019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0C7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0198" w:rsidP="00830C7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DB0198" w:rsidP="00830C70">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DB0198" w:rsidP="00830C70">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0C70" w:rsidP="00830C70">
    <w:pPr>
      <w:pStyle w:val="Footer"/>
      <w:framePr w:wrap="around"/>
    </w:pPr>
    <w:r>
      <w:fldChar w:fldCharType="begin"/>
    </w:r>
    <w:r>
      <w:instrText xml:space="preserve"> DOCPROPERTY  Subject  \* MERGEFORMAT </w:instrText>
    </w:r>
    <w:r>
      <w:fldChar w:fldCharType="separate"/>
    </w:r>
    <w:r w:rsidR="00DB0198">
      <w:t>Approved</w:t>
    </w:r>
    <w:r w:rsidR="00DB0198">
      <w:fldChar w:fldCharType="end"/>
    </w:r>
    <w:r>
      <w:tab/>
      <w:t xml:space="preserve">Page </w:t>
    </w:r>
    <w:r>
      <w:fldChar w:fldCharType="begin"/>
    </w:r>
    <w:r>
      <w:instrText xml:space="preserve"> PAGE  \* Arabic  \* MERGEFORMAT </w:instrText>
    </w:r>
    <w:r>
      <w:fldChar w:fldCharType="separate"/>
    </w:r>
    <w:r w:rsidR="00DB0198">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DB0198">
      <w:rPr>
        <w:noProof/>
      </w:rPr>
      <w:t>4</w:t>
    </w:r>
    <w:r>
      <w:rPr>
        <w:noProof/>
      </w:rPr>
      <w:fldChar w:fldCharType="end"/>
    </w:r>
  </w:p>
  <w:p w:rsidR="00830C70" w:rsidP="00830C70">
    <w:pPr>
      <w:pStyle w:val="Footer"/>
      <w:framePr w:wrap="around"/>
    </w:pPr>
    <w:r>
      <w:t xml:space="preserve">© Commonwealth of Australia, </w:t>
    </w:r>
    <w:r>
      <w:fldChar w:fldCharType="begin"/>
    </w:r>
    <w:r>
      <w:instrText xml:space="preserve"> DATE  \@ "yyyy"  \* MERGEFORMAT </w:instrText>
    </w:r>
    <w:r>
      <w:fldChar w:fldCharType="separate"/>
    </w:r>
    <w:r w:rsidR="00DB0198">
      <w:rPr>
        <w:noProof/>
      </w:rPr>
      <w:t>2025</w:t>
    </w:r>
    <w:r>
      <w:fldChar w:fldCharType="end"/>
    </w:r>
    <w:r>
      <w:tab/>
    </w:r>
    <w:r>
      <w:fldChar w:fldCharType="begin"/>
    </w:r>
    <w:r>
      <w:instrText xml:space="preserve"> DOCPROPERTY  Author  \* MERGEFORMAT </w:instrText>
    </w:r>
    <w:r>
      <w:fldChar w:fldCharType="separate"/>
    </w:r>
    <w:r w:rsidR="00DB0198">
      <w:t>Powering Skills Organisation</w:t>
    </w:r>
    <w:r w:rsidR="00DB0198">
      <w:fldChar w:fldCharType="end"/>
    </w:r>
  </w:p>
  <w:p w:rsidR="00830C70" w:rsidP="00830C7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0C7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019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30C70" w:rsidRPr="00DB0198" w:rsidP="00DB019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0C7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0198" w:rsidRPr="002D2AF8" w:rsidP="00830C70">
    <w:pPr>
      <w:pStyle w:val="Header"/>
      <w:framePr w:wrap="around"/>
    </w:pPr>
    <w:r>
      <w:fldChar w:fldCharType="begin"/>
    </w:r>
    <w:r>
      <w:instrText xml:space="preserve"> TITLE   \* MERGEFORMAT </w:instrText>
    </w:r>
    <w:r>
      <w:fldChar w:fldCharType="separate"/>
    </w:r>
    <w:r>
      <w:t>UEPOPS130 Respond to a critical incident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DB0198" w:rsidP="00830C70">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0C70" w:rsidRPr="002D2AF8" w:rsidP="00830C70">
    <w:pPr>
      <w:pStyle w:val="Header"/>
      <w:framePr w:wrap="around"/>
    </w:pPr>
    <w:r>
      <w:fldChar w:fldCharType="begin"/>
    </w:r>
    <w:r>
      <w:instrText xml:space="preserve"> TITLE   \* MERGEFORMAT </w:instrText>
    </w:r>
    <w:r>
      <w:fldChar w:fldCharType="separate"/>
    </w:r>
    <w:r w:rsidR="00DB0198">
      <w:t>UEPOPS130 Respond to a critical incident</w:t>
    </w:r>
    <w:r w:rsidR="00DB0198">
      <w:fldChar w:fldCharType="end"/>
    </w:r>
    <w:r>
      <w:tab/>
      <w:t xml:space="preserve">Date this document was generated: </w:t>
    </w:r>
    <w:r>
      <w:fldChar w:fldCharType="begin"/>
    </w:r>
    <w:r>
      <w:instrText xml:space="preserve"> CREATEDATE  \@ "d MMMM yyyy"  \* MERGEFORMAT </w:instrText>
    </w:r>
    <w:r>
      <w:fldChar w:fldCharType="separate"/>
    </w:r>
    <w:r w:rsidR="00DB0198">
      <w:rPr>
        <w:noProof/>
      </w:rPr>
      <w:t>2 March 2025</w:t>
    </w:r>
    <w:r>
      <w:fldChar w:fldCharType="end"/>
    </w:r>
  </w:p>
  <w:p w:rsidR="00830C70" w:rsidP="00830C7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630313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96065D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D0E79B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30C7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30C70"/>
    <w:pPr>
      <w:spacing w:before="360" w:after="60"/>
      <w:outlineLvl w:val="0"/>
    </w:pPr>
    <w:rPr>
      <w:sz w:val="32"/>
    </w:rPr>
  </w:style>
  <w:style w:type="paragraph" w:styleId="Heading2">
    <w:name w:val="heading 2"/>
    <w:basedOn w:val="HeadingBase"/>
    <w:next w:val="BodyText"/>
    <w:link w:val="Heading2Char"/>
    <w:qFormat/>
    <w:rsid w:val="00830C70"/>
    <w:pPr>
      <w:keepLines/>
      <w:spacing w:before="240" w:after="120"/>
      <w:outlineLvl w:val="1"/>
    </w:pPr>
    <w:rPr>
      <w:sz w:val="28"/>
      <w:szCs w:val="40"/>
    </w:rPr>
  </w:style>
  <w:style w:type="paragraph" w:styleId="Heading3">
    <w:name w:val="heading 3"/>
    <w:basedOn w:val="HeadingBase"/>
    <w:next w:val="BodyText"/>
    <w:link w:val="Heading3Char"/>
    <w:qFormat/>
    <w:rsid w:val="00830C70"/>
    <w:pPr>
      <w:spacing w:before="180" w:after="120"/>
      <w:outlineLvl w:val="2"/>
    </w:pPr>
    <w:rPr>
      <w:spacing w:val="-10"/>
      <w:kern w:val="32"/>
    </w:rPr>
  </w:style>
  <w:style w:type="paragraph" w:styleId="Heading4">
    <w:name w:val="heading 4"/>
    <w:basedOn w:val="HeadingBase"/>
    <w:next w:val="BodyText"/>
    <w:link w:val="Heading4Char"/>
    <w:qFormat/>
    <w:rsid w:val="00830C70"/>
    <w:pPr>
      <w:spacing w:before="160" w:after="120"/>
      <w:outlineLvl w:val="3"/>
    </w:pPr>
    <w:rPr>
      <w:sz w:val="22"/>
    </w:rPr>
  </w:style>
  <w:style w:type="paragraph" w:styleId="Heading5">
    <w:name w:val="heading 5"/>
    <w:basedOn w:val="HeadingBase"/>
    <w:next w:val="Normal"/>
    <w:link w:val="Heading5Char"/>
    <w:qFormat/>
    <w:rsid w:val="00830C70"/>
    <w:pPr>
      <w:spacing w:before="80"/>
      <w:outlineLvl w:val="4"/>
    </w:pPr>
    <w:rPr>
      <w:color w:val="918585"/>
      <w:sz w:val="20"/>
    </w:rPr>
  </w:style>
  <w:style w:type="paragraph" w:styleId="Heading6">
    <w:name w:val="heading 6"/>
    <w:basedOn w:val="HeadingBase"/>
    <w:next w:val="Normal"/>
    <w:link w:val="Heading6Char"/>
    <w:qFormat/>
    <w:rsid w:val="00830C70"/>
    <w:pPr>
      <w:spacing w:before="60"/>
      <w:outlineLvl w:val="5"/>
    </w:pPr>
    <w:rPr>
      <w:color w:val="918585"/>
      <w:sz w:val="20"/>
    </w:rPr>
  </w:style>
  <w:style w:type="paragraph" w:styleId="Heading7">
    <w:name w:val="heading 7"/>
    <w:basedOn w:val="Normal"/>
    <w:next w:val="Normal"/>
    <w:link w:val="Heading7Char"/>
    <w:qFormat/>
    <w:rsid w:val="00830C70"/>
    <w:pPr>
      <w:ind w:left="720"/>
      <w:outlineLvl w:val="6"/>
    </w:pPr>
    <w:rPr>
      <w:i/>
    </w:rPr>
  </w:style>
  <w:style w:type="paragraph" w:styleId="Heading8">
    <w:name w:val="heading 8"/>
    <w:basedOn w:val="Normal"/>
    <w:next w:val="Normal"/>
    <w:link w:val="Heading8Char"/>
    <w:qFormat/>
    <w:rsid w:val="00830C70"/>
    <w:pPr>
      <w:ind w:left="720"/>
      <w:outlineLvl w:val="7"/>
    </w:pPr>
    <w:rPr>
      <w:i/>
    </w:rPr>
  </w:style>
  <w:style w:type="paragraph" w:styleId="Heading9">
    <w:name w:val="heading 9"/>
    <w:basedOn w:val="Normal"/>
    <w:next w:val="Normal"/>
    <w:link w:val="Heading9Char"/>
    <w:qFormat/>
    <w:rsid w:val="00830C70"/>
    <w:pPr>
      <w:ind w:left="720"/>
      <w:outlineLvl w:val="8"/>
    </w:pPr>
    <w:rPr>
      <w:i/>
    </w:rPr>
  </w:style>
  <w:style w:type="character" w:default="1" w:styleId="DefaultParagraphFont">
    <w:name w:val="Default Paragraph Font"/>
    <w:uiPriority w:val="1"/>
    <w:unhideWhenUsed/>
    <w:rsid w:val="00830C7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30C70"/>
  </w:style>
  <w:style w:type="character" w:customStyle="1" w:styleId="Heading1Char">
    <w:name w:val="Heading 1 Char"/>
    <w:basedOn w:val="DefaultParagraphFont"/>
    <w:link w:val="Heading1"/>
    <w:rsid w:val="00830C70"/>
    <w:rPr>
      <w:rFonts w:ascii="Times New Roman" w:eastAsia="Times New Roman" w:hAnsi="Times New Roman" w:cs="Times New Roman"/>
      <w:b/>
      <w:sz w:val="32"/>
      <w:szCs w:val="20"/>
      <w:lang w:eastAsia="en-US"/>
    </w:rPr>
  </w:style>
  <w:style w:type="paragraph" w:styleId="BodyText">
    <w:name w:val="Body Text"/>
    <w:basedOn w:val="Normal"/>
    <w:link w:val="BodyTextChar"/>
    <w:rsid w:val="00830C7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30C70"/>
    <w:rPr>
      <w:rFonts w:ascii="Times New Roman" w:eastAsia="Times New Roman" w:hAnsi="Times New Roman" w:cs="Times New Roman"/>
      <w:sz w:val="24"/>
      <w:lang w:eastAsia="en-US"/>
    </w:rPr>
  </w:style>
  <w:style w:type="paragraph" w:styleId="ListBullet">
    <w:name w:val="List Bullet"/>
    <w:basedOn w:val="List"/>
    <w:rsid w:val="00830C70"/>
    <w:pPr>
      <w:numPr>
        <w:numId w:val="12"/>
      </w:numPr>
      <w:tabs>
        <w:tab w:val="clear" w:pos="340"/>
      </w:tabs>
      <w:spacing w:before="40" w:after="40"/>
    </w:pPr>
  </w:style>
  <w:style w:type="character" w:customStyle="1" w:styleId="SpecialBold">
    <w:name w:val="Special Bold"/>
    <w:basedOn w:val="DefaultParagraphFont"/>
    <w:rsid w:val="00830C70"/>
    <w:rPr>
      <w:b/>
      <w:spacing w:val="0"/>
    </w:rPr>
  </w:style>
  <w:style w:type="paragraph" w:styleId="ListBullet2">
    <w:name w:val="List Bullet 2"/>
    <w:basedOn w:val="List2"/>
    <w:rsid w:val="00830C70"/>
    <w:pPr>
      <w:numPr>
        <w:numId w:val="13"/>
      </w:numPr>
      <w:tabs>
        <w:tab w:val="clear" w:pos="680"/>
      </w:tabs>
    </w:pPr>
  </w:style>
  <w:style w:type="paragraph" w:customStyle="1" w:styleId="SuperHeading">
    <w:name w:val="SuperHeading"/>
    <w:basedOn w:val="Normal"/>
    <w:rsid w:val="00830C70"/>
    <w:pPr>
      <w:spacing w:before="240" w:after="120"/>
      <w:outlineLvl w:val="0"/>
    </w:pPr>
    <w:rPr>
      <w:rFonts w:ascii="Times New Roman" w:hAnsi="Times New Roman"/>
      <w:b/>
      <w:sz w:val="32"/>
    </w:rPr>
  </w:style>
  <w:style w:type="paragraph" w:customStyle="1" w:styleId="AllowPageBreak">
    <w:name w:val="AllowPageBreak"/>
    <w:rsid w:val="00830C70"/>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830C7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30C7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30C7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30C7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30C7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30C7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30C7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30C70"/>
    <w:rPr>
      <w:rFonts w:ascii="Courier New" w:eastAsia="Times New Roman" w:hAnsi="Courier New" w:cs="Times New Roman"/>
      <w:i/>
      <w:szCs w:val="20"/>
      <w:lang w:eastAsia="en-US"/>
    </w:rPr>
  </w:style>
  <w:style w:type="paragraph" w:customStyle="1" w:styleId="HeadingBase">
    <w:name w:val="Heading Base"/>
    <w:rsid w:val="00830C7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30C70"/>
    <w:pPr>
      <w:tabs>
        <w:tab w:val="right" w:leader="dot" w:pos="9072"/>
      </w:tabs>
      <w:ind w:left="567"/>
    </w:pPr>
    <w:rPr>
      <w:szCs w:val="22"/>
    </w:rPr>
  </w:style>
  <w:style w:type="paragraph" w:customStyle="1" w:styleId="TOCBase">
    <w:name w:val="TOC Base"/>
    <w:rsid w:val="00830C7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30C70"/>
    <w:pPr>
      <w:tabs>
        <w:tab w:val="right" w:leader="dot" w:pos="9072"/>
      </w:tabs>
      <w:spacing w:before="40" w:after="40"/>
      <w:ind w:left="284"/>
    </w:pPr>
    <w:rPr>
      <w:rFonts w:ascii="Times New Roman" w:hAnsi="Times New Roman"/>
    </w:rPr>
  </w:style>
  <w:style w:type="paragraph" w:styleId="TOC1">
    <w:name w:val="toc 1"/>
    <w:basedOn w:val="TOCBase"/>
    <w:next w:val="Normal"/>
    <w:rsid w:val="00830C7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30C7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30C70"/>
    <w:rPr>
      <w:rFonts w:ascii="Times New Roman" w:eastAsia="Times New Roman" w:hAnsi="Times New Roman" w:cs="Times New Roman"/>
      <w:sz w:val="16"/>
      <w:lang w:eastAsia="en-US"/>
    </w:rPr>
  </w:style>
  <w:style w:type="paragraph" w:styleId="Title">
    <w:name w:val="Title"/>
    <w:basedOn w:val="HeadingBase"/>
    <w:link w:val="TitleChar"/>
    <w:qFormat/>
    <w:rsid w:val="00830C70"/>
    <w:pPr>
      <w:spacing w:before="5040"/>
      <w:jc w:val="center"/>
    </w:pPr>
    <w:rPr>
      <w:sz w:val="48"/>
      <w:szCs w:val="72"/>
      <w:lang w:val="en-US"/>
    </w:rPr>
  </w:style>
  <w:style w:type="character" w:customStyle="1" w:styleId="TitleChar">
    <w:name w:val="Title Char"/>
    <w:basedOn w:val="DefaultParagraphFont"/>
    <w:link w:val="Title"/>
    <w:rsid w:val="00830C7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30C70"/>
    <w:pPr>
      <w:tabs>
        <w:tab w:val="left" w:pos="3600"/>
        <w:tab w:val="left" w:pos="3958"/>
      </w:tabs>
    </w:pPr>
  </w:style>
  <w:style w:type="paragraph" w:styleId="List">
    <w:name w:val="List"/>
    <w:basedOn w:val="BodyText"/>
    <w:next w:val="BodyText"/>
    <w:rsid w:val="00830C70"/>
    <w:pPr>
      <w:tabs>
        <w:tab w:val="left" w:pos="340"/>
      </w:tabs>
      <w:spacing w:before="60" w:after="60"/>
      <w:ind w:left="340" w:hanging="340"/>
    </w:pPr>
  </w:style>
  <w:style w:type="paragraph" w:customStyle="1" w:styleId="Note">
    <w:name w:val="Note"/>
    <w:basedOn w:val="BodyText"/>
    <w:rsid w:val="00830C7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30C70"/>
    <w:pPr>
      <w:framePr w:wrap="auto" w:hAnchor="text" w:y="6049"/>
    </w:pPr>
    <w:rPr>
      <w:color w:val="000000"/>
      <w:sz w:val="40"/>
    </w:rPr>
  </w:style>
  <w:style w:type="paragraph" w:customStyle="1" w:styleId="TOCTitle">
    <w:name w:val="TOCTitle"/>
    <w:basedOn w:val="Heading1"/>
    <w:rsid w:val="00830C70"/>
    <w:pPr>
      <w:spacing w:after="240"/>
      <w:jc w:val="center"/>
      <w:outlineLvl w:val="9"/>
    </w:pPr>
    <w:rPr>
      <w:caps/>
    </w:rPr>
  </w:style>
  <w:style w:type="paragraph" w:customStyle="1" w:styleId="Version">
    <w:name w:val="Version"/>
    <w:rsid w:val="00830C7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30C70"/>
    <w:pPr>
      <w:keepNext w:val="0"/>
      <w:tabs>
        <w:tab w:val="right" w:pos="4176"/>
      </w:tabs>
      <w:ind w:left="198" w:hanging="198"/>
    </w:pPr>
    <w:rPr>
      <w:rFonts w:ascii="Garamond" w:hAnsi="Garamond"/>
    </w:rPr>
  </w:style>
  <w:style w:type="paragraph" w:styleId="IndexHeading">
    <w:name w:val="index heading"/>
    <w:basedOn w:val="Normal"/>
    <w:next w:val="Index1"/>
    <w:semiHidden/>
    <w:rsid w:val="00830C70"/>
    <w:pPr>
      <w:spacing w:before="120" w:after="120"/>
    </w:pPr>
    <w:rPr>
      <w:rFonts w:ascii="Arial" w:hAnsi="Arial"/>
      <w:b/>
      <w:color w:val="918585"/>
      <w:sz w:val="24"/>
    </w:rPr>
  </w:style>
  <w:style w:type="paragraph" w:styleId="Header">
    <w:name w:val="header"/>
    <w:basedOn w:val="Normal"/>
    <w:link w:val="HeaderChar"/>
    <w:rsid w:val="00830C7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30C70"/>
    <w:rPr>
      <w:rFonts w:ascii="Times New Roman" w:eastAsia="Times New Roman" w:hAnsi="Times New Roman" w:cs="Times New Roman"/>
      <w:sz w:val="16"/>
      <w:szCs w:val="20"/>
      <w:lang w:val="en-GB" w:eastAsia="en-US"/>
    </w:rPr>
  </w:style>
  <w:style w:type="paragraph" w:customStyle="1" w:styleId="Chapter">
    <w:name w:val="Chapter"/>
    <w:basedOn w:val="Normal"/>
    <w:rsid w:val="00830C70"/>
    <w:pPr>
      <w:spacing w:before="240"/>
    </w:pPr>
    <w:rPr>
      <w:rFonts w:ascii="Times New Roman" w:hAnsi="Times New Roman"/>
      <w:smallCaps/>
      <w:spacing w:val="80"/>
      <w:sz w:val="28"/>
    </w:rPr>
  </w:style>
  <w:style w:type="paragraph" w:customStyle="1" w:styleId="InChapter">
    <w:name w:val="InChapter"/>
    <w:basedOn w:val="Heading3"/>
    <w:rsid w:val="00830C70"/>
    <w:pPr>
      <w:spacing w:after="240"/>
      <w:outlineLvl w:val="9"/>
    </w:pPr>
    <w:rPr>
      <w:noProof/>
    </w:rPr>
  </w:style>
  <w:style w:type="paragraph" w:styleId="Index2">
    <w:name w:val="index 2"/>
    <w:basedOn w:val="Normal"/>
    <w:next w:val="Normal"/>
    <w:semiHidden/>
    <w:rsid w:val="00830C70"/>
    <w:pPr>
      <w:tabs>
        <w:tab w:val="right" w:pos="4176"/>
      </w:tabs>
      <w:ind w:left="568" w:hanging="284"/>
    </w:pPr>
    <w:rPr>
      <w:rFonts w:ascii="Garamond" w:hAnsi="Garamond"/>
    </w:rPr>
  </w:style>
  <w:style w:type="paragraph" w:customStyle="1" w:styleId="Byline">
    <w:name w:val="Byline"/>
    <w:rsid w:val="00830C7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30C70"/>
    <w:pPr>
      <w:tabs>
        <w:tab w:val="clear" w:pos="3600"/>
        <w:tab w:val="clear" w:pos="3958"/>
      </w:tabs>
      <w:jc w:val="right"/>
    </w:pPr>
  </w:style>
  <w:style w:type="character" w:styleId="Emphasis">
    <w:name w:val="Emphasis"/>
    <w:basedOn w:val="DefaultParagraphFont"/>
    <w:qFormat/>
    <w:rsid w:val="00830C70"/>
    <w:rPr>
      <w:i/>
    </w:rPr>
  </w:style>
  <w:style w:type="paragraph" w:styleId="Caption">
    <w:name w:val="caption"/>
    <w:basedOn w:val="BodyText"/>
    <w:next w:val="Normal"/>
    <w:qFormat/>
    <w:rsid w:val="00830C70"/>
    <w:pPr>
      <w:framePr w:w="2268" w:hSpace="181" w:vSpace="181" w:wrap="around" w:vAnchor="text" w:hAnchor="page" w:x="1135" w:y="285" w:anchorLock="1"/>
    </w:pPr>
    <w:rPr>
      <w:i/>
    </w:rPr>
  </w:style>
  <w:style w:type="paragraph" w:customStyle="1" w:styleId="MiniTOCTitle">
    <w:name w:val="MiniTOCTitle"/>
    <w:basedOn w:val="Heading4"/>
    <w:rsid w:val="00830C70"/>
    <w:pPr>
      <w:spacing w:before="240"/>
      <w:outlineLvl w:val="9"/>
    </w:pPr>
    <w:rPr>
      <w:noProof/>
      <w:sz w:val="24"/>
    </w:rPr>
  </w:style>
  <w:style w:type="paragraph" w:customStyle="1" w:styleId="MiniTOCItem">
    <w:name w:val="MiniTOCItem"/>
    <w:basedOn w:val="ListBullet"/>
    <w:rsid w:val="00830C70"/>
    <w:pPr>
      <w:numPr>
        <w:numId w:val="0"/>
      </w:numPr>
      <w:tabs>
        <w:tab w:val="right" w:leader="dot" w:pos="6521"/>
      </w:tabs>
      <w:spacing w:before="0" w:after="0"/>
    </w:pPr>
  </w:style>
  <w:style w:type="paragraph" w:customStyle="1" w:styleId="TOFTitle">
    <w:name w:val="TOFTitle"/>
    <w:basedOn w:val="TOCTitle"/>
    <w:rsid w:val="00830C70"/>
  </w:style>
  <w:style w:type="paragraph" w:styleId="TableofFigures">
    <w:name w:val="table of figures"/>
    <w:basedOn w:val="Normal"/>
    <w:next w:val="Normal"/>
    <w:semiHidden/>
    <w:rsid w:val="00830C70"/>
    <w:pPr>
      <w:tabs>
        <w:tab w:val="right" w:leader="dot" w:pos="9072"/>
      </w:tabs>
      <w:ind w:left="970" w:hanging="403"/>
    </w:pPr>
    <w:rPr>
      <w:rFonts w:ascii="Times New Roman" w:hAnsi="Times New Roman"/>
      <w:b/>
    </w:rPr>
  </w:style>
  <w:style w:type="paragraph" w:styleId="ListNumber">
    <w:name w:val="List Number"/>
    <w:basedOn w:val="List"/>
    <w:rsid w:val="00830C70"/>
    <w:pPr>
      <w:numPr>
        <w:numId w:val="15"/>
      </w:numPr>
      <w:tabs>
        <w:tab w:val="clear" w:pos="340"/>
      </w:tabs>
    </w:pPr>
  </w:style>
  <w:style w:type="character" w:customStyle="1" w:styleId="WingdingSymbols">
    <w:name w:val="Wingding Symbols"/>
    <w:rsid w:val="00830C70"/>
    <w:rPr>
      <w:rFonts w:ascii="Wingdings" w:hAnsi="Wingdings"/>
    </w:rPr>
  </w:style>
  <w:style w:type="paragraph" w:customStyle="1" w:styleId="TableHeading">
    <w:name w:val="Table Heading"/>
    <w:basedOn w:val="HeadingBase"/>
    <w:rsid w:val="00830C70"/>
    <w:pPr>
      <w:keepLines/>
      <w:pBdr>
        <w:bottom w:val="single" w:sz="6" w:space="1" w:color="918585"/>
      </w:pBdr>
      <w:spacing w:before="240"/>
    </w:pPr>
  </w:style>
  <w:style w:type="character" w:customStyle="1" w:styleId="HotSpot">
    <w:name w:val="HotSpot"/>
    <w:rsid w:val="00830C70"/>
    <w:rPr>
      <w:color w:val="0033CC"/>
      <w:u w:val="none"/>
    </w:rPr>
  </w:style>
  <w:style w:type="paragraph" w:customStyle="1" w:styleId="BodyTextRight">
    <w:name w:val="Body Text Right"/>
    <w:basedOn w:val="BodyText"/>
    <w:rsid w:val="00830C70"/>
    <w:pPr>
      <w:spacing w:before="0" w:after="0"/>
      <w:jc w:val="right"/>
    </w:pPr>
  </w:style>
  <w:style w:type="paragraph" w:styleId="Index3">
    <w:name w:val="index 3"/>
    <w:basedOn w:val="ListNumber2"/>
    <w:next w:val="Normal"/>
    <w:semiHidden/>
    <w:rsid w:val="00830C70"/>
    <w:pPr>
      <w:numPr>
        <w:numId w:val="0"/>
      </w:numPr>
      <w:tabs>
        <w:tab w:val="right" w:leader="dot" w:pos="4176"/>
      </w:tabs>
    </w:pPr>
  </w:style>
  <w:style w:type="paragraph" w:styleId="ListNumber2">
    <w:name w:val="List Number 2"/>
    <w:basedOn w:val="List2"/>
    <w:rsid w:val="00830C70"/>
    <w:pPr>
      <w:numPr>
        <w:numId w:val="10"/>
      </w:numPr>
      <w:tabs>
        <w:tab w:val="clear" w:pos="1060"/>
      </w:tabs>
    </w:pPr>
  </w:style>
  <w:style w:type="paragraph" w:customStyle="1" w:styleId="MarginNote">
    <w:name w:val="Margin Note"/>
    <w:basedOn w:val="BodyText"/>
    <w:rsid w:val="00830C7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30C7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30C7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30C70"/>
    <w:rPr>
      <w:sz w:val="32"/>
    </w:rPr>
  </w:style>
  <w:style w:type="paragraph" w:customStyle="1" w:styleId="HeadingProcedure">
    <w:name w:val="Heading Procedure"/>
    <w:basedOn w:val="HeadingBase"/>
    <w:next w:val="Normal"/>
    <w:rsid w:val="00830C70"/>
    <w:pPr>
      <w:tabs>
        <w:tab w:val="left" w:pos="0"/>
      </w:tabs>
      <w:spacing w:before="120" w:after="60"/>
    </w:pPr>
    <w:rPr>
      <w:i/>
      <w:color w:val="918585"/>
      <w:sz w:val="22"/>
    </w:rPr>
  </w:style>
  <w:style w:type="paragraph" w:customStyle="1" w:styleId="TableBodyText">
    <w:name w:val="Table Body Text"/>
    <w:basedOn w:val="BodyText"/>
    <w:rsid w:val="00830C70"/>
    <w:pPr>
      <w:spacing w:before="60" w:after="60"/>
    </w:pPr>
  </w:style>
  <w:style w:type="paragraph" w:styleId="ListContinue">
    <w:name w:val="List Continue"/>
    <w:basedOn w:val="List"/>
    <w:rsid w:val="00830C70"/>
    <w:pPr>
      <w:ind w:firstLine="0"/>
    </w:pPr>
  </w:style>
  <w:style w:type="paragraph" w:customStyle="1" w:styleId="ListNote">
    <w:name w:val="List Note"/>
    <w:basedOn w:val="List"/>
    <w:rsid w:val="00830C70"/>
    <w:pPr>
      <w:pBdr>
        <w:top w:val="single" w:sz="6" w:space="2" w:color="918585"/>
        <w:bottom w:val="single" w:sz="6" w:space="2" w:color="918585"/>
      </w:pBdr>
      <w:tabs>
        <w:tab w:val="left" w:pos="1021"/>
      </w:tabs>
      <w:ind w:firstLine="0"/>
    </w:pPr>
  </w:style>
  <w:style w:type="paragraph" w:customStyle="1" w:styleId="Warning">
    <w:name w:val="Warning"/>
    <w:basedOn w:val="BodyText"/>
    <w:rsid w:val="00830C70"/>
    <w:pPr>
      <w:shd w:val="clear" w:color="auto" w:fill="D9D9D9"/>
      <w:tabs>
        <w:tab w:val="left" w:pos="992"/>
      </w:tabs>
      <w:ind w:left="119" w:right="119"/>
    </w:pPr>
    <w:rPr>
      <w:sz w:val="20"/>
    </w:rPr>
  </w:style>
  <w:style w:type="paragraph" w:customStyle="1" w:styleId="MarginIcons">
    <w:name w:val="Margin Icons"/>
    <w:basedOn w:val="BodyText"/>
    <w:rsid w:val="00830C7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30C70"/>
    <w:rPr>
      <w:rFonts w:ascii="Courier New" w:hAnsi="Courier New"/>
    </w:rPr>
  </w:style>
  <w:style w:type="paragraph" w:customStyle="1" w:styleId="NoteBullet">
    <w:name w:val="Note Bullet"/>
    <w:basedOn w:val="Note"/>
    <w:rsid w:val="00830C70"/>
    <w:pPr>
      <w:tabs>
        <w:tab w:val="clear" w:pos="680"/>
      </w:tabs>
      <w:spacing w:before="60" w:after="60"/>
    </w:pPr>
  </w:style>
  <w:style w:type="paragraph" w:customStyle="1" w:styleId="SubHeading2">
    <w:name w:val="SubHeading2"/>
    <w:basedOn w:val="HeadingBase"/>
    <w:rsid w:val="00830C70"/>
    <w:pPr>
      <w:spacing w:before="240" w:after="60"/>
    </w:pPr>
    <w:rPr>
      <w:sz w:val="20"/>
    </w:rPr>
  </w:style>
  <w:style w:type="paragraph" w:customStyle="1" w:styleId="SubHeading1">
    <w:name w:val="SubHeading1"/>
    <w:basedOn w:val="HeadingBase"/>
    <w:rsid w:val="00830C70"/>
    <w:pPr>
      <w:spacing w:before="240" w:after="60"/>
    </w:pPr>
    <w:rPr>
      <w:color w:val="918585"/>
      <w:sz w:val="22"/>
    </w:rPr>
  </w:style>
  <w:style w:type="paragraph" w:customStyle="1" w:styleId="SideHeading">
    <w:name w:val="Side Heading"/>
    <w:basedOn w:val="HeadingBase"/>
    <w:rsid w:val="00830C7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30C70"/>
    <w:pPr>
      <w:tabs>
        <w:tab w:val="num" w:pos="360"/>
      </w:tabs>
    </w:pPr>
  </w:style>
  <w:style w:type="paragraph" w:styleId="PlainText">
    <w:name w:val="Plain Text"/>
    <w:basedOn w:val="Normal"/>
    <w:link w:val="PlainTextChar"/>
    <w:rsid w:val="00830C70"/>
    <w:rPr>
      <w:sz w:val="20"/>
    </w:rPr>
  </w:style>
  <w:style w:type="character" w:customStyle="1" w:styleId="PlainTextChar">
    <w:name w:val="Plain Text Char"/>
    <w:basedOn w:val="DefaultParagraphFont"/>
    <w:link w:val="PlainText"/>
    <w:rsid w:val="00830C70"/>
    <w:rPr>
      <w:rFonts w:ascii="Courier New" w:eastAsia="Times New Roman" w:hAnsi="Courier New" w:cs="Times New Roman"/>
      <w:sz w:val="20"/>
      <w:szCs w:val="20"/>
      <w:lang w:eastAsia="en-US"/>
    </w:rPr>
  </w:style>
  <w:style w:type="character" w:customStyle="1" w:styleId="MenuOption">
    <w:name w:val="Menu Option"/>
    <w:basedOn w:val="DefaultParagraphFont"/>
    <w:rsid w:val="00830C70"/>
    <w:rPr>
      <w:b/>
      <w:smallCaps/>
    </w:rPr>
  </w:style>
  <w:style w:type="paragraph" w:customStyle="1" w:styleId="TableListNumber">
    <w:name w:val="Table List Number"/>
    <w:basedOn w:val="ListNumber"/>
    <w:rsid w:val="00830C70"/>
    <w:pPr>
      <w:numPr>
        <w:numId w:val="0"/>
      </w:numPr>
    </w:pPr>
  </w:style>
  <w:style w:type="paragraph" w:styleId="TOC4">
    <w:name w:val="toc 4"/>
    <w:basedOn w:val="TOCBase"/>
    <w:next w:val="Normal"/>
    <w:semiHidden/>
    <w:rsid w:val="00830C70"/>
    <w:pPr>
      <w:tabs>
        <w:tab w:val="right" w:leader="dot" w:pos="9071"/>
      </w:tabs>
      <w:ind w:left="1701"/>
    </w:pPr>
  </w:style>
  <w:style w:type="paragraph" w:customStyle="1" w:styleId="ListAlpha">
    <w:name w:val="List Alpha"/>
    <w:basedOn w:val="List"/>
    <w:rsid w:val="00830C70"/>
    <w:pPr>
      <w:numPr>
        <w:numId w:val="9"/>
      </w:numPr>
    </w:pPr>
  </w:style>
  <w:style w:type="paragraph" w:customStyle="1" w:styleId="ListAlpha2">
    <w:name w:val="List Alpha 2"/>
    <w:basedOn w:val="List2"/>
    <w:rsid w:val="00830C70"/>
    <w:pPr>
      <w:numPr>
        <w:numId w:val="8"/>
      </w:numPr>
    </w:pPr>
  </w:style>
  <w:style w:type="paragraph" w:styleId="List2">
    <w:name w:val="List 2"/>
    <w:basedOn w:val="BodyText"/>
    <w:rsid w:val="00830C70"/>
    <w:pPr>
      <w:tabs>
        <w:tab w:val="left" w:pos="680"/>
      </w:tabs>
      <w:spacing w:before="60" w:after="60"/>
      <w:ind w:left="680" w:hanging="340"/>
    </w:pPr>
  </w:style>
  <w:style w:type="paragraph" w:styleId="List3">
    <w:name w:val="List 3"/>
    <w:basedOn w:val="BodyText"/>
    <w:rsid w:val="00830C70"/>
    <w:pPr>
      <w:tabs>
        <w:tab w:val="left" w:pos="1021"/>
      </w:tabs>
      <w:spacing w:before="60" w:after="60"/>
      <w:ind w:left="1020" w:hanging="340"/>
    </w:pPr>
  </w:style>
  <w:style w:type="paragraph" w:styleId="List4">
    <w:name w:val="List 4"/>
    <w:basedOn w:val="BodyText"/>
    <w:rsid w:val="00830C70"/>
    <w:pPr>
      <w:tabs>
        <w:tab w:val="left" w:pos="1361"/>
      </w:tabs>
      <w:spacing w:before="60" w:after="60"/>
      <w:ind w:left="1361" w:hanging="340"/>
    </w:pPr>
  </w:style>
  <w:style w:type="paragraph" w:styleId="List5">
    <w:name w:val="List 5"/>
    <w:basedOn w:val="BodyText"/>
    <w:rsid w:val="00830C70"/>
    <w:pPr>
      <w:tabs>
        <w:tab w:val="left" w:pos="1701"/>
      </w:tabs>
      <w:spacing w:before="60" w:after="60"/>
      <w:ind w:left="1701" w:hanging="340"/>
    </w:pPr>
  </w:style>
  <w:style w:type="paragraph" w:styleId="ListBullet3">
    <w:name w:val="List Bullet 3"/>
    <w:basedOn w:val="List3"/>
    <w:rsid w:val="00830C70"/>
    <w:pPr>
      <w:numPr>
        <w:numId w:val="14"/>
      </w:numPr>
      <w:tabs>
        <w:tab w:val="clear" w:pos="1021"/>
      </w:tabs>
      <w:ind w:left="1037" w:hanging="357"/>
    </w:pPr>
  </w:style>
  <w:style w:type="paragraph" w:styleId="ListBullet4">
    <w:name w:val="List Bullet 4"/>
    <w:basedOn w:val="List4"/>
    <w:rsid w:val="00830C70"/>
    <w:pPr>
      <w:numPr>
        <w:numId w:val="3"/>
      </w:numPr>
      <w:tabs>
        <w:tab w:val="clear" w:pos="1361"/>
      </w:tabs>
    </w:pPr>
  </w:style>
  <w:style w:type="paragraph" w:styleId="ListBullet5">
    <w:name w:val="List Bullet 5"/>
    <w:basedOn w:val="List5"/>
    <w:rsid w:val="00830C70"/>
    <w:pPr>
      <w:numPr>
        <w:numId w:val="4"/>
      </w:numPr>
    </w:pPr>
  </w:style>
  <w:style w:type="paragraph" w:styleId="ListContinue2">
    <w:name w:val="List Continue 2"/>
    <w:basedOn w:val="List2"/>
    <w:rsid w:val="00830C70"/>
    <w:pPr>
      <w:ind w:firstLine="0"/>
    </w:pPr>
  </w:style>
  <w:style w:type="paragraph" w:styleId="ListContinue3">
    <w:name w:val="List Continue 3"/>
    <w:basedOn w:val="List3"/>
    <w:rsid w:val="00830C70"/>
    <w:pPr>
      <w:ind w:left="1021" w:firstLine="0"/>
    </w:pPr>
  </w:style>
  <w:style w:type="paragraph" w:styleId="ListContinue4">
    <w:name w:val="List Continue 4"/>
    <w:basedOn w:val="List4"/>
    <w:rsid w:val="00830C70"/>
    <w:pPr>
      <w:ind w:firstLine="0"/>
    </w:pPr>
  </w:style>
  <w:style w:type="paragraph" w:styleId="ListContinue5">
    <w:name w:val="List Continue 5"/>
    <w:basedOn w:val="List5"/>
    <w:rsid w:val="00830C70"/>
    <w:pPr>
      <w:ind w:firstLine="0"/>
    </w:pPr>
  </w:style>
  <w:style w:type="paragraph" w:styleId="ListNumber3">
    <w:name w:val="List Number 3"/>
    <w:basedOn w:val="List3"/>
    <w:rsid w:val="00830C70"/>
    <w:pPr>
      <w:numPr>
        <w:numId w:val="5"/>
      </w:numPr>
    </w:pPr>
  </w:style>
  <w:style w:type="paragraph" w:styleId="ListNumber4">
    <w:name w:val="List Number 4"/>
    <w:basedOn w:val="List4"/>
    <w:rsid w:val="00830C70"/>
    <w:pPr>
      <w:numPr>
        <w:numId w:val="6"/>
      </w:numPr>
    </w:pPr>
  </w:style>
  <w:style w:type="paragraph" w:styleId="ListNumber5">
    <w:name w:val="List Number 5"/>
    <w:basedOn w:val="List5"/>
    <w:rsid w:val="00830C70"/>
    <w:pPr>
      <w:numPr>
        <w:numId w:val="7"/>
      </w:numPr>
    </w:pPr>
  </w:style>
  <w:style w:type="paragraph" w:styleId="BlockText">
    <w:name w:val="Block Text"/>
    <w:basedOn w:val="Normal"/>
    <w:rsid w:val="00830C70"/>
    <w:pPr>
      <w:spacing w:after="120"/>
      <w:ind w:left="1440" w:right="1440"/>
    </w:pPr>
  </w:style>
  <w:style w:type="character" w:customStyle="1" w:styleId="Subscript">
    <w:name w:val="Subscript"/>
    <w:basedOn w:val="DefaultParagraphFont"/>
    <w:rsid w:val="00830C70"/>
    <w:rPr>
      <w:sz w:val="16"/>
      <w:vertAlign w:val="subscript"/>
    </w:rPr>
  </w:style>
  <w:style w:type="character" w:customStyle="1" w:styleId="Superscript">
    <w:name w:val="Superscript"/>
    <w:basedOn w:val="DefaultParagraphFont"/>
    <w:rsid w:val="00830C70"/>
    <w:rPr>
      <w:sz w:val="16"/>
      <w:vertAlign w:val="superscript"/>
    </w:rPr>
  </w:style>
  <w:style w:type="character" w:customStyle="1" w:styleId="Symbols">
    <w:name w:val="Symbols"/>
    <w:basedOn w:val="DefaultParagraphFont"/>
    <w:rsid w:val="00830C70"/>
    <w:rPr>
      <w:rFonts w:ascii="Symbol" w:hAnsi="Symbol"/>
    </w:rPr>
  </w:style>
  <w:style w:type="character" w:customStyle="1" w:styleId="MenuOptions">
    <w:name w:val="Menu Options"/>
    <w:basedOn w:val="DefaultParagraphFont"/>
    <w:rsid w:val="00830C70"/>
    <w:rPr>
      <w:rFonts w:ascii="Arial Narrow" w:hAnsi="Arial Narrow"/>
      <w:smallCaps/>
    </w:rPr>
  </w:style>
  <w:style w:type="character" w:customStyle="1" w:styleId="Buttons">
    <w:name w:val="Buttons"/>
    <w:basedOn w:val="DefaultParagraphFont"/>
    <w:rsid w:val="00830C70"/>
    <w:rPr>
      <w:b/>
    </w:rPr>
  </w:style>
  <w:style w:type="character" w:customStyle="1" w:styleId="Underlined">
    <w:name w:val="Underlined"/>
    <w:basedOn w:val="DefaultParagraphFont"/>
    <w:rsid w:val="00830C70"/>
    <w:rPr>
      <w:u w:val="single"/>
    </w:rPr>
  </w:style>
  <w:style w:type="paragraph" w:customStyle="1" w:styleId="TableBodyTextRight">
    <w:name w:val="Table Body Text Right"/>
    <w:basedOn w:val="TableBodyText"/>
    <w:rsid w:val="00830C70"/>
    <w:pPr>
      <w:widowControl w:val="0"/>
      <w:autoSpaceDE w:val="0"/>
      <w:autoSpaceDN w:val="0"/>
      <w:adjustRightInd w:val="0"/>
      <w:jc w:val="right"/>
    </w:pPr>
    <w:rPr>
      <w:rFonts w:cs="Arial"/>
      <w:szCs w:val="18"/>
    </w:rPr>
  </w:style>
  <w:style w:type="paragraph" w:customStyle="1" w:styleId="CopyrightText">
    <w:name w:val="Copyright Text"/>
    <w:basedOn w:val="BodyText"/>
    <w:rsid w:val="00830C70"/>
    <w:rPr>
      <w:sz w:val="18"/>
    </w:rPr>
  </w:style>
  <w:style w:type="paragraph" w:customStyle="1" w:styleId="BodySmallRight">
    <w:name w:val="Body Small Right"/>
    <w:basedOn w:val="BodyTextRight"/>
    <w:rsid w:val="00830C70"/>
    <w:rPr>
      <w:sz w:val="18"/>
      <w:szCs w:val="18"/>
    </w:rPr>
  </w:style>
  <w:style w:type="paragraph" w:customStyle="1" w:styleId="MarginEdition">
    <w:name w:val="Margin Edition"/>
    <w:basedOn w:val="MarginNote"/>
    <w:rsid w:val="00830C70"/>
    <w:pPr>
      <w:spacing w:before="0" w:after="0"/>
    </w:pPr>
    <w:rPr>
      <w:rFonts w:ascii="Times New Roman" w:hAnsi="Times New Roman"/>
      <w:color w:val="999999"/>
    </w:rPr>
  </w:style>
  <w:style w:type="paragraph" w:customStyle="1" w:styleId="Spacer">
    <w:name w:val="Spacer"/>
    <w:basedOn w:val="Normal"/>
    <w:rsid w:val="00830C70"/>
    <w:rPr>
      <w:sz w:val="2"/>
      <w:szCs w:val="2"/>
    </w:rPr>
  </w:style>
  <w:style w:type="character" w:customStyle="1" w:styleId="Small">
    <w:name w:val="Small"/>
    <w:basedOn w:val="DefaultParagraphFont"/>
    <w:rsid w:val="00830C70"/>
    <w:rPr>
      <w:sz w:val="16"/>
    </w:rPr>
  </w:style>
  <w:style w:type="paragraph" w:customStyle="1" w:styleId="WideTable">
    <w:name w:val="Wide Table"/>
    <w:basedOn w:val="Normal"/>
    <w:rsid w:val="00830C70"/>
    <w:pPr>
      <w:ind w:left="-1418"/>
    </w:pPr>
    <w:rPr>
      <w:sz w:val="2"/>
      <w:szCs w:val="2"/>
    </w:rPr>
  </w:style>
  <w:style w:type="character" w:styleId="PageNumber">
    <w:name w:val="page number"/>
    <w:basedOn w:val="DefaultParagraphFont"/>
    <w:rsid w:val="00830C70"/>
  </w:style>
  <w:style w:type="paragraph" w:styleId="Quote">
    <w:name w:val="Quote"/>
    <w:basedOn w:val="Heading1"/>
    <w:link w:val="QuoteChar"/>
    <w:qFormat/>
    <w:rsid w:val="00830C70"/>
    <w:rPr>
      <w:b w:val="0"/>
      <w:sz w:val="72"/>
      <w:szCs w:val="72"/>
      <w:lang w:val="en-NZ"/>
    </w:rPr>
  </w:style>
  <w:style w:type="character" w:customStyle="1" w:styleId="QuoteChar">
    <w:name w:val="Quote Char"/>
    <w:basedOn w:val="DefaultParagraphFont"/>
    <w:link w:val="Quote"/>
    <w:rsid w:val="00830C7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30C70"/>
    <w:pPr>
      <w:pageBreakBefore/>
    </w:pPr>
  </w:style>
  <w:style w:type="paragraph" w:customStyle="1" w:styleId="Border">
    <w:name w:val="Border"/>
    <w:basedOn w:val="Normal"/>
    <w:qFormat/>
    <w:rsid w:val="00830C7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30C70"/>
    <w:rPr>
      <w:b/>
      <w:bCs/>
      <w:i/>
      <w:iCs/>
      <w:color w:val="auto"/>
    </w:rPr>
  </w:style>
  <w:style w:type="paragraph" w:styleId="IntenseQuote">
    <w:name w:val="Intense Quote"/>
    <w:basedOn w:val="Normal"/>
    <w:next w:val="Normal"/>
    <w:link w:val="IntenseQuoteChar"/>
    <w:uiPriority w:val="30"/>
    <w:qFormat/>
    <w:rsid w:val="00830C7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30C7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30C70"/>
    <w:rPr>
      <w:smallCaps/>
      <w:color w:val="auto"/>
      <w:u w:val="single"/>
    </w:rPr>
  </w:style>
  <w:style w:type="character" w:styleId="IntenseReference">
    <w:name w:val="Intense Reference"/>
    <w:basedOn w:val="DefaultParagraphFont"/>
    <w:uiPriority w:val="32"/>
    <w:qFormat/>
    <w:rsid w:val="00830C70"/>
    <w:rPr>
      <w:b/>
      <w:bCs/>
      <w:smallCaps/>
      <w:color w:val="auto"/>
      <w:spacing w:val="5"/>
      <w:u w:val="single"/>
    </w:rPr>
  </w:style>
  <w:style w:type="paragraph" w:customStyle="1" w:styleId="2ColumnHeading">
    <w:name w:val="2Column Heading"/>
    <w:basedOn w:val="BodyText"/>
    <w:qFormat/>
    <w:rsid w:val="00830C70"/>
    <w:pPr>
      <w:spacing w:after="60"/>
      <w:ind w:left="-2268"/>
    </w:pPr>
    <w:rPr>
      <w:b/>
    </w:rPr>
  </w:style>
  <w:style w:type="paragraph" w:customStyle="1" w:styleId="Heading1TOC">
    <w:name w:val="Heading1 TOC"/>
    <w:basedOn w:val="Normal"/>
    <w:qFormat/>
    <w:rsid w:val="00830C70"/>
    <w:pPr>
      <w:spacing w:before="240" w:after="120"/>
    </w:pPr>
    <w:rPr>
      <w:rFonts w:ascii="Times New Roman" w:hAnsi="Times New Roman"/>
      <w:b/>
      <w:sz w:val="32"/>
    </w:rPr>
  </w:style>
  <w:style w:type="paragraph" w:customStyle="1" w:styleId="Heading2TOC">
    <w:name w:val="Heading2 TOC"/>
    <w:basedOn w:val="Normal"/>
    <w:qFormat/>
    <w:rsid w:val="00830C70"/>
    <w:pPr>
      <w:spacing w:before="240" w:after="60"/>
    </w:pPr>
    <w:rPr>
      <w:rFonts w:ascii="Times New Roman" w:hAnsi="Times New Roman"/>
      <w:b/>
      <w:sz w:val="28"/>
    </w:rPr>
  </w:style>
  <w:style w:type="character" w:customStyle="1" w:styleId="Underline">
    <w:name w:val="Underline"/>
    <w:basedOn w:val="DefaultParagraphFont"/>
    <w:qFormat/>
    <w:rsid w:val="00830C70"/>
    <w:rPr>
      <w:u w:val="single"/>
    </w:rPr>
  </w:style>
  <w:style w:type="character" w:customStyle="1" w:styleId="BoldandItalics">
    <w:name w:val="Bold and Italics"/>
    <w:qFormat/>
    <w:rsid w:val="00830C70"/>
    <w:rPr>
      <w:b/>
      <w:i/>
      <w:u w:val="none"/>
    </w:rPr>
  </w:style>
  <w:style w:type="paragraph" w:styleId="BalloonText">
    <w:name w:val="Balloon Text"/>
    <w:basedOn w:val="Normal"/>
    <w:link w:val="BalloonTextChar"/>
    <w:rsid w:val="00830C70"/>
    <w:rPr>
      <w:rFonts w:ascii="Tahoma" w:hAnsi="Tahoma" w:cs="Tahoma"/>
      <w:sz w:val="16"/>
      <w:szCs w:val="16"/>
    </w:rPr>
  </w:style>
  <w:style w:type="character" w:customStyle="1" w:styleId="BalloonTextChar">
    <w:name w:val="Balloon Text Char"/>
    <w:basedOn w:val="DefaultParagraphFont"/>
    <w:link w:val="BalloonText"/>
    <w:rsid w:val="00830C7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30C7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30C7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30C70"/>
    <w:rPr>
      <w:b/>
      <w:color w:val="660033"/>
      <w:spacing w:val="0"/>
    </w:rPr>
  </w:style>
  <w:style w:type="paragraph" w:customStyle="1" w:styleId="Nameditemlist">
    <w:name w:val="Named item list"/>
    <w:basedOn w:val="BodyText"/>
    <w:qFormat/>
    <w:rsid w:val="00830C70"/>
    <w:pPr>
      <w:tabs>
        <w:tab w:val="left" w:pos="2835"/>
      </w:tabs>
      <w:ind w:left="2835" w:hanging="2835"/>
    </w:pPr>
  </w:style>
  <w:style w:type="paragraph" w:customStyle="1" w:styleId="BodyTextnopadding">
    <w:name w:val="Body Text no padding"/>
    <w:basedOn w:val="BodyText"/>
    <w:qFormat/>
    <w:rsid w:val="00830C70"/>
    <w:pPr>
      <w:spacing w:before="0" w:after="0"/>
    </w:pPr>
  </w:style>
  <w:style w:type="paragraph" w:customStyle="1" w:styleId="BodyTextBold">
    <w:name w:val="Body Text Bold"/>
    <w:basedOn w:val="BodyText"/>
    <w:qFormat/>
    <w:rsid w:val="00830C70"/>
    <w:rPr>
      <w:b/>
    </w:rPr>
  </w:style>
  <w:style w:type="character" w:styleId="Hyperlink">
    <w:name w:val="Hyperlink"/>
    <w:basedOn w:val="DefaultParagraphFont"/>
    <w:uiPriority w:val="99"/>
    <w:unhideWhenUsed/>
    <w:rsid w:val="00DB019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Pages>
  <Words>1071</Words>
  <Characters>7222</Characters>
  <Application>Microsoft Office Word</Application>
  <DocSecurity>0</DocSecurity>
  <Lines>249</Lines>
  <Paragraphs>138</Paragraphs>
  <ScaleCrop>false</ScaleCrop>
  <Company>Author-it Software Corporation Ltd.</Company>
  <LinksUpToDate>false</LinksUpToDate>
  <CharactersWithSpaces>8155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UEPOPS130 Respond to a critical incident</dc:title>
  <dc:subject>Approved</dc:subject>
  <dc:creator>Powering Skills Organisation</dc:creator>
  <cp:keywords>Release: 1</cp:keywords>
  <dc:description>Review Date: 12 April 2008</dc:description>
  <cp:lastModifiedBy>HSD_TPCMSd.prod</cp:lastModifiedBy>
  <cp:revision>3</cp:revision>
  <dcterms:created xsi:type="dcterms:W3CDTF">2025-03-01T18:17:00Z</dcterms:created>
  <dcterms:modified xsi:type="dcterms:W3CDTF">2025-03-01T18:17:00Z</dcterms:modified>
</cp:coreProperties>
</file>