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80E" w:rsidP="00EB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UEPOPS114 Operate H.V. condition changing apparatus</w:t>
      </w:r>
      <w:r>
        <w:fldChar w:fldCharType="end"/>
      </w:r>
    </w:p>
    <w:p w:rsidR="00EB680E" w:rsidP="00EB680E">
      <w:pPr>
        <w:pStyle w:val="Version"/>
        <w:sectPr w:rsidSect="005F3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B40" w:rsidP="005F3B40">
      <w:pPr>
        <w:pStyle w:val="SuperHeading"/>
      </w:pPr>
      <w:r w:rsidRPr="005F3B40">
        <w:t>UEPOPS114 Operate H.V. condition changing apparatus</w:t>
      </w:r>
    </w:p>
    <w:p w:rsidR="00000000" w:rsidRPr="005F3B40" w:rsidP="005F3B40">
      <w:pPr>
        <w:pStyle w:val="Heading1"/>
      </w:pPr>
      <w:bookmarkStart w:id="1" w:name="O_1193279"/>
      <w:bookmarkEnd w:id="1"/>
      <w:r w:rsidRPr="005F3B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2" w:name="O_1193280"/>
      <w:bookmarkEnd w:id="2"/>
      <w:r w:rsidRPr="005F3B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This unit involves the skills and knowle</w:t>
            </w:r>
            <w:r w:rsidRPr="005F3B40">
              <w:t>dge required to undertake the operation of all high voltage (H.V.) condition changing apparatus.</w:t>
            </w:r>
          </w:p>
          <w:p w:rsidR="00000000" w:rsidRPr="005F3B40" w:rsidP="005F3B40">
            <w:pPr>
              <w:pStyle w:val="BodyText"/>
            </w:pPr>
            <w:r w:rsidRPr="005F3B40">
              <w:t>H.V. condition changing apparatus can include on- and off-load transformer tap changers, capacitor banks, rotary converters, voltage regulators, reactors, curr</w:t>
            </w:r>
            <w:r w:rsidRPr="005F3B40">
              <w:t xml:space="preserve">ent limiters, rectifiers and transformers. H.V. changing apparatus works within system parameters such as voltage, current, frequency, volt ampere reactive load and equipment capability. </w:t>
            </w:r>
          </w:p>
          <w:p w:rsidR="00000000" w:rsidRPr="005F3B40" w:rsidP="005F3B40">
            <w:pPr>
              <w:pStyle w:val="BodyText"/>
            </w:pPr>
            <w:r w:rsidRPr="005F3B40">
              <w:t>Competency in this unit requires the ability to plan and prepare wor</w:t>
            </w:r>
            <w:r w:rsidRPr="005F3B40">
              <w:t>k, operate H.V. condition change apparatus and report on H.V. condition during operation. Individuals will, in general, work under supervision, in a power generation facility as an operator.</w:t>
            </w:r>
          </w:p>
          <w:p w:rsidR="00000000" w:rsidRPr="005F3B40" w:rsidP="005F3B40">
            <w:pPr>
              <w:pStyle w:val="BodyText"/>
            </w:pPr>
            <w:r w:rsidRPr="005F3B40">
              <w:t>Power generation plant operators are trained and authorised to is</w:t>
            </w:r>
            <w:r w:rsidRPr="005F3B40">
              <w:t>olate, prepare plant and issue permits to work.</w:t>
            </w:r>
          </w:p>
          <w:p w:rsidR="00000000" w:rsidRPr="005F3B40" w:rsidP="005F3B40">
            <w:pPr>
              <w:pStyle w:val="BodyText"/>
            </w:pPr>
            <w:r w:rsidRPr="005F3B40">
              <w:t>No licensing, legislative or certification requirements apply to this unit at the time of publication.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3" w:name="O_1193281"/>
      <w:bookmarkEnd w:id="3"/>
      <w:r w:rsidRPr="005F3B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There are no prerequisite units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4" w:name="O_1193282"/>
      <w:bookmarkEnd w:id="4"/>
      <w:r w:rsidRPr="005F3B40">
        <w:t>Competency F</w:t>
      </w:r>
      <w:r w:rsidRPr="005F3B40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Operations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5" w:name="O_1193283"/>
      <w:bookmarkEnd w:id="5"/>
      <w:r w:rsidRPr="005F3B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Electricity generation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6" w:name="O_1193284"/>
      <w:bookmarkEnd w:id="6"/>
      <w:r w:rsidRPr="005F3B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PERFORMANCE CRITERIA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Performance criteria describe the performance needed to demonstrate achievement of the element.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Prepare</w:t>
            </w:r>
            <w:r w:rsidRPr="005F3B40">
              <w:t xml:space="preserve"> </w:t>
            </w:r>
            <w:r w:rsidRPr="005F3B40">
              <w:rPr>
                <w:rStyle w:val="SpecialBold"/>
              </w:rPr>
              <w:t>to operate H.V. condition changing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Work health and safety (WHS)/occupational health and safety (OHS) regulations, legislative requirem</w:t>
            </w:r>
            <w:r w:rsidRPr="005F3B40">
              <w:t>ents, codes of practice, manufacturers’ recommendations and specifications, environmental requirements and workplace procedures are identified, applied and monitored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Location of H.V. condition changing apparatus is determined from plans, drawings, s</w:t>
            </w:r>
            <w:r w:rsidRPr="005F3B40">
              <w:t>ystem diagrams and maps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for operation is identified and confirmed with relevant personnel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Condition and status of H.V. conditi</w:t>
            </w:r>
            <w:r w:rsidRPr="005F3B40">
              <w:t xml:space="preserve">on changing apparatus is determined visually in accordance with workplace procedures 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is prepared for operation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Conduct H.V. condition changing apparatus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Rele</w:t>
            </w:r>
            <w:r w:rsidRPr="005F3B40">
              <w:t>vant personnel are advised of progress during H.V. condition changing apparatus operation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Conditions are evaluated prior to H.V. changing apparatus operation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is operated in accordance with manufacturers</w:t>
            </w:r>
            <w:r>
              <w:t>’</w:t>
            </w:r>
            <w:r w:rsidRPr="005F3B40">
              <w:t xml:space="preserve"> recommendations and specifications, and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is controlled and adjusted to achieve outcomes in accordance with workplac</w:t>
            </w:r>
            <w:r w:rsidRPr="005F3B40">
              <w:t xml:space="preserve">e procedures 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is examined for operation in accordance with manufacturers</w:t>
            </w:r>
            <w:r>
              <w:t>’</w:t>
            </w:r>
            <w:r w:rsidRPr="005F3B40">
              <w:t xml:space="preserve"> recommendations and specifications, and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Conditions are re-evaluated to confirm H.V. condition changing apparatus outcome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H.V. condition changing apparatus is secured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 xml:space="preserve">Status of H.V. condition changing apparatus is confirmed in accordance with workplace procedures 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t>Equipment problems, movements and status are reported in accordance with workplace procedures</w:t>
            </w:r>
          </w:p>
        </w:tc>
      </w:tr>
      <w:tr w:rsidTr="005F3B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40">
            <w:pPr>
              <w:pStyle w:val="BodyText"/>
              <w:rPr>
                <w:lang w:val="en-NZ"/>
              </w:rPr>
            </w:pPr>
            <w:r w:rsidRPr="005F3B4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Documentation is updated in</w:t>
            </w:r>
            <w:r w:rsidRPr="005F3B40">
              <w:t xml:space="preserve"> accordance with workplace procedures 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7" w:name="O_1193285"/>
      <w:bookmarkEnd w:id="7"/>
      <w:r w:rsidRPr="005F3B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Foundation skills essential to performance are explicit in the performance criteria of this unit of competency.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8" w:name="O_1193286"/>
      <w:bookmarkEnd w:id="8"/>
      <w:r w:rsidRPr="005F3B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Range is restricted to essential operating conditions and any other variables essential to the work environment.</w:t>
            </w:r>
          </w:p>
          <w:p w:rsidR="00000000" w:rsidRPr="005F3B40" w:rsidP="005F3B40">
            <w:pPr>
              <w:pStyle w:val="BodyText"/>
            </w:pPr>
            <w:r w:rsidRPr="005F3B40">
              <w:t>Non-essential conditions may be found in the UEP Electricity Supply Industry – Generation Sector Training Package Companion Volume Implementati</w:t>
            </w:r>
            <w:r w:rsidRPr="005F3B40">
              <w:t>on Guide.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9" w:name="O_1193287"/>
      <w:bookmarkEnd w:id="9"/>
      <w:r w:rsidRPr="005F3B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40" w:rsidP="005F3B40">
            <w:pPr>
              <w:pStyle w:val="BodyText"/>
            </w:pPr>
            <w:r w:rsidRPr="005F3B40">
              <w:t>This unit replaces and is equivalent to UEPOPS351 Operate H.V. condition changing apparatus.</w:t>
            </w:r>
          </w:p>
        </w:tc>
      </w:tr>
    </w:tbl>
    <w:p w:rsidR="00000000" w:rsidRPr="005F3B40" w:rsidP="005F3B40">
      <w:pPr>
        <w:pStyle w:val="NoPaddingFontSize1"/>
      </w:pPr>
    </w:p>
    <w:p w:rsidR="00000000" w:rsidRPr="005F3B40" w:rsidP="005F3B40">
      <w:pPr>
        <w:pStyle w:val="AllowPageBreak"/>
      </w:pPr>
    </w:p>
    <w:p w:rsidR="00000000" w:rsidRPr="005F3B40" w:rsidP="005F3B40">
      <w:pPr>
        <w:pStyle w:val="Heading1"/>
      </w:pPr>
      <w:bookmarkStart w:id="10" w:name="O_1193294"/>
      <w:bookmarkEnd w:id="10"/>
      <w:r w:rsidRPr="005F3B40">
        <w:t>Links</w:t>
      </w:r>
    </w:p>
    <w:p w:rsidR="00000000" w:rsidRPr="005F3B40" w:rsidP="00EB680E">
      <w:pPr>
        <w:pStyle w:val="BodyText"/>
      </w:pPr>
      <w:r w:rsidRPr="005F3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C103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F3B40" w:rsidP="005F3B40"/>
    <w:sectPr w:rsidSect="005F3B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40" w:rsidRPr="00EB680E" w:rsidP="00EB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0E" w:rsidP="005F3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80E" w:rsidP="005F3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680E" w:rsidP="005F3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B40" w:rsidRPr="00EB680E" w:rsidP="00EB6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0E" w:rsidRPr="002D2AF8" w:rsidP="005F3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UEPOPS114 Operate H.V. condition changing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680E" w:rsidP="005F3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B40"/>
  </w:style>
  <w:style w:type="character" w:customStyle="1" w:styleId="Heading1Char">
    <w:name w:val="Heading 1 Char"/>
    <w:basedOn w:val="DefaultParagraphFont"/>
    <w:link w:val="Heading1"/>
    <w:rsid w:val="005F3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B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3B40"/>
    <w:rPr>
      <w:b/>
      <w:spacing w:val="0"/>
    </w:rPr>
  </w:style>
  <w:style w:type="paragraph" w:customStyle="1" w:styleId="SuperHeading">
    <w:name w:val="SuperHeading"/>
    <w:basedOn w:val="Normal"/>
    <w:rsid w:val="005F3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B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B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B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B40"/>
    <w:rPr>
      <w:i/>
    </w:rPr>
  </w:style>
  <w:style w:type="paragraph" w:styleId="Caption">
    <w:name w:val="caption"/>
    <w:basedOn w:val="BodyText"/>
    <w:next w:val="Normal"/>
    <w:qFormat/>
    <w:rsid w:val="005F3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B40"/>
  </w:style>
  <w:style w:type="paragraph" w:styleId="TableofFigures">
    <w:name w:val="table of figures"/>
    <w:basedOn w:val="Normal"/>
    <w:next w:val="Normal"/>
    <w:semiHidden/>
    <w:rsid w:val="005F3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B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3B40"/>
    <w:rPr>
      <w:rFonts w:ascii="Wingdings" w:hAnsi="Wingdings"/>
    </w:rPr>
  </w:style>
  <w:style w:type="paragraph" w:customStyle="1" w:styleId="TableHeading">
    <w:name w:val="Table Heading"/>
    <w:basedOn w:val="HeadingBase"/>
    <w:rsid w:val="005F3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B40"/>
    <w:rPr>
      <w:color w:val="0033CC"/>
      <w:u w:val="none"/>
    </w:rPr>
  </w:style>
  <w:style w:type="paragraph" w:customStyle="1" w:styleId="BodyTextRight">
    <w:name w:val="Body Text Right"/>
    <w:basedOn w:val="BodyText"/>
    <w:rsid w:val="005F3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B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B40"/>
    <w:rPr>
      <w:sz w:val="32"/>
    </w:rPr>
  </w:style>
  <w:style w:type="paragraph" w:customStyle="1" w:styleId="HeadingProcedure">
    <w:name w:val="Heading Procedure"/>
    <w:basedOn w:val="HeadingBase"/>
    <w:next w:val="Normal"/>
    <w:rsid w:val="005F3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B40"/>
    <w:pPr>
      <w:spacing w:before="60" w:after="60"/>
    </w:pPr>
  </w:style>
  <w:style w:type="paragraph" w:styleId="ListContinue">
    <w:name w:val="List Continue"/>
    <w:basedOn w:val="List"/>
    <w:rsid w:val="005F3B40"/>
    <w:pPr>
      <w:ind w:firstLine="0"/>
    </w:pPr>
  </w:style>
  <w:style w:type="paragraph" w:customStyle="1" w:styleId="ListNote">
    <w:name w:val="List Note"/>
    <w:basedOn w:val="List"/>
    <w:rsid w:val="005F3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B40"/>
    <w:rPr>
      <w:rFonts w:ascii="Courier New" w:hAnsi="Courier New"/>
    </w:rPr>
  </w:style>
  <w:style w:type="paragraph" w:customStyle="1" w:styleId="NoteBullet">
    <w:name w:val="Note Bullet"/>
    <w:basedOn w:val="Note"/>
    <w:rsid w:val="005F3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B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3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B40"/>
    <w:rPr>
      <w:b/>
      <w:smallCaps/>
    </w:rPr>
  </w:style>
  <w:style w:type="paragraph" w:customStyle="1" w:styleId="TableListNumber">
    <w:name w:val="Table List Number"/>
    <w:basedOn w:val="ListNumber"/>
    <w:rsid w:val="005F3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B40"/>
    <w:pPr>
      <w:numPr>
        <w:numId w:val="7"/>
      </w:numPr>
    </w:pPr>
  </w:style>
  <w:style w:type="paragraph" w:customStyle="1" w:styleId="ListAlpha2">
    <w:name w:val="List Alpha 2"/>
    <w:basedOn w:val="List2"/>
    <w:rsid w:val="005F3B40"/>
    <w:pPr>
      <w:numPr>
        <w:numId w:val="6"/>
      </w:numPr>
    </w:pPr>
  </w:style>
  <w:style w:type="paragraph" w:styleId="List2">
    <w:name w:val="List 2"/>
    <w:basedOn w:val="BodyText"/>
    <w:rsid w:val="005F3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B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B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3B40"/>
    <w:pPr>
      <w:numPr>
        <w:numId w:val="2"/>
      </w:numPr>
    </w:pPr>
  </w:style>
  <w:style w:type="paragraph" w:styleId="ListContinue2">
    <w:name w:val="List Continue 2"/>
    <w:basedOn w:val="List2"/>
    <w:rsid w:val="005F3B40"/>
    <w:pPr>
      <w:ind w:firstLine="0"/>
    </w:pPr>
  </w:style>
  <w:style w:type="paragraph" w:styleId="ListContinue3">
    <w:name w:val="List Continue 3"/>
    <w:basedOn w:val="List3"/>
    <w:rsid w:val="005F3B40"/>
    <w:pPr>
      <w:ind w:left="1021" w:firstLine="0"/>
    </w:pPr>
  </w:style>
  <w:style w:type="paragraph" w:styleId="ListContinue4">
    <w:name w:val="List Continue 4"/>
    <w:basedOn w:val="List4"/>
    <w:rsid w:val="005F3B40"/>
    <w:pPr>
      <w:ind w:firstLine="0"/>
    </w:pPr>
  </w:style>
  <w:style w:type="paragraph" w:styleId="ListContinue5">
    <w:name w:val="List Continue 5"/>
    <w:basedOn w:val="List5"/>
    <w:rsid w:val="005F3B40"/>
    <w:pPr>
      <w:ind w:firstLine="0"/>
    </w:pPr>
  </w:style>
  <w:style w:type="paragraph" w:styleId="ListNumber3">
    <w:name w:val="List Number 3"/>
    <w:basedOn w:val="List3"/>
    <w:rsid w:val="005F3B40"/>
    <w:pPr>
      <w:numPr>
        <w:numId w:val="3"/>
      </w:numPr>
    </w:pPr>
  </w:style>
  <w:style w:type="paragraph" w:styleId="ListNumber4">
    <w:name w:val="List Number 4"/>
    <w:basedOn w:val="List4"/>
    <w:rsid w:val="005F3B40"/>
    <w:pPr>
      <w:numPr>
        <w:numId w:val="4"/>
      </w:numPr>
    </w:pPr>
  </w:style>
  <w:style w:type="paragraph" w:styleId="ListNumber5">
    <w:name w:val="List Number 5"/>
    <w:basedOn w:val="List5"/>
    <w:rsid w:val="005F3B40"/>
    <w:pPr>
      <w:numPr>
        <w:numId w:val="5"/>
      </w:numPr>
    </w:pPr>
  </w:style>
  <w:style w:type="paragraph" w:styleId="BlockText">
    <w:name w:val="Block Text"/>
    <w:basedOn w:val="Normal"/>
    <w:rsid w:val="005F3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B40"/>
    <w:rPr>
      <w:sz w:val="16"/>
      <w:vertAlign w:val="superscript"/>
    </w:rPr>
  </w:style>
  <w:style w:type="character" w:customStyle="1" w:styleId="Symbols">
    <w:name w:val="Symbols"/>
    <w:basedOn w:val="DefaultParagraphFont"/>
    <w:rsid w:val="005F3B40"/>
    <w:rPr>
      <w:rFonts w:ascii="Symbol" w:hAnsi="Symbol"/>
    </w:rPr>
  </w:style>
  <w:style w:type="character" w:customStyle="1" w:styleId="MenuOptions">
    <w:name w:val="Menu Options"/>
    <w:basedOn w:val="DefaultParagraphFont"/>
    <w:rsid w:val="005F3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B40"/>
    <w:rPr>
      <w:b/>
    </w:rPr>
  </w:style>
  <w:style w:type="character" w:customStyle="1" w:styleId="Underlined">
    <w:name w:val="Underlined"/>
    <w:basedOn w:val="DefaultParagraphFont"/>
    <w:rsid w:val="005F3B40"/>
    <w:rPr>
      <w:u w:val="single"/>
    </w:rPr>
  </w:style>
  <w:style w:type="paragraph" w:customStyle="1" w:styleId="TableBodyTextRight">
    <w:name w:val="Table Body Text Right"/>
    <w:basedOn w:val="TableBodyText"/>
    <w:rsid w:val="005F3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B40"/>
    <w:rPr>
      <w:sz w:val="18"/>
    </w:rPr>
  </w:style>
  <w:style w:type="paragraph" w:customStyle="1" w:styleId="BodySmallRight">
    <w:name w:val="Body Small Right"/>
    <w:basedOn w:val="BodyTextRight"/>
    <w:rsid w:val="005F3B40"/>
    <w:rPr>
      <w:sz w:val="18"/>
      <w:szCs w:val="18"/>
    </w:rPr>
  </w:style>
  <w:style w:type="paragraph" w:customStyle="1" w:styleId="MarginEdition">
    <w:name w:val="Margin Edition"/>
    <w:basedOn w:val="MarginNote"/>
    <w:rsid w:val="005F3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B40"/>
    <w:rPr>
      <w:sz w:val="2"/>
      <w:szCs w:val="2"/>
    </w:rPr>
  </w:style>
  <w:style w:type="character" w:customStyle="1" w:styleId="Small">
    <w:name w:val="Small"/>
    <w:basedOn w:val="DefaultParagraphFont"/>
    <w:rsid w:val="005F3B40"/>
    <w:rPr>
      <w:sz w:val="16"/>
    </w:rPr>
  </w:style>
  <w:style w:type="paragraph" w:customStyle="1" w:styleId="WideTable">
    <w:name w:val="Wide Table"/>
    <w:basedOn w:val="Normal"/>
    <w:rsid w:val="005F3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B40"/>
  </w:style>
  <w:style w:type="paragraph" w:styleId="Quote">
    <w:name w:val="Quote"/>
    <w:basedOn w:val="Heading1"/>
    <w:link w:val="QuoteChar"/>
    <w:qFormat/>
    <w:rsid w:val="005F3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B40"/>
    <w:pPr>
      <w:pageBreakBefore/>
    </w:pPr>
  </w:style>
  <w:style w:type="paragraph" w:customStyle="1" w:styleId="Border">
    <w:name w:val="Border"/>
    <w:basedOn w:val="Normal"/>
    <w:qFormat/>
    <w:rsid w:val="005F3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B40"/>
    <w:rPr>
      <w:u w:val="single"/>
    </w:rPr>
  </w:style>
  <w:style w:type="character" w:customStyle="1" w:styleId="BoldandItalics">
    <w:name w:val="Bold and Italics"/>
    <w:qFormat/>
    <w:rsid w:val="005F3B40"/>
    <w:rPr>
      <w:b/>
      <w:i/>
      <w:u w:val="none"/>
    </w:rPr>
  </w:style>
  <w:style w:type="paragraph" w:styleId="BalloonText">
    <w:name w:val="Balloon Text"/>
    <w:basedOn w:val="Normal"/>
    <w:link w:val="BalloonTextChar"/>
    <w:rsid w:val="005F3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B40"/>
    <w:pPr>
      <w:spacing w:before="0" w:after="0"/>
    </w:pPr>
  </w:style>
  <w:style w:type="paragraph" w:customStyle="1" w:styleId="BodyTextBold">
    <w:name w:val="Body Text Bold"/>
    <w:basedOn w:val="BodyText"/>
    <w:qFormat/>
    <w:rsid w:val="005F3B40"/>
    <w:rPr>
      <w:b/>
    </w:rPr>
  </w:style>
  <w:style w:type="character" w:styleId="Hyperlink">
    <w:name w:val="Hyperlink"/>
    <w:basedOn w:val="DefaultParagraphFont"/>
    <w:uiPriority w:val="99"/>
    <w:unhideWhenUsed/>
    <w:rsid w:val="00EB6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3995</Characters>
  <Application>Microsoft Office Word</Application>
  <DocSecurity>0</DocSecurity>
  <Lines>173</Lines>
  <Paragraphs>80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UEPOPS114 Operate H.V. condition changing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