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C7C" w:rsidP="00C87C7C">
      <w:pPr>
        <w:pStyle w:val="Title"/>
      </w:pPr>
      <w:r>
        <w:fldChar w:fldCharType="begin"/>
      </w:r>
      <w:r>
        <w:instrText xml:space="preserve"> TITLE   \* MERGEFORMAT </w:instrText>
      </w:r>
      <w:r>
        <w:fldChar w:fldCharType="separate"/>
      </w:r>
      <w:r>
        <w:t>UEPOPS093 Operate and monitor flue gas (NOx) mitigation systems</w:t>
      </w:r>
      <w:r>
        <w:fldChar w:fldCharType="end"/>
      </w:r>
    </w:p>
    <w:p w:rsidR="00C87C7C" w:rsidP="00C87C7C">
      <w:pPr>
        <w:pStyle w:val="Version"/>
        <w:sectPr w:rsidSect="00804B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4B2F" w:rsidP="00804B2F">
      <w:pPr>
        <w:pStyle w:val="SuperHeading"/>
      </w:pPr>
      <w:r w:rsidRPr="00804B2F">
        <w:t>UEPOPS093 Operate and monitor flue gas (NOx) mitigation systems</w:t>
      </w:r>
    </w:p>
    <w:p w:rsidR="00000000" w:rsidRPr="00804B2F" w:rsidP="00804B2F">
      <w:pPr>
        <w:pStyle w:val="Heading1"/>
      </w:pPr>
      <w:bookmarkStart w:id="1" w:name="O_1192666"/>
      <w:bookmarkEnd w:id="1"/>
      <w:r w:rsidRPr="00804B2F">
        <w:t>Modification History</w:t>
      </w:r>
    </w:p>
    <w:tbl>
      <w:tblPr>
        <w:tblW w:w="9497" w:type="dxa"/>
        <w:tblLayout w:type="fixed"/>
        <w:tblCellMar>
          <w:left w:w="62" w:type="dxa"/>
          <w:right w:w="62" w:type="dxa"/>
        </w:tblCellMar>
        <w:tblLook w:val="0000"/>
      </w:tblPr>
      <w:tblGrid>
        <w:gridCol w:w="9497"/>
      </w:tblGrid>
      <w:tr w:rsidTr="00804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t>Release 1. This is the first release of this unit of competency in the UEP Electricity Supply Industry – Generation Sector Training Package Release 2.0.</w:t>
            </w:r>
          </w:p>
        </w:tc>
      </w:tr>
    </w:tbl>
    <w:p w:rsidR="00000000" w:rsidRPr="00804B2F" w:rsidP="00804B2F">
      <w:pPr>
        <w:pStyle w:val="NoPaddingFontSize1"/>
      </w:pPr>
    </w:p>
    <w:p w:rsidR="00000000" w:rsidRPr="00804B2F" w:rsidP="00804B2F">
      <w:pPr>
        <w:pStyle w:val="AllowPageBreak"/>
      </w:pPr>
    </w:p>
    <w:p w:rsidR="00000000" w:rsidRPr="00804B2F" w:rsidP="00804B2F">
      <w:pPr>
        <w:pStyle w:val="Heading1"/>
      </w:pPr>
      <w:bookmarkStart w:id="2" w:name="O_1192667"/>
      <w:bookmarkEnd w:id="2"/>
      <w:r w:rsidRPr="00804B2F">
        <w:t>Application</w:t>
      </w:r>
    </w:p>
    <w:tbl>
      <w:tblPr>
        <w:tblW w:w="9497" w:type="dxa"/>
        <w:tblLayout w:type="fixed"/>
        <w:tblCellMar>
          <w:left w:w="62" w:type="dxa"/>
          <w:right w:w="62" w:type="dxa"/>
        </w:tblCellMar>
        <w:tblLook w:val="0000"/>
      </w:tblPr>
      <w:tblGrid>
        <w:gridCol w:w="9497"/>
      </w:tblGrid>
      <w:tr w:rsidTr="00804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t>This unit involves the skills and knowledge required for the operation, inspection and monitoring of flue gas – Nitrogen Oxides (NOx) mitigation systems. NOx mitigation systems are used by coal, gas, oil and biomass fired,</w:t>
            </w:r>
            <w:r w:rsidRPr="00804B2F">
              <w:t xml:space="preserve"> oil and gas fired gas turbines and combined cycle power generation facilities. </w:t>
            </w:r>
          </w:p>
          <w:p w:rsidR="00000000" w:rsidRPr="00804B2F" w:rsidP="00804B2F">
            <w:pPr>
              <w:pStyle w:val="BodyText"/>
            </w:pPr>
            <w:r w:rsidRPr="00804B2F">
              <w:t>NOx are poisonous gases derived from nitrogen and oxygen combustion under high pressure and temperatures. NOx is composed of nitric oxide (NO), and a smaller percentage of mor</w:t>
            </w:r>
            <w:r w:rsidRPr="00804B2F">
              <w:t>e poisonous nitrogen dioxide (NO2).</w:t>
            </w:r>
          </w:p>
          <w:p w:rsidR="00000000" w:rsidRPr="00804B2F" w:rsidP="00804B2F">
            <w:pPr>
              <w:pStyle w:val="BodyText"/>
            </w:pPr>
            <w:r w:rsidRPr="00804B2F">
              <w:t>Competency in this unit requires the ability to plan work, carry out operation of NOx mitigation system, test NOx mitigation operation, analyse NOx mitigation system faults, inspect and monitor NOx mitigation system, and</w:t>
            </w:r>
            <w:r w:rsidRPr="00804B2F">
              <w:t xml:space="preserve"> complete all documentation. Individuals will, in general, work under supervision, in a power generation facility as an operator.</w:t>
            </w:r>
          </w:p>
          <w:p w:rsidR="00000000" w:rsidRPr="00804B2F" w:rsidP="00804B2F">
            <w:pPr>
              <w:pStyle w:val="BodyText"/>
            </w:pPr>
            <w:r w:rsidRPr="00804B2F">
              <w:t>Power generation plant operators are trained and authorised to isolate, prepare plant and issue permits.</w:t>
            </w:r>
          </w:p>
          <w:p w:rsidR="00000000" w:rsidRPr="00804B2F" w:rsidP="00804B2F">
            <w:pPr>
              <w:pStyle w:val="BodyText"/>
            </w:pPr>
            <w:r w:rsidRPr="00804B2F">
              <w:t>No licensing, legisla</w:t>
            </w:r>
            <w:r w:rsidRPr="00804B2F">
              <w:t>tive or certification requirements apply to this unit at the time of publication.</w:t>
            </w:r>
          </w:p>
        </w:tc>
      </w:tr>
    </w:tbl>
    <w:p w:rsidR="00000000" w:rsidRPr="00804B2F" w:rsidP="00804B2F">
      <w:pPr>
        <w:pStyle w:val="NoPaddingFontSize1"/>
      </w:pPr>
    </w:p>
    <w:p w:rsidR="00000000" w:rsidRPr="00804B2F" w:rsidP="00804B2F">
      <w:pPr>
        <w:pStyle w:val="AllowPageBreak"/>
      </w:pPr>
    </w:p>
    <w:p w:rsidR="00000000" w:rsidRPr="00804B2F" w:rsidP="00804B2F">
      <w:pPr>
        <w:pStyle w:val="Heading1"/>
      </w:pPr>
      <w:bookmarkStart w:id="3" w:name="O_1192668"/>
      <w:bookmarkEnd w:id="3"/>
      <w:r w:rsidRPr="00804B2F">
        <w:t>Pre-requisite Unit</w:t>
      </w:r>
    </w:p>
    <w:tbl>
      <w:tblPr>
        <w:tblW w:w="9497" w:type="dxa"/>
        <w:tblLayout w:type="fixed"/>
        <w:tblCellMar>
          <w:left w:w="62" w:type="dxa"/>
          <w:right w:w="62" w:type="dxa"/>
        </w:tblCellMar>
        <w:tblLook w:val="0000"/>
      </w:tblPr>
      <w:tblGrid>
        <w:gridCol w:w="9497"/>
      </w:tblGrid>
      <w:tr w:rsidTr="00804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t>There are no prerequisite units</w:t>
            </w:r>
          </w:p>
        </w:tc>
      </w:tr>
    </w:tbl>
    <w:p w:rsidR="00000000" w:rsidRPr="00804B2F" w:rsidP="00804B2F">
      <w:pPr>
        <w:pStyle w:val="NoPaddingFontSize1"/>
      </w:pPr>
    </w:p>
    <w:p w:rsidR="00000000" w:rsidRPr="00804B2F" w:rsidP="00804B2F">
      <w:pPr>
        <w:pStyle w:val="AllowPageBreak"/>
      </w:pPr>
    </w:p>
    <w:p w:rsidR="00000000" w:rsidRPr="00804B2F" w:rsidP="00804B2F">
      <w:pPr>
        <w:pStyle w:val="Heading1"/>
      </w:pPr>
      <w:bookmarkStart w:id="4" w:name="O_1192669"/>
      <w:bookmarkEnd w:id="4"/>
      <w:r w:rsidRPr="00804B2F">
        <w:t>Competency Field</w:t>
      </w:r>
    </w:p>
    <w:tbl>
      <w:tblPr>
        <w:tblW w:w="9497" w:type="dxa"/>
        <w:tblLayout w:type="fixed"/>
        <w:tblCellMar>
          <w:left w:w="62" w:type="dxa"/>
          <w:right w:w="62" w:type="dxa"/>
        </w:tblCellMar>
        <w:tblLook w:val="0000"/>
      </w:tblPr>
      <w:tblGrid>
        <w:gridCol w:w="9497"/>
      </w:tblGrid>
      <w:tr w:rsidTr="00804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t>Operations</w:t>
            </w:r>
          </w:p>
        </w:tc>
      </w:tr>
    </w:tbl>
    <w:p w:rsidR="00000000" w:rsidRPr="00804B2F" w:rsidP="00804B2F">
      <w:pPr>
        <w:pStyle w:val="NoPaddingFontSize1"/>
      </w:pPr>
    </w:p>
    <w:p w:rsidR="00000000" w:rsidRPr="00804B2F" w:rsidP="00804B2F">
      <w:pPr>
        <w:pStyle w:val="AllowPageBreak"/>
      </w:pPr>
    </w:p>
    <w:p w:rsidR="00000000" w:rsidRPr="00804B2F" w:rsidP="00804B2F">
      <w:pPr>
        <w:pStyle w:val="Heading1"/>
      </w:pPr>
      <w:bookmarkStart w:id="5" w:name="O_1192670"/>
      <w:bookmarkEnd w:id="5"/>
      <w:r w:rsidRPr="00804B2F">
        <w:t>Unit Sector</w:t>
      </w:r>
    </w:p>
    <w:tbl>
      <w:tblPr>
        <w:tblW w:w="9497" w:type="dxa"/>
        <w:tblLayout w:type="fixed"/>
        <w:tblCellMar>
          <w:left w:w="62" w:type="dxa"/>
          <w:right w:w="62" w:type="dxa"/>
        </w:tblCellMar>
        <w:tblLook w:val="0000"/>
      </w:tblPr>
      <w:tblGrid>
        <w:gridCol w:w="9497"/>
      </w:tblGrid>
      <w:tr w:rsidTr="00804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t>Electricity generation</w:t>
            </w:r>
          </w:p>
        </w:tc>
      </w:tr>
    </w:tbl>
    <w:p w:rsidR="00000000" w:rsidRPr="00804B2F" w:rsidP="00804B2F">
      <w:pPr>
        <w:pStyle w:val="NoPaddingFontSize1"/>
      </w:pPr>
    </w:p>
    <w:p w:rsidR="00000000" w:rsidRPr="00804B2F" w:rsidP="00804B2F">
      <w:pPr>
        <w:pStyle w:val="AllowPageBreak"/>
      </w:pPr>
    </w:p>
    <w:p w:rsidR="00000000" w:rsidRPr="00804B2F" w:rsidP="00804B2F">
      <w:pPr>
        <w:pStyle w:val="Heading1"/>
      </w:pPr>
      <w:bookmarkStart w:id="6" w:name="O_1192671"/>
      <w:bookmarkEnd w:id="6"/>
      <w:r w:rsidRPr="00804B2F">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804B2F">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rPr>
                <w:rStyle w:val="SpecialBold"/>
              </w:rPr>
              <w:t>PERFORMANCE CRITERIA</w:t>
            </w:r>
          </w:p>
        </w:tc>
      </w:tr>
      <w:tr w:rsidTr="00804B2F">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Performance criteria describe the performance needed to demonstrate achievement of the element.</w:t>
            </w:r>
          </w:p>
        </w:tc>
      </w:tr>
      <w:tr w:rsidTr="00804B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Work health and safety (WHS)/occupational health and safety (OHS) regulations, legislative requirements, codes of practice, manufacturers’ recommendations and specifications, environmental requirements and workplace procedures are</w:t>
            </w:r>
            <w:r w:rsidRPr="00804B2F">
              <w:t xml:space="preserve"> identified, applied and monitored</w:t>
            </w:r>
          </w:p>
        </w:tc>
      </w:tr>
      <w:tr w:rsidTr="00804B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04B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Work requirements, including permits, are identified from relevant personnel and documentation in accordance with workplace procedures</w:t>
            </w:r>
          </w:p>
        </w:tc>
      </w:tr>
      <w:tr w:rsidTr="00804B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04B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Inspection, preoperational checks and preparations for NOx mitigation service are carried out in accordance with manufacturers</w:t>
            </w:r>
            <w:r>
              <w:t>’</w:t>
            </w:r>
            <w:r w:rsidRPr="00804B2F">
              <w:t xml:space="preserve"> recommendations and specifications, and workplace procedures</w:t>
            </w:r>
          </w:p>
        </w:tc>
      </w:tr>
      <w:tr w:rsidTr="00804B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04B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NOx mitigation plant operational prerequisites are establish</w:t>
            </w:r>
            <w:r w:rsidRPr="00804B2F">
              <w:t>ed in accordance with manufacturers</w:t>
            </w:r>
            <w:r>
              <w:t>’</w:t>
            </w:r>
            <w:r w:rsidRPr="00804B2F">
              <w:t xml:space="preserve"> recommendations and specifications, and workplace procedures</w:t>
            </w:r>
          </w:p>
        </w:tc>
      </w:tr>
      <w:tr w:rsidTr="00804B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04B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Sequence for recommissioning of NOx mitigation plant is determined to suit existing circumstances in accordance with workplace procedures</w:t>
            </w:r>
          </w:p>
        </w:tc>
      </w:tr>
      <w:tr w:rsidTr="00804B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rPr>
                <w:rStyle w:val="SpecialBold"/>
              </w:rPr>
              <w:t>Operate NO</w:t>
            </w:r>
            <w:r w:rsidRPr="00804B2F">
              <w:rPr>
                <w:rStyle w:val="SpecialBold"/>
              </w:rPr>
              <w:t>x mitigation</w:t>
            </w:r>
            <w:r w:rsidRPr="00804B2F">
              <w:t xml:space="preserve"> </w:t>
            </w:r>
            <w:r w:rsidRPr="00804B2F">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NOx mitigation plant is operated in accordance with manufacturers</w:t>
            </w:r>
            <w:r>
              <w:t>’</w:t>
            </w:r>
            <w:r w:rsidRPr="00804B2F">
              <w:t xml:space="preserve"> recommendations and specifications, and workplace procedures</w:t>
            </w:r>
          </w:p>
        </w:tc>
      </w:tr>
      <w:tr w:rsidTr="00804B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04B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 xml:space="preserve">NOx mitigation plant is monitored and observed to detect deviations from normal operating conditions in accordance with workplace procedures  </w:t>
            </w:r>
          </w:p>
        </w:tc>
      </w:tr>
      <w:tr w:rsidTr="00804B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04B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Corrective actions are taken to rectify NOx mitigation abnormalities in accordance with workplace procedur</w:t>
            </w:r>
            <w:r w:rsidRPr="00804B2F">
              <w:t>es</w:t>
            </w:r>
          </w:p>
        </w:tc>
      </w:tr>
      <w:tr w:rsidTr="00804B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rPr>
                <w:rStyle w:val="SpecialBold"/>
              </w:rPr>
              <w:t>Test NOx mitigation</w:t>
            </w:r>
            <w:r w:rsidRPr="00804B2F">
              <w:t xml:space="preserve"> </w:t>
            </w:r>
            <w:r w:rsidRPr="00804B2F">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 xml:space="preserve">Operational tests are performed in accordance with workplace procedures </w:t>
            </w:r>
          </w:p>
        </w:tc>
      </w:tr>
      <w:tr w:rsidTr="00804B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04B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NOx mitigation plant is observed for correct operational response in accordance with workplace procedures</w:t>
            </w:r>
          </w:p>
        </w:tc>
      </w:tr>
      <w:tr w:rsidTr="00804B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04B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NOx mitigation plant is returned to required operational status upon completion of test in accordance with workplace procedures</w:t>
            </w:r>
          </w:p>
        </w:tc>
      </w:tr>
      <w:tr w:rsidTr="00804B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rPr>
                <w:rStyle w:val="SpecialBold"/>
              </w:rPr>
              <w:t>Analyse NOx mitigation</w:t>
            </w:r>
            <w:r w:rsidRPr="00804B2F">
              <w:t xml:space="preserve"> </w:t>
            </w:r>
            <w:r w:rsidRPr="00804B2F">
              <w:rPr>
                <w:rStyle w:val="SpecialBold"/>
              </w:rPr>
              <w:t>plant faults</w:t>
            </w:r>
          </w:p>
        </w:tc>
        <w:tc>
          <w:tcPr>
            <w:tcW w:w="702"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Causes of abnormal NOx mitigation plant operating conditions are identified by analysing technical and operational information in accordance with workplace procedures</w:t>
            </w:r>
          </w:p>
        </w:tc>
      </w:tr>
      <w:tr w:rsidTr="00804B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04B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 xml:space="preserve">NOx mitigation plant integrity and personnel safety is maintained in consultation </w:t>
            </w:r>
            <w:r w:rsidRPr="00804B2F">
              <w:t>with relevant personnel and technical and operational documentation in accordance with workplace procedures</w:t>
            </w:r>
          </w:p>
        </w:tc>
      </w:tr>
      <w:tr w:rsidTr="00804B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rPr>
                <w:rStyle w:val="SpecialBold"/>
              </w:rPr>
              <w:t>Monitor and inspect NOx mitigation</w:t>
            </w:r>
            <w:r w:rsidRPr="00804B2F">
              <w:t xml:space="preserve"> </w:t>
            </w:r>
            <w:r w:rsidRPr="00804B2F">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NOx mitigation plant to be monitored and inspected is physically identified in accordance with workp</w:t>
            </w:r>
            <w:r w:rsidRPr="00804B2F">
              <w:t>lace procedures</w:t>
            </w:r>
          </w:p>
        </w:tc>
      </w:tr>
      <w:tr w:rsidTr="00804B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04B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NOx mitigation plant is monitored and inspected for normal operation and to detect deviations in accordance with workplace procedures,</w:t>
            </w:r>
          </w:p>
        </w:tc>
      </w:tr>
      <w:tr w:rsidTr="00804B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04B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Relevant personnel are notifi</w:t>
            </w:r>
            <w:r w:rsidRPr="00804B2F">
              <w:t>ed when defects are detected in accordance with workplace procedures</w:t>
            </w:r>
          </w:p>
        </w:tc>
      </w:tr>
      <w:tr w:rsidTr="00804B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NOx mitigation plant problems, movements   and status are reported in accordance with workplace procedures</w:t>
            </w:r>
          </w:p>
        </w:tc>
      </w:tr>
      <w:tr w:rsidTr="00804B2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04B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t>Documentation is updated in accordance with</w:t>
            </w:r>
            <w:r w:rsidRPr="00804B2F">
              <w:t xml:space="preserve"> workplace procedures</w:t>
            </w:r>
          </w:p>
        </w:tc>
      </w:tr>
    </w:tbl>
    <w:p w:rsidR="00000000" w:rsidRPr="00804B2F" w:rsidP="00804B2F">
      <w:pPr>
        <w:pStyle w:val="NoPaddingFontSize1"/>
      </w:pPr>
    </w:p>
    <w:p w:rsidR="00000000" w:rsidRPr="00804B2F" w:rsidP="00804B2F">
      <w:pPr>
        <w:pStyle w:val="AllowPageBreak"/>
      </w:pPr>
    </w:p>
    <w:p w:rsidR="00000000" w:rsidRPr="00804B2F" w:rsidP="00804B2F">
      <w:pPr>
        <w:pStyle w:val="Heading1"/>
      </w:pPr>
      <w:bookmarkStart w:id="7" w:name="O_1192672"/>
      <w:bookmarkEnd w:id="7"/>
      <w:r w:rsidRPr="00804B2F">
        <w:t>Foundation Skills</w:t>
      </w:r>
    </w:p>
    <w:tbl>
      <w:tblPr>
        <w:tblW w:w="9497" w:type="dxa"/>
        <w:tblLayout w:type="fixed"/>
        <w:tblCellMar>
          <w:left w:w="62" w:type="dxa"/>
          <w:right w:w="62" w:type="dxa"/>
        </w:tblCellMar>
        <w:tblLook w:val="0000"/>
      </w:tblPr>
      <w:tblGrid>
        <w:gridCol w:w="9497"/>
      </w:tblGrid>
      <w:tr w:rsidTr="00804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t>Foundation skills essential to performance are explicit in the performance criteria of this unit of competency.</w:t>
            </w:r>
          </w:p>
        </w:tc>
      </w:tr>
    </w:tbl>
    <w:p w:rsidR="00000000" w:rsidRPr="00804B2F" w:rsidP="00804B2F">
      <w:pPr>
        <w:pStyle w:val="NoPaddingFontSize1"/>
      </w:pPr>
    </w:p>
    <w:p w:rsidR="00000000" w:rsidRPr="00804B2F" w:rsidP="00804B2F">
      <w:pPr>
        <w:pStyle w:val="AllowPageBreak"/>
      </w:pPr>
    </w:p>
    <w:p w:rsidR="00000000" w:rsidRPr="00804B2F" w:rsidP="00804B2F">
      <w:pPr>
        <w:pStyle w:val="Heading1"/>
      </w:pPr>
      <w:bookmarkStart w:id="8" w:name="O_1192673"/>
      <w:bookmarkEnd w:id="8"/>
      <w:r w:rsidRPr="00804B2F">
        <w:t>Range of Conditions</w:t>
      </w:r>
    </w:p>
    <w:tbl>
      <w:tblPr>
        <w:tblW w:w="9497" w:type="dxa"/>
        <w:tblLayout w:type="fixed"/>
        <w:tblCellMar>
          <w:left w:w="62" w:type="dxa"/>
          <w:right w:w="62" w:type="dxa"/>
        </w:tblCellMar>
        <w:tblLook w:val="0000"/>
      </w:tblPr>
      <w:tblGrid>
        <w:gridCol w:w="9497"/>
      </w:tblGrid>
      <w:tr w:rsidTr="00804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t>Range is restricted to essential operating conditions and any other variables essential to the work environment.</w:t>
            </w:r>
          </w:p>
          <w:p w:rsidR="00000000" w:rsidRPr="00804B2F" w:rsidP="00804B2F">
            <w:pPr>
              <w:pStyle w:val="BodyText"/>
            </w:pPr>
            <w:r w:rsidRPr="00804B2F">
              <w:t>Non-essential conditions may be found in the UEP Electricity Supply Industry – Generation Sector Training Package Companion Volume Implementati</w:t>
            </w:r>
            <w:r w:rsidRPr="00804B2F">
              <w:t>on Guide.</w:t>
            </w:r>
          </w:p>
        </w:tc>
      </w:tr>
    </w:tbl>
    <w:p w:rsidR="00000000" w:rsidRPr="00804B2F" w:rsidP="00804B2F">
      <w:pPr>
        <w:pStyle w:val="NoPaddingFontSize1"/>
      </w:pPr>
    </w:p>
    <w:p w:rsidR="00000000" w:rsidRPr="00804B2F" w:rsidP="00804B2F">
      <w:pPr>
        <w:pStyle w:val="AllowPageBreak"/>
      </w:pPr>
    </w:p>
    <w:p w:rsidR="00000000" w:rsidRPr="00804B2F" w:rsidP="00804B2F">
      <w:pPr>
        <w:pStyle w:val="Heading1"/>
      </w:pPr>
      <w:bookmarkStart w:id="9" w:name="O_1192674"/>
      <w:bookmarkEnd w:id="9"/>
      <w:r w:rsidRPr="00804B2F">
        <w:t>Unit Mapping Information</w:t>
      </w:r>
    </w:p>
    <w:tbl>
      <w:tblPr>
        <w:tblW w:w="9497" w:type="dxa"/>
        <w:tblLayout w:type="fixed"/>
        <w:tblCellMar>
          <w:left w:w="62" w:type="dxa"/>
          <w:right w:w="62" w:type="dxa"/>
        </w:tblCellMar>
        <w:tblLook w:val="0000"/>
      </w:tblPr>
      <w:tblGrid>
        <w:gridCol w:w="9497"/>
      </w:tblGrid>
      <w:tr w:rsidTr="00804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t>This unit replaces and is equivalent to UEPOPS435 Operate and monitor flue gas (NOx) mitigation systems.</w:t>
            </w:r>
          </w:p>
        </w:tc>
      </w:tr>
    </w:tbl>
    <w:p w:rsidR="00000000" w:rsidRPr="00804B2F" w:rsidP="00804B2F">
      <w:pPr>
        <w:pStyle w:val="NoPaddingFontSize1"/>
      </w:pPr>
    </w:p>
    <w:p w:rsidR="00000000" w:rsidRPr="00804B2F" w:rsidP="00804B2F">
      <w:pPr>
        <w:pStyle w:val="AllowPageBreak"/>
      </w:pPr>
    </w:p>
    <w:p w:rsidR="00000000" w:rsidRPr="00804B2F" w:rsidP="00804B2F">
      <w:pPr>
        <w:pStyle w:val="Heading1"/>
      </w:pPr>
      <w:bookmarkStart w:id="10" w:name="O_1192681"/>
      <w:bookmarkEnd w:id="10"/>
      <w:r w:rsidRPr="00804B2F">
        <w:t>Links</w:t>
      </w:r>
    </w:p>
    <w:p w:rsidR="00000000" w:rsidRPr="00804B2F" w:rsidP="00C87C7C">
      <w:pPr>
        <w:pStyle w:val="BodyText"/>
      </w:pPr>
      <w:r w:rsidRPr="00804B2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94C2D">
        <w:rPr>
          <w:rStyle w:val="Hyperlink"/>
        </w:rPr>
        <w:t>https://vetnet.gov.au/Pages/TrainingDocs.aspx?q=1715b9fa-e7bd-441c-bb8d-cf22c9c825a8</w:t>
      </w:r>
      <w:r>
        <w:fldChar w:fldCharType="end"/>
      </w:r>
    </w:p>
    <w:p w:rsidR="00000000" w:rsidRPr="00804B2F" w:rsidP="00C87C7C">
      <w:pPr>
        <w:pStyle w:val="BodyText"/>
        <w:sectPr w:rsidSect="00804B2F">
          <w:headerReference w:type="default" r:id="rId10"/>
          <w:footerReference w:type="default" r:id="rId11"/>
          <w:pgSz w:w="11908" w:h="16833"/>
          <w:pgMar w:top="1702" w:right="1418" w:bottom="1702" w:left="1418" w:header="992" w:footer="992" w:gutter="0"/>
          <w:cols w:space="720"/>
          <w:noEndnote/>
          <w:docGrid w:linePitch="299"/>
        </w:sectPr>
      </w:pPr>
    </w:p>
    <w:p w:rsidR="00000000" w:rsidRPr="00804B2F" w:rsidP="00804B2F">
      <w:pPr>
        <w:pStyle w:val="SuperHeading"/>
      </w:pPr>
      <w:r w:rsidRPr="00804B2F">
        <w:t>Assessment Requirements for UEPOPS093 Operate and monitor flue gas (NOx) mitigation systems</w:t>
      </w:r>
    </w:p>
    <w:p w:rsidR="00000000" w:rsidRPr="00804B2F" w:rsidP="00804B2F">
      <w:pPr>
        <w:pStyle w:val="Heading1"/>
      </w:pPr>
      <w:bookmarkStart w:id="11" w:name="O_1192676"/>
      <w:bookmarkEnd w:id="11"/>
      <w:r w:rsidRPr="00804B2F">
        <w:t>Modification History</w:t>
      </w:r>
    </w:p>
    <w:tbl>
      <w:tblPr>
        <w:tblW w:w="9497" w:type="dxa"/>
        <w:tblLayout w:type="fixed"/>
        <w:tblCellMar>
          <w:left w:w="62" w:type="dxa"/>
          <w:right w:w="62" w:type="dxa"/>
        </w:tblCellMar>
        <w:tblLook w:val="0000"/>
      </w:tblPr>
      <w:tblGrid>
        <w:gridCol w:w="9497"/>
      </w:tblGrid>
      <w:tr w:rsidTr="00804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t>Release 1. This is the first release of this unit of competency in the UEP Electricity Supply Industry – Generation Sector Training Package Release 2.0.</w:t>
            </w:r>
          </w:p>
        </w:tc>
      </w:tr>
    </w:tbl>
    <w:p w:rsidR="00000000" w:rsidRPr="00804B2F" w:rsidP="00804B2F">
      <w:pPr>
        <w:pStyle w:val="NoPaddingFontSize1"/>
      </w:pPr>
    </w:p>
    <w:p w:rsidR="00000000" w:rsidRPr="00804B2F" w:rsidP="00804B2F">
      <w:pPr>
        <w:pStyle w:val="AllowPageBreak"/>
      </w:pPr>
    </w:p>
    <w:p w:rsidR="00000000" w:rsidRPr="00804B2F" w:rsidP="00804B2F">
      <w:pPr>
        <w:pStyle w:val="Heading1"/>
      </w:pPr>
      <w:bookmarkStart w:id="12" w:name="O_1192677"/>
      <w:bookmarkEnd w:id="12"/>
      <w:r w:rsidRPr="00804B2F">
        <w:t>Performance Evidence</w:t>
      </w:r>
    </w:p>
    <w:tbl>
      <w:tblPr>
        <w:tblW w:w="9497" w:type="dxa"/>
        <w:tblLayout w:type="fixed"/>
        <w:tblCellMar>
          <w:left w:w="62" w:type="dxa"/>
          <w:right w:w="62" w:type="dxa"/>
        </w:tblCellMar>
        <w:tblLook w:val="0000"/>
      </w:tblPr>
      <w:tblGrid>
        <w:gridCol w:w="9497"/>
      </w:tblGrid>
      <w:tr w:rsidTr="00804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Evidence required to demonstrate competence in this unit must</w:t>
            </w:r>
            <w:r w:rsidRPr="00804B2F">
              <w:t xml:space="preserve"> be relevant to and satisfy all the requirements of the elements and performance criteria on at least two separate occasions and include:</w:t>
            </w:r>
          </w:p>
        </w:tc>
      </w:tr>
      <w:tr w:rsidTr="00804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B2F" w:rsidP="00804B2F">
            <w:pPr>
              <w:pStyle w:val="ListBullet"/>
            </w:pPr>
            <w:r w:rsidRPr="00804B2F">
              <w:t xml:space="preserve">analysing NOx mitigation plant faults using data analysis techniques and tools  </w:t>
            </w:r>
          </w:p>
          <w:p w:rsidR="00000000" w:rsidRPr="00804B2F" w:rsidP="00804B2F">
            <w:pPr>
              <w:pStyle w:val="ListBullet"/>
            </w:pPr>
            <w:r w:rsidRPr="00804B2F">
              <w:t>applying work health and safety (WH</w:t>
            </w:r>
            <w:r w:rsidRPr="00804B2F">
              <w:t>S)/occupational health and safety (OHS) requirements, including:</w:t>
            </w:r>
          </w:p>
          <w:p w:rsidR="00000000" w:rsidRPr="00804B2F" w:rsidP="00804B2F">
            <w:pPr>
              <w:pStyle w:val="ListBullet2"/>
            </w:pPr>
            <w:r w:rsidRPr="00804B2F">
              <w:t>emergency procedures</w:t>
            </w:r>
          </w:p>
          <w:p w:rsidR="00000000" w:rsidRPr="00804B2F" w:rsidP="00804B2F">
            <w:pPr>
              <w:pStyle w:val="ListBullet2"/>
            </w:pPr>
            <w:r w:rsidRPr="00804B2F">
              <w:t>risk control measures</w:t>
            </w:r>
          </w:p>
          <w:p w:rsidR="00000000" w:rsidRPr="00804B2F" w:rsidP="00804B2F">
            <w:pPr>
              <w:pStyle w:val="ListBullet2"/>
            </w:pPr>
            <w:r w:rsidRPr="00804B2F">
              <w:t>safe working practices</w:t>
            </w:r>
          </w:p>
          <w:p w:rsidR="00000000" w:rsidRPr="00804B2F" w:rsidP="00804B2F">
            <w:pPr>
              <w:pStyle w:val="ListBullet"/>
            </w:pPr>
            <w:r w:rsidRPr="00804B2F">
              <w:t>communicating with personnel</w:t>
            </w:r>
          </w:p>
          <w:p w:rsidR="00000000" w:rsidRPr="00804B2F" w:rsidP="00804B2F">
            <w:pPr>
              <w:pStyle w:val="ListBullet"/>
            </w:pPr>
            <w:r w:rsidRPr="00804B2F">
              <w:t>completing documentation using recording procedures</w:t>
            </w:r>
          </w:p>
          <w:p w:rsidR="00000000" w:rsidRPr="00804B2F" w:rsidP="00804B2F">
            <w:pPr>
              <w:pStyle w:val="ListBullet"/>
            </w:pPr>
            <w:r w:rsidRPr="00804B2F">
              <w:t>identifying NOx mitigation plant status</w:t>
            </w:r>
          </w:p>
          <w:p w:rsidR="00000000" w:rsidRPr="00804B2F" w:rsidP="00804B2F">
            <w:pPr>
              <w:pStyle w:val="ListBullet"/>
            </w:pPr>
            <w:r w:rsidRPr="00804B2F">
              <w:t>implementing regulations, legislative requirements, codes of practice, manufacturers’ recommendations and specifications, and environmental requirements</w:t>
            </w:r>
          </w:p>
          <w:p w:rsidR="00000000" w:rsidRPr="00804B2F" w:rsidP="00804B2F">
            <w:pPr>
              <w:pStyle w:val="ListBullet"/>
            </w:pPr>
            <w:r w:rsidRPr="00804B2F">
              <w:t>interpreting manuals</w:t>
            </w:r>
          </w:p>
          <w:p w:rsidR="00000000" w:rsidRPr="00804B2F" w:rsidP="00804B2F">
            <w:pPr>
              <w:pStyle w:val="ListBullet"/>
            </w:pPr>
            <w:r w:rsidRPr="00804B2F">
              <w:t>monitoring and inspecting NOx mitigation plant</w:t>
            </w:r>
          </w:p>
          <w:p w:rsidR="00000000" w:rsidRPr="00804B2F" w:rsidP="00804B2F">
            <w:pPr>
              <w:pStyle w:val="ListBullet"/>
            </w:pPr>
            <w:r w:rsidRPr="00804B2F">
              <w:t>operating NOx emission control plan</w:t>
            </w:r>
            <w:r w:rsidRPr="00804B2F">
              <w:t>t and equipment</w:t>
            </w:r>
          </w:p>
          <w:p w:rsidR="00000000" w:rsidRPr="00804B2F" w:rsidP="00804B2F">
            <w:pPr>
              <w:pStyle w:val="ListBullet"/>
            </w:pPr>
            <w:r w:rsidRPr="00804B2F">
              <w:t>organising resources</w:t>
            </w:r>
          </w:p>
          <w:p w:rsidR="00000000" w:rsidRPr="00804B2F" w:rsidP="00804B2F">
            <w:pPr>
              <w:pStyle w:val="ListBullet"/>
            </w:pPr>
            <w:r w:rsidRPr="00804B2F">
              <w:t>preparing NOx mitigation plant and equipment</w:t>
            </w:r>
          </w:p>
          <w:p w:rsidR="00000000" w:rsidRPr="00804B2F" w:rsidP="00804B2F">
            <w:pPr>
              <w:pStyle w:val="ListBullet"/>
            </w:pPr>
            <w:r w:rsidRPr="00804B2F">
              <w:t>recognising and responding to abnormal flue gas (NOx) mitigation plant operating conditions</w:t>
            </w:r>
          </w:p>
          <w:p w:rsidR="00000000" w:rsidRPr="00804B2F" w:rsidP="00804B2F">
            <w:pPr>
              <w:pStyle w:val="ListBullet"/>
            </w:pPr>
            <w:r w:rsidRPr="00804B2F">
              <w:t>testing NOx mitigation plant operation using diagnostic and testing techniques</w:t>
            </w:r>
          </w:p>
          <w:p w:rsidR="00000000" w:rsidRPr="00804B2F" w:rsidP="00804B2F">
            <w:pPr>
              <w:pStyle w:val="ListBullet"/>
            </w:pPr>
            <w:r w:rsidRPr="00804B2F">
              <w:t>working with permit system.</w:t>
            </w:r>
          </w:p>
        </w:tc>
      </w:tr>
    </w:tbl>
    <w:p w:rsidR="00000000" w:rsidRPr="00804B2F" w:rsidP="00804B2F">
      <w:pPr>
        <w:pStyle w:val="NoPaddingFontSize1"/>
      </w:pPr>
    </w:p>
    <w:p w:rsidR="00000000" w:rsidRPr="00804B2F" w:rsidP="00804B2F">
      <w:pPr>
        <w:pStyle w:val="AllowPageBreak"/>
      </w:pPr>
    </w:p>
    <w:p w:rsidR="00000000" w:rsidRPr="00804B2F" w:rsidP="00804B2F">
      <w:pPr>
        <w:pStyle w:val="Heading1"/>
      </w:pPr>
      <w:bookmarkStart w:id="13" w:name="O_1192678"/>
      <w:bookmarkEnd w:id="13"/>
      <w:r w:rsidRPr="00804B2F">
        <w:t>Knowledge Evidence</w:t>
      </w:r>
    </w:p>
    <w:tbl>
      <w:tblPr>
        <w:tblW w:w="9497" w:type="dxa"/>
        <w:tblLayout w:type="fixed"/>
        <w:tblCellMar>
          <w:left w:w="62" w:type="dxa"/>
          <w:right w:w="62" w:type="dxa"/>
        </w:tblCellMar>
        <w:tblLook w:val="0000"/>
      </w:tblPr>
      <w:tblGrid>
        <w:gridCol w:w="9497"/>
      </w:tblGrid>
      <w:tr w:rsidTr="00804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4B2F">
            <w:pPr>
              <w:pStyle w:val="BodyText"/>
              <w:rPr>
                <w:lang w:val="en-NZ"/>
              </w:rPr>
            </w:pPr>
            <w:r w:rsidRPr="00804B2F">
              <w:t xml:space="preserve">Evidence required to demonstrate competence in this unit must be relevant to and satisfy all the requirements of the elements and performance criteria and include knowledge of: </w:t>
            </w:r>
          </w:p>
        </w:tc>
      </w:tr>
      <w:tr w:rsidTr="00804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B2F" w:rsidP="00804B2F">
            <w:pPr>
              <w:pStyle w:val="ListBullet"/>
            </w:pPr>
            <w:r w:rsidRPr="00804B2F">
              <w:t>arrangem</w:t>
            </w:r>
            <w:r w:rsidRPr="00804B2F">
              <w:t>ents of power production plant</w:t>
            </w:r>
          </w:p>
          <w:p w:rsidR="00000000" w:rsidRPr="00804B2F" w:rsidP="00804B2F">
            <w:pPr>
              <w:pStyle w:val="ListBullet"/>
            </w:pPr>
            <w:r w:rsidRPr="00804B2F">
              <w:t>manuals</w:t>
            </w:r>
          </w:p>
          <w:p w:rsidR="00000000" w:rsidRPr="00804B2F" w:rsidP="00804B2F">
            <w:pPr>
              <w:pStyle w:val="ListBullet"/>
            </w:pPr>
            <w:r w:rsidRPr="00804B2F">
              <w:t>regulations, legislative requirements, codes of practice, manufacturers’ recommendations and specifications, and environmental requirements</w:t>
            </w:r>
          </w:p>
          <w:p w:rsidR="00000000" w:rsidRPr="00804B2F" w:rsidP="00804B2F">
            <w:pPr>
              <w:pStyle w:val="ListBullet"/>
            </w:pPr>
            <w:r w:rsidRPr="00804B2F">
              <w:t>NOx mitigation system plant and equipment, location and operating parameters,</w:t>
            </w:r>
            <w:r w:rsidRPr="00804B2F">
              <w:t xml:space="preserve"> including:</w:t>
            </w:r>
          </w:p>
          <w:p w:rsidR="00000000" w:rsidRPr="00804B2F" w:rsidP="00804B2F">
            <w:pPr>
              <w:pStyle w:val="ListBullet2"/>
            </w:pPr>
            <w:r w:rsidRPr="00804B2F">
              <w:t>NOx generation during combustion process within fossil fuelled boilers and gas turbines</w:t>
            </w:r>
          </w:p>
          <w:p w:rsidR="00000000" w:rsidRPr="00804B2F" w:rsidP="00804B2F">
            <w:pPr>
              <w:pStyle w:val="ListBullet2"/>
            </w:pPr>
            <w:r w:rsidRPr="00804B2F">
              <w:t>NOx emission control plant and equipment components and the way they interact with plant and equipment</w:t>
            </w:r>
          </w:p>
          <w:p w:rsidR="00000000" w:rsidRPr="00804B2F" w:rsidP="00804B2F">
            <w:pPr>
              <w:pStyle w:val="ListBullet"/>
            </w:pPr>
            <w:r w:rsidRPr="00804B2F">
              <w:t>performance tests on NOx mitigation system plant</w:t>
            </w:r>
          </w:p>
          <w:p w:rsidR="00000000" w:rsidRPr="00804B2F" w:rsidP="00804B2F">
            <w:pPr>
              <w:pStyle w:val="ListBullet"/>
            </w:pPr>
            <w:r w:rsidRPr="00804B2F">
              <w:t>permit system</w:t>
            </w:r>
          </w:p>
          <w:p w:rsidR="00000000" w:rsidRPr="00804B2F" w:rsidP="00804B2F">
            <w:pPr>
              <w:pStyle w:val="ListBullet"/>
            </w:pPr>
            <w:r w:rsidRPr="00804B2F">
              <w:t>WHS/OHS requirements, including:</w:t>
            </w:r>
          </w:p>
          <w:p w:rsidR="00000000" w:rsidRPr="00804B2F" w:rsidP="00804B2F">
            <w:pPr>
              <w:pStyle w:val="ListBullet2"/>
            </w:pPr>
            <w:r w:rsidRPr="00804B2F">
              <w:t>emergency procedures</w:t>
            </w:r>
          </w:p>
          <w:p w:rsidR="00000000" w:rsidRPr="00804B2F" w:rsidP="00804B2F">
            <w:pPr>
              <w:pStyle w:val="ListBullet2"/>
            </w:pPr>
            <w:r w:rsidRPr="00804B2F">
              <w:t>risk control measures</w:t>
            </w:r>
          </w:p>
          <w:p w:rsidR="00000000" w:rsidRPr="00804B2F" w:rsidP="00804B2F">
            <w:pPr>
              <w:pStyle w:val="ListBullet2"/>
            </w:pPr>
            <w:r w:rsidRPr="00804B2F">
              <w:t>safe working practices</w:t>
            </w:r>
          </w:p>
          <w:p w:rsidR="00000000" w:rsidRPr="00804B2F" w:rsidP="00804B2F">
            <w:pPr>
              <w:pStyle w:val="ListBullet"/>
            </w:pPr>
            <w:r w:rsidRPr="00804B2F">
              <w:t>workplace documentation</w:t>
            </w:r>
          </w:p>
          <w:p w:rsidR="00000000" w:rsidRPr="00804B2F" w:rsidP="00804B2F">
            <w:pPr>
              <w:pStyle w:val="ListBullet"/>
            </w:pPr>
            <w:r w:rsidRPr="00804B2F">
              <w:t>workplace policies and procedures.</w:t>
            </w:r>
          </w:p>
        </w:tc>
      </w:tr>
    </w:tbl>
    <w:p w:rsidR="00000000" w:rsidRPr="00804B2F" w:rsidP="00804B2F">
      <w:pPr>
        <w:pStyle w:val="NoPaddingFontSize1"/>
      </w:pPr>
    </w:p>
    <w:p w:rsidR="00000000" w:rsidRPr="00804B2F" w:rsidP="00804B2F">
      <w:pPr>
        <w:pStyle w:val="AllowPageBreak"/>
      </w:pPr>
    </w:p>
    <w:p w:rsidR="00000000" w:rsidRPr="00804B2F" w:rsidP="00804B2F">
      <w:pPr>
        <w:pStyle w:val="Heading1"/>
      </w:pPr>
      <w:bookmarkStart w:id="14" w:name="O_1192679"/>
      <w:bookmarkEnd w:id="14"/>
      <w:r w:rsidRPr="00804B2F">
        <w:t>Assessment Conditions</w:t>
      </w:r>
    </w:p>
    <w:tbl>
      <w:tblPr>
        <w:tblW w:w="9497" w:type="dxa"/>
        <w:tblLayout w:type="fixed"/>
        <w:tblCellMar>
          <w:left w:w="62" w:type="dxa"/>
          <w:right w:w="62" w:type="dxa"/>
        </w:tblCellMar>
        <w:tblLook w:val="0000"/>
      </w:tblPr>
      <w:tblGrid>
        <w:gridCol w:w="9497"/>
      </w:tblGrid>
      <w:tr w:rsidTr="00804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B2F" w:rsidP="00804B2F">
            <w:pPr>
              <w:pStyle w:val="BodyText"/>
            </w:pPr>
            <w:r w:rsidRPr="00804B2F">
              <w:t xml:space="preserve">Assessors must hold credentials specified within the Standards for Registered Training Organisations current at the time of assessment. </w:t>
            </w:r>
          </w:p>
          <w:p w:rsidR="00000000" w:rsidRPr="00804B2F" w:rsidP="00804B2F">
            <w:pPr>
              <w:pStyle w:val="BodyText"/>
            </w:pPr>
            <w:r w:rsidRPr="00804B2F">
              <w:t>Assessment must satisfy the Principles of Assessment and Rules of Evidence and all regulatory requirements included wit</w:t>
            </w:r>
            <w:r w:rsidRPr="00804B2F">
              <w:t>hin the Standards for Registered Training Organisations current at the time of assessment.</w:t>
            </w:r>
          </w:p>
          <w:p w:rsidR="00000000" w:rsidRPr="00804B2F" w:rsidP="00804B2F">
            <w:pPr>
              <w:pStyle w:val="BodyText"/>
            </w:pPr>
            <w:r w:rsidRPr="00804B2F">
              <w:t>Assessment must occur in workplace operational situations where it is appropriate to do so; where this is not appropriate, assessment must occur in simulated workpla</w:t>
            </w:r>
            <w:r w:rsidRPr="00804B2F">
              <w:t>ce operational situations that replicate workplace conditions.</w:t>
            </w:r>
          </w:p>
          <w:p w:rsidR="00000000" w:rsidRPr="00804B2F" w:rsidP="00804B2F">
            <w:pPr>
              <w:pStyle w:val="BodyText"/>
            </w:pPr>
            <w:r w:rsidRPr="00804B2F">
              <w:t>Assessment processes and techniques must be appropriate to the language, literacy and numeracy requirements of the work being performed and the needs of the candidate.</w:t>
            </w:r>
          </w:p>
          <w:p w:rsidR="00000000" w:rsidRPr="00804B2F" w:rsidP="00804B2F">
            <w:pPr>
              <w:pStyle w:val="BodyText"/>
            </w:pPr>
            <w:r w:rsidRPr="00804B2F">
              <w:t xml:space="preserve">Resources for assessment </w:t>
            </w:r>
            <w:r w:rsidRPr="00804B2F">
              <w:t>must include access to:</w:t>
            </w:r>
          </w:p>
          <w:p w:rsidR="00000000" w:rsidRPr="00804B2F" w:rsidP="00804B2F">
            <w:pPr>
              <w:pStyle w:val="ListBullet"/>
            </w:pPr>
            <w:r w:rsidRPr="00804B2F">
              <w:t>a range of relevant exercises, case studies and/or other simulations</w:t>
            </w:r>
          </w:p>
          <w:p w:rsidR="00000000" w:rsidRPr="00804B2F" w:rsidP="00804B2F">
            <w:pPr>
              <w:pStyle w:val="ListBullet"/>
            </w:pPr>
            <w:r w:rsidRPr="00804B2F">
              <w:t xml:space="preserve">relevant and appropriate materials, tools, equipment and personal protective equipment (PPE) currently used in industry </w:t>
            </w:r>
          </w:p>
          <w:p w:rsidR="00000000" w:rsidRPr="00804B2F" w:rsidP="00804B2F">
            <w:pPr>
              <w:pStyle w:val="ListBullet"/>
            </w:pPr>
            <w:r w:rsidRPr="00804B2F">
              <w:t>applicable documentation, including workp</w:t>
            </w:r>
            <w:r w:rsidRPr="00804B2F">
              <w:t>lace procedures, equipment specifications, regulations, codes of practice and operation manuals.</w:t>
            </w:r>
          </w:p>
        </w:tc>
      </w:tr>
    </w:tbl>
    <w:p w:rsidR="00000000" w:rsidRPr="00804B2F" w:rsidP="00804B2F">
      <w:pPr>
        <w:pStyle w:val="NoPaddingFontSize1"/>
      </w:pPr>
    </w:p>
    <w:p w:rsidR="00000000" w:rsidRPr="00804B2F" w:rsidP="00804B2F">
      <w:pPr>
        <w:pStyle w:val="AllowPageBreak"/>
      </w:pPr>
    </w:p>
    <w:p w:rsidR="00000000" w:rsidRPr="00804B2F" w:rsidP="00804B2F">
      <w:pPr>
        <w:pStyle w:val="Heading1"/>
      </w:pPr>
      <w:bookmarkStart w:id="15" w:name="O_1192682"/>
      <w:bookmarkEnd w:id="15"/>
      <w:r w:rsidRPr="00804B2F">
        <w:t>Links</w:t>
      </w:r>
    </w:p>
    <w:p w:rsidR="00000000" w:rsidRPr="00804B2F" w:rsidP="00C87C7C">
      <w:pPr>
        <w:pStyle w:val="BodyText"/>
      </w:pPr>
      <w:r w:rsidRPr="00804B2F">
        <w:t>Compa</w:t>
      </w:r>
      <w:r w:rsidRPr="00804B2F">
        <w:t xml:space="preserve">nion Volume implementation guides are found in VETNet - </w:t>
      </w:r>
      <w:r>
        <w:fldChar w:fldCharType="begin"/>
      </w:r>
      <w:r>
        <w:instrText xml:space="preserve"> HYPERLINK "https://vetnet.gov.au/Pages/TrainingDocs.aspx?q=1715b9fa-e7bd-441c-bb8d-cf22c9c825a8" </w:instrText>
      </w:r>
      <w:r>
        <w:fldChar w:fldCharType="separate"/>
      </w:r>
      <w:r w:rsidRPr="00F94C2D">
        <w:rPr>
          <w:rStyle w:val="Hyperlink"/>
        </w:rPr>
        <w:t>https://vetnet.gov.au/Pages/TrainingDocs.aspx?q=1715b9fa-e7bd-441c-bb8d-cf22c9c825a8</w:t>
      </w:r>
      <w:r>
        <w:fldChar w:fldCharType="end"/>
      </w:r>
    </w:p>
    <w:p w:rsidR="00000000" w:rsidRPr="00804B2F" w:rsidP="00804B2F"/>
    <w:sectPr w:rsidSect="00804B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2F" w:rsidRPr="00C87C7C" w:rsidP="00C87C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C7C" w:rsidP="00804B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7C7C" w:rsidP="00804B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87C7C" w:rsidP="00804B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2F" w:rsidP="00804B2F">
    <w:pPr>
      <w:pStyle w:val="Footer"/>
      <w:framePr w:wrap="around"/>
    </w:pPr>
    <w:r>
      <w:fldChar w:fldCharType="begin"/>
    </w:r>
    <w:r>
      <w:instrText xml:space="preserve"> DOCPROPERTY  Subject  \* MERGEFORMAT </w:instrText>
    </w:r>
    <w:r>
      <w:fldChar w:fldCharType="separate"/>
    </w:r>
    <w:r w:rsidR="00C87C7C">
      <w:t>Approved</w:t>
    </w:r>
    <w:r w:rsidR="00C87C7C">
      <w:fldChar w:fldCharType="end"/>
    </w:r>
    <w:r>
      <w:tab/>
      <w:t xml:space="preserve">Page </w:t>
    </w:r>
    <w:r>
      <w:fldChar w:fldCharType="begin"/>
    </w:r>
    <w:r>
      <w:instrText xml:space="preserve"> PAGE  \* Arabic  \* MERGEFORMAT </w:instrText>
    </w:r>
    <w:r>
      <w:fldChar w:fldCharType="separate"/>
    </w:r>
    <w:r w:rsidR="00C87C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7C7C">
      <w:rPr>
        <w:noProof/>
      </w:rPr>
      <w:t>4</w:t>
    </w:r>
    <w:r>
      <w:rPr>
        <w:noProof/>
      </w:rPr>
      <w:fldChar w:fldCharType="end"/>
    </w:r>
  </w:p>
  <w:p w:rsidR="00804B2F" w:rsidP="00804B2F">
    <w:pPr>
      <w:pStyle w:val="Footer"/>
      <w:framePr w:wrap="around"/>
    </w:pPr>
    <w:r>
      <w:t xml:space="preserve">© Commonwealth of Australia, </w:t>
    </w:r>
    <w:r>
      <w:fldChar w:fldCharType="begin"/>
    </w:r>
    <w:r>
      <w:instrText xml:space="preserve"> DATE  \@ "yyyy"  \* MERGEFORMAT </w:instrText>
    </w:r>
    <w:r>
      <w:fldChar w:fldCharType="separate"/>
    </w:r>
    <w:r w:rsidR="00C87C7C">
      <w:rPr>
        <w:noProof/>
      </w:rPr>
      <w:t>2025</w:t>
    </w:r>
    <w:r>
      <w:fldChar w:fldCharType="end"/>
    </w:r>
    <w:r>
      <w:tab/>
    </w:r>
    <w:r>
      <w:fldChar w:fldCharType="begin"/>
    </w:r>
    <w:r>
      <w:instrText xml:space="preserve"> DOCPROPERTY  Author  \* MERGEFORMAT </w:instrText>
    </w:r>
    <w:r>
      <w:fldChar w:fldCharType="separate"/>
    </w:r>
    <w:r w:rsidR="00C87C7C">
      <w:t>Powering Skills Organisation</w:t>
    </w:r>
    <w:r w:rsidR="00C87C7C">
      <w:fldChar w:fldCharType="end"/>
    </w:r>
  </w:p>
  <w:p w:rsidR="00804B2F" w:rsidP="00804B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C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4B2F" w:rsidRPr="00C87C7C" w:rsidP="00C87C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C7C" w:rsidRPr="002D2AF8" w:rsidP="00804B2F">
    <w:pPr>
      <w:pStyle w:val="Header"/>
      <w:framePr w:wrap="around"/>
    </w:pPr>
    <w:r>
      <w:fldChar w:fldCharType="begin"/>
    </w:r>
    <w:r>
      <w:instrText xml:space="preserve"> TITLE   \* MERGEFORMAT </w:instrText>
    </w:r>
    <w:r>
      <w:fldChar w:fldCharType="separate"/>
    </w:r>
    <w:r>
      <w:t>UEPOPS093 Operate and monitor flue gas (NOx) mitigation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7C7C" w:rsidP="00804B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2F" w:rsidRPr="002D2AF8" w:rsidP="00804B2F">
    <w:pPr>
      <w:pStyle w:val="Header"/>
      <w:framePr w:wrap="around"/>
    </w:pPr>
    <w:r>
      <w:fldChar w:fldCharType="begin"/>
    </w:r>
    <w:r>
      <w:instrText xml:space="preserve"> TITLE   \* MERGEFORMAT </w:instrText>
    </w:r>
    <w:r>
      <w:fldChar w:fldCharType="separate"/>
    </w:r>
    <w:r w:rsidR="00C87C7C">
      <w:t>UEPOPS093 Operate and monitor flue gas (NOx) mitigation systems</w:t>
    </w:r>
    <w:r w:rsidR="00C87C7C">
      <w:fldChar w:fldCharType="end"/>
    </w:r>
    <w:r>
      <w:tab/>
      <w:t xml:space="preserve">Date this document was generated: </w:t>
    </w:r>
    <w:r>
      <w:fldChar w:fldCharType="begin"/>
    </w:r>
    <w:r>
      <w:instrText xml:space="preserve"> CREATEDATE  \@ "d MMMM yyyy"  \* MERGEFORMAT </w:instrText>
    </w:r>
    <w:r>
      <w:fldChar w:fldCharType="separate"/>
    </w:r>
    <w:r w:rsidR="00C87C7C">
      <w:rPr>
        <w:noProof/>
      </w:rPr>
      <w:t>2 March 2025</w:t>
    </w:r>
    <w:r>
      <w:fldChar w:fldCharType="end"/>
    </w:r>
  </w:p>
  <w:p w:rsidR="00804B2F" w:rsidP="00804B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789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7C23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6A20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B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B2F"/>
    <w:pPr>
      <w:spacing w:before="360" w:after="60"/>
      <w:outlineLvl w:val="0"/>
    </w:pPr>
    <w:rPr>
      <w:sz w:val="32"/>
    </w:rPr>
  </w:style>
  <w:style w:type="paragraph" w:styleId="Heading2">
    <w:name w:val="heading 2"/>
    <w:basedOn w:val="HeadingBase"/>
    <w:next w:val="BodyText"/>
    <w:link w:val="Heading2Char"/>
    <w:qFormat/>
    <w:rsid w:val="00804B2F"/>
    <w:pPr>
      <w:keepLines/>
      <w:spacing w:before="240" w:after="120"/>
      <w:outlineLvl w:val="1"/>
    </w:pPr>
    <w:rPr>
      <w:sz w:val="28"/>
      <w:szCs w:val="40"/>
    </w:rPr>
  </w:style>
  <w:style w:type="paragraph" w:styleId="Heading3">
    <w:name w:val="heading 3"/>
    <w:basedOn w:val="HeadingBase"/>
    <w:next w:val="BodyText"/>
    <w:link w:val="Heading3Char"/>
    <w:qFormat/>
    <w:rsid w:val="00804B2F"/>
    <w:pPr>
      <w:spacing w:before="180" w:after="120"/>
      <w:outlineLvl w:val="2"/>
    </w:pPr>
    <w:rPr>
      <w:spacing w:val="-10"/>
      <w:kern w:val="32"/>
    </w:rPr>
  </w:style>
  <w:style w:type="paragraph" w:styleId="Heading4">
    <w:name w:val="heading 4"/>
    <w:basedOn w:val="HeadingBase"/>
    <w:next w:val="BodyText"/>
    <w:link w:val="Heading4Char"/>
    <w:qFormat/>
    <w:rsid w:val="00804B2F"/>
    <w:pPr>
      <w:spacing w:before="160" w:after="120"/>
      <w:outlineLvl w:val="3"/>
    </w:pPr>
    <w:rPr>
      <w:sz w:val="22"/>
    </w:rPr>
  </w:style>
  <w:style w:type="paragraph" w:styleId="Heading5">
    <w:name w:val="heading 5"/>
    <w:basedOn w:val="HeadingBase"/>
    <w:next w:val="Normal"/>
    <w:link w:val="Heading5Char"/>
    <w:qFormat/>
    <w:rsid w:val="00804B2F"/>
    <w:pPr>
      <w:spacing w:before="80"/>
      <w:outlineLvl w:val="4"/>
    </w:pPr>
    <w:rPr>
      <w:color w:val="918585"/>
      <w:sz w:val="20"/>
    </w:rPr>
  </w:style>
  <w:style w:type="paragraph" w:styleId="Heading6">
    <w:name w:val="heading 6"/>
    <w:basedOn w:val="HeadingBase"/>
    <w:next w:val="Normal"/>
    <w:link w:val="Heading6Char"/>
    <w:qFormat/>
    <w:rsid w:val="00804B2F"/>
    <w:pPr>
      <w:spacing w:before="60"/>
      <w:outlineLvl w:val="5"/>
    </w:pPr>
    <w:rPr>
      <w:color w:val="918585"/>
      <w:sz w:val="20"/>
    </w:rPr>
  </w:style>
  <w:style w:type="paragraph" w:styleId="Heading7">
    <w:name w:val="heading 7"/>
    <w:basedOn w:val="Normal"/>
    <w:next w:val="Normal"/>
    <w:link w:val="Heading7Char"/>
    <w:qFormat/>
    <w:rsid w:val="00804B2F"/>
    <w:pPr>
      <w:ind w:left="720"/>
      <w:outlineLvl w:val="6"/>
    </w:pPr>
    <w:rPr>
      <w:i/>
    </w:rPr>
  </w:style>
  <w:style w:type="paragraph" w:styleId="Heading8">
    <w:name w:val="heading 8"/>
    <w:basedOn w:val="Normal"/>
    <w:next w:val="Normal"/>
    <w:link w:val="Heading8Char"/>
    <w:qFormat/>
    <w:rsid w:val="00804B2F"/>
    <w:pPr>
      <w:ind w:left="720"/>
      <w:outlineLvl w:val="7"/>
    </w:pPr>
    <w:rPr>
      <w:i/>
    </w:rPr>
  </w:style>
  <w:style w:type="paragraph" w:styleId="Heading9">
    <w:name w:val="heading 9"/>
    <w:basedOn w:val="Normal"/>
    <w:next w:val="Normal"/>
    <w:link w:val="Heading9Char"/>
    <w:qFormat/>
    <w:rsid w:val="00804B2F"/>
    <w:pPr>
      <w:ind w:left="720"/>
      <w:outlineLvl w:val="8"/>
    </w:pPr>
    <w:rPr>
      <w:i/>
    </w:rPr>
  </w:style>
  <w:style w:type="character" w:default="1" w:styleId="DefaultParagraphFont">
    <w:name w:val="Default Paragraph Font"/>
    <w:uiPriority w:val="1"/>
    <w:unhideWhenUsed/>
    <w:rsid w:val="00804B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B2F"/>
  </w:style>
  <w:style w:type="character" w:customStyle="1" w:styleId="Heading1Char">
    <w:name w:val="Heading 1 Char"/>
    <w:basedOn w:val="DefaultParagraphFont"/>
    <w:link w:val="Heading1"/>
    <w:rsid w:val="00804B2F"/>
    <w:rPr>
      <w:rFonts w:ascii="Times New Roman" w:eastAsia="Times New Roman" w:hAnsi="Times New Roman" w:cs="Times New Roman"/>
      <w:b/>
      <w:sz w:val="32"/>
      <w:szCs w:val="20"/>
      <w:lang w:eastAsia="en-US"/>
    </w:rPr>
  </w:style>
  <w:style w:type="paragraph" w:styleId="BodyText">
    <w:name w:val="Body Text"/>
    <w:basedOn w:val="Normal"/>
    <w:link w:val="BodyTextChar"/>
    <w:rsid w:val="00804B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4B2F"/>
    <w:rPr>
      <w:rFonts w:ascii="Times New Roman" w:eastAsia="Times New Roman" w:hAnsi="Times New Roman" w:cs="Times New Roman"/>
      <w:sz w:val="24"/>
      <w:lang w:eastAsia="en-US"/>
    </w:rPr>
  </w:style>
  <w:style w:type="paragraph" w:styleId="ListBullet">
    <w:name w:val="List Bullet"/>
    <w:basedOn w:val="List"/>
    <w:rsid w:val="00804B2F"/>
    <w:pPr>
      <w:numPr>
        <w:numId w:val="12"/>
      </w:numPr>
      <w:tabs>
        <w:tab w:val="clear" w:pos="340"/>
      </w:tabs>
      <w:spacing w:before="40" w:after="40"/>
    </w:pPr>
  </w:style>
  <w:style w:type="character" w:customStyle="1" w:styleId="SpecialBold">
    <w:name w:val="Special Bold"/>
    <w:basedOn w:val="DefaultParagraphFont"/>
    <w:rsid w:val="00804B2F"/>
    <w:rPr>
      <w:b/>
      <w:spacing w:val="0"/>
    </w:rPr>
  </w:style>
  <w:style w:type="paragraph" w:styleId="ListBullet2">
    <w:name w:val="List Bullet 2"/>
    <w:basedOn w:val="List2"/>
    <w:rsid w:val="00804B2F"/>
    <w:pPr>
      <w:numPr>
        <w:numId w:val="13"/>
      </w:numPr>
      <w:tabs>
        <w:tab w:val="clear" w:pos="680"/>
      </w:tabs>
    </w:pPr>
  </w:style>
  <w:style w:type="paragraph" w:customStyle="1" w:styleId="SuperHeading">
    <w:name w:val="SuperHeading"/>
    <w:basedOn w:val="Normal"/>
    <w:rsid w:val="00804B2F"/>
    <w:pPr>
      <w:spacing w:before="240" w:after="120"/>
      <w:outlineLvl w:val="0"/>
    </w:pPr>
    <w:rPr>
      <w:rFonts w:ascii="Times New Roman" w:hAnsi="Times New Roman"/>
      <w:b/>
      <w:sz w:val="32"/>
    </w:rPr>
  </w:style>
  <w:style w:type="paragraph" w:customStyle="1" w:styleId="AllowPageBreak">
    <w:name w:val="AllowPageBreak"/>
    <w:rsid w:val="00804B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4B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B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B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B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B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B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B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B2F"/>
    <w:rPr>
      <w:rFonts w:ascii="Courier New" w:eastAsia="Times New Roman" w:hAnsi="Courier New" w:cs="Times New Roman"/>
      <w:i/>
      <w:szCs w:val="20"/>
      <w:lang w:eastAsia="en-US"/>
    </w:rPr>
  </w:style>
  <w:style w:type="paragraph" w:customStyle="1" w:styleId="HeadingBase">
    <w:name w:val="Heading Base"/>
    <w:rsid w:val="00804B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B2F"/>
    <w:pPr>
      <w:tabs>
        <w:tab w:val="right" w:leader="dot" w:pos="9072"/>
      </w:tabs>
      <w:ind w:left="567"/>
    </w:pPr>
    <w:rPr>
      <w:szCs w:val="22"/>
    </w:rPr>
  </w:style>
  <w:style w:type="paragraph" w:customStyle="1" w:styleId="TOCBase">
    <w:name w:val="TOC Base"/>
    <w:rsid w:val="00804B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B2F"/>
    <w:pPr>
      <w:tabs>
        <w:tab w:val="right" w:leader="dot" w:pos="9072"/>
      </w:tabs>
      <w:spacing w:before="40" w:after="40"/>
      <w:ind w:left="284"/>
    </w:pPr>
    <w:rPr>
      <w:rFonts w:ascii="Times New Roman" w:hAnsi="Times New Roman"/>
    </w:rPr>
  </w:style>
  <w:style w:type="paragraph" w:styleId="TOC1">
    <w:name w:val="toc 1"/>
    <w:basedOn w:val="TOCBase"/>
    <w:next w:val="Normal"/>
    <w:rsid w:val="00804B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B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B2F"/>
    <w:rPr>
      <w:rFonts w:ascii="Times New Roman" w:eastAsia="Times New Roman" w:hAnsi="Times New Roman" w:cs="Times New Roman"/>
      <w:sz w:val="16"/>
      <w:lang w:eastAsia="en-US"/>
    </w:rPr>
  </w:style>
  <w:style w:type="paragraph" w:styleId="Title">
    <w:name w:val="Title"/>
    <w:basedOn w:val="HeadingBase"/>
    <w:link w:val="TitleChar"/>
    <w:qFormat/>
    <w:rsid w:val="00804B2F"/>
    <w:pPr>
      <w:spacing w:before="5040"/>
      <w:jc w:val="center"/>
    </w:pPr>
    <w:rPr>
      <w:sz w:val="48"/>
      <w:szCs w:val="72"/>
      <w:lang w:val="en-US"/>
    </w:rPr>
  </w:style>
  <w:style w:type="character" w:customStyle="1" w:styleId="TitleChar">
    <w:name w:val="Title Char"/>
    <w:basedOn w:val="DefaultParagraphFont"/>
    <w:link w:val="Title"/>
    <w:rsid w:val="00804B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B2F"/>
    <w:pPr>
      <w:tabs>
        <w:tab w:val="left" w:pos="3600"/>
        <w:tab w:val="left" w:pos="3958"/>
      </w:tabs>
    </w:pPr>
  </w:style>
  <w:style w:type="paragraph" w:styleId="List">
    <w:name w:val="List"/>
    <w:basedOn w:val="BodyText"/>
    <w:next w:val="BodyText"/>
    <w:rsid w:val="00804B2F"/>
    <w:pPr>
      <w:tabs>
        <w:tab w:val="left" w:pos="340"/>
      </w:tabs>
      <w:spacing w:before="60" w:after="60"/>
      <w:ind w:left="340" w:hanging="340"/>
    </w:pPr>
  </w:style>
  <w:style w:type="paragraph" w:customStyle="1" w:styleId="Note">
    <w:name w:val="Note"/>
    <w:basedOn w:val="BodyText"/>
    <w:rsid w:val="00804B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B2F"/>
    <w:pPr>
      <w:framePr w:wrap="auto" w:hAnchor="text" w:y="6049"/>
    </w:pPr>
    <w:rPr>
      <w:color w:val="000000"/>
      <w:sz w:val="40"/>
    </w:rPr>
  </w:style>
  <w:style w:type="paragraph" w:customStyle="1" w:styleId="TOCTitle">
    <w:name w:val="TOCTitle"/>
    <w:basedOn w:val="Heading1"/>
    <w:rsid w:val="00804B2F"/>
    <w:pPr>
      <w:spacing w:after="240"/>
      <w:jc w:val="center"/>
      <w:outlineLvl w:val="9"/>
    </w:pPr>
    <w:rPr>
      <w:caps/>
    </w:rPr>
  </w:style>
  <w:style w:type="paragraph" w:customStyle="1" w:styleId="Version">
    <w:name w:val="Version"/>
    <w:rsid w:val="00804B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4B2F"/>
    <w:pPr>
      <w:keepNext w:val="0"/>
      <w:tabs>
        <w:tab w:val="right" w:pos="4176"/>
      </w:tabs>
      <w:ind w:left="198" w:hanging="198"/>
    </w:pPr>
    <w:rPr>
      <w:rFonts w:ascii="Garamond" w:hAnsi="Garamond"/>
    </w:rPr>
  </w:style>
  <w:style w:type="paragraph" w:styleId="IndexHeading">
    <w:name w:val="index heading"/>
    <w:basedOn w:val="Normal"/>
    <w:next w:val="Index1"/>
    <w:semiHidden/>
    <w:rsid w:val="00804B2F"/>
    <w:pPr>
      <w:spacing w:before="120" w:after="120"/>
    </w:pPr>
    <w:rPr>
      <w:rFonts w:ascii="Arial" w:hAnsi="Arial"/>
      <w:b/>
      <w:color w:val="918585"/>
      <w:sz w:val="24"/>
    </w:rPr>
  </w:style>
  <w:style w:type="paragraph" w:styleId="Header">
    <w:name w:val="header"/>
    <w:basedOn w:val="Normal"/>
    <w:link w:val="HeaderChar"/>
    <w:rsid w:val="00804B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B2F"/>
    <w:rPr>
      <w:rFonts w:ascii="Times New Roman" w:eastAsia="Times New Roman" w:hAnsi="Times New Roman" w:cs="Times New Roman"/>
      <w:sz w:val="16"/>
      <w:szCs w:val="20"/>
      <w:lang w:val="en-GB" w:eastAsia="en-US"/>
    </w:rPr>
  </w:style>
  <w:style w:type="paragraph" w:customStyle="1" w:styleId="Chapter">
    <w:name w:val="Chapter"/>
    <w:basedOn w:val="Normal"/>
    <w:rsid w:val="00804B2F"/>
    <w:pPr>
      <w:spacing w:before="240"/>
    </w:pPr>
    <w:rPr>
      <w:rFonts w:ascii="Times New Roman" w:hAnsi="Times New Roman"/>
      <w:smallCaps/>
      <w:spacing w:val="80"/>
      <w:sz w:val="28"/>
    </w:rPr>
  </w:style>
  <w:style w:type="paragraph" w:customStyle="1" w:styleId="InChapter">
    <w:name w:val="InChapter"/>
    <w:basedOn w:val="Heading3"/>
    <w:rsid w:val="00804B2F"/>
    <w:pPr>
      <w:spacing w:after="240"/>
      <w:outlineLvl w:val="9"/>
    </w:pPr>
    <w:rPr>
      <w:noProof/>
    </w:rPr>
  </w:style>
  <w:style w:type="paragraph" w:styleId="Index2">
    <w:name w:val="index 2"/>
    <w:basedOn w:val="Normal"/>
    <w:next w:val="Normal"/>
    <w:semiHidden/>
    <w:rsid w:val="00804B2F"/>
    <w:pPr>
      <w:tabs>
        <w:tab w:val="right" w:pos="4176"/>
      </w:tabs>
      <w:ind w:left="568" w:hanging="284"/>
    </w:pPr>
    <w:rPr>
      <w:rFonts w:ascii="Garamond" w:hAnsi="Garamond"/>
    </w:rPr>
  </w:style>
  <w:style w:type="paragraph" w:customStyle="1" w:styleId="Byline">
    <w:name w:val="Byline"/>
    <w:rsid w:val="00804B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B2F"/>
    <w:pPr>
      <w:tabs>
        <w:tab w:val="clear" w:pos="3600"/>
        <w:tab w:val="clear" w:pos="3958"/>
      </w:tabs>
      <w:jc w:val="right"/>
    </w:pPr>
  </w:style>
  <w:style w:type="character" w:styleId="Emphasis">
    <w:name w:val="Emphasis"/>
    <w:basedOn w:val="DefaultParagraphFont"/>
    <w:qFormat/>
    <w:rsid w:val="00804B2F"/>
    <w:rPr>
      <w:i/>
    </w:rPr>
  </w:style>
  <w:style w:type="paragraph" w:styleId="Caption">
    <w:name w:val="caption"/>
    <w:basedOn w:val="BodyText"/>
    <w:next w:val="Normal"/>
    <w:qFormat/>
    <w:rsid w:val="00804B2F"/>
    <w:pPr>
      <w:framePr w:w="2268" w:hSpace="181" w:vSpace="181" w:wrap="around" w:vAnchor="text" w:hAnchor="page" w:x="1135" w:y="285" w:anchorLock="1"/>
    </w:pPr>
    <w:rPr>
      <w:i/>
    </w:rPr>
  </w:style>
  <w:style w:type="paragraph" w:customStyle="1" w:styleId="MiniTOCTitle">
    <w:name w:val="MiniTOCTitle"/>
    <w:basedOn w:val="Heading4"/>
    <w:rsid w:val="00804B2F"/>
    <w:pPr>
      <w:spacing w:before="240"/>
      <w:outlineLvl w:val="9"/>
    </w:pPr>
    <w:rPr>
      <w:noProof/>
      <w:sz w:val="24"/>
    </w:rPr>
  </w:style>
  <w:style w:type="paragraph" w:customStyle="1" w:styleId="MiniTOCItem">
    <w:name w:val="MiniTOCItem"/>
    <w:basedOn w:val="ListBullet"/>
    <w:rsid w:val="00804B2F"/>
    <w:pPr>
      <w:numPr>
        <w:numId w:val="0"/>
      </w:numPr>
      <w:tabs>
        <w:tab w:val="right" w:leader="dot" w:pos="6521"/>
      </w:tabs>
      <w:spacing w:before="0" w:after="0"/>
    </w:pPr>
  </w:style>
  <w:style w:type="paragraph" w:customStyle="1" w:styleId="TOFTitle">
    <w:name w:val="TOFTitle"/>
    <w:basedOn w:val="TOCTitle"/>
    <w:rsid w:val="00804B2F"/>
  </w:style>
  <w:style w:type="paragraph" w:styleId="TableofFigures">
    <w:name w:val="table of figures"/>
    <w:basedOn w:val="Normal"/>
    <w:next w:val="Normal"/>
    <w:semiHidden/>
    <w:rsid w:val="00804B2F"/>
    <w:pPr>
      <w:tabs>
        <w:tab w:val="right" w:leader="dot" w:pos="9072"/>
      </w:tabs>
      <w:ind w:left="970" w:hanging="403"/>
    </w:pPr>
    <w:rPr>
      <w:rFonts w:ascii="Times New Roman" w:hAnsi="Times New Roman"/>
      <w:b/>
    </w:rPr>
  </w:style>
  <w:style w:type="paragraph" w:styleId="ListNumber">
    <w:name w:val="List Number"/>
    <w:basedOn w:val="List"/>
    <w:rsid w:val="00804B2F"/>
    <w:pPr>
      <w:numPr>
        <w:numId w:val="15"/>
      </w:numPr>
      <w:tabs>
        <w:tab w:val="clear" w:pos="340"/>
      </w:tabs>
    </w:pPr>
  </w:style>
  <w:style w:type="character" w:customStyle="1" w:styleId="WingdingSymbols">
    <w:name w:val="Wingding Symbols"/>
    <w:rsid w:val="00804B2F"/>
    <w:rPr>
      <w:rFonts w:ascii="Wingdings" w:hAnsi="Wingdings"/>
    </w:rPr>
  </w:style>
  <w:style w:type="paragraph" w:customStyle="1" w:styleId="TableHeading">
    <w:name w:val="Table Heading"/>
    <w:basedOn w:val="HeadingBase"/>
    <w:rsid w:val="00804B2F"/>
    <w:pPr>
      <w:keepLines/>
      <w:pBdr>
        <w:bottom w:val="single" w:sz="6" w:space="1" w:color="918585"/>
      </w:pBdr>
      <w:spacing w:before="240"/>
    </w:pPr>
  </w:style>
  <w:style w:type="character" w:customStyle="1" w:styleId="HotSpot">
    <w:name w:val="HotSpot"/>
    <w:rsid w:val="00804B2F"/>
    <w:rPr>
      <w:color w:val="0033CC"/>
      <w:u w:val="none"/>
    </w:rPr>
  </w:style>
  <w:style w:type="paragraph" w:customStyle="1" w:styleId="BodyTextRight">
    <w:name w:val="Body Text Right"/>
    <w:basedOn w:val="BodyText"/>
    <w:rsid w:val="00804B2F"/>
    <w:pPr>
      <w:spacing w:before="0" w:after="0"/>
      <w:jc w:val="right"/>
    </w:pPr>
  </w:style>
  <w:style w:type="paragraph" w:styleId="Index3">
    <w:name w:val="index 3"/>
    <w:basedOn w:val="ListNumber2"/>
    <w:next w:val="Normal"/>
    <w:semiHidden/>
    <w:rsid w:val="00804B2F"/>
    <w:pPr>
      <w:numPr>
        <w:numId w:val="0"/>
      </w:numPr>
      <w:tabs>
        <w:tab w:val="right" w:leader="dot" w:pos="4176"/>
      </w:tabs>
    </w:pPr>
  </w:style>
  <w:style w:type="paragraph" w:styleId="ListNumber2">
    <w:name w:val="List Number 2"/>
    <w:basedOn w:val="List2"/>
    <w:rsid w:val="00804B2F"/>
    <w:pPr>
      <w:numPr>
        <w:numId w:val="10"/>
      </w:numPr>
      <w:tabs>
        <w:tab w:val="clear" w:pos="1060"/>
      </w:tabs>
    </w:pPr>
  </w:style>
  <w:style w:type="paragraph" w:customStyle="1" w:styleId="MarginNote">
    <w:name w:val="Margin Note"/>
    <w:basedOn w:val="BodyText"/>
    <w:rsid w:val="00804B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B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B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B2F"/>
    <w:rPr>
      <w:sz w:val="32"/>
    </w:rPr>
  </w:style>
  <w:style w:type="paragraph" w:customStyle="1" w:styleId="HeadingProcedure">
    <w:name w:val="Heading Procedure"/>
    <w:basedOn w:val="HeadingBase"/>
    <w:next w:val="Normal"/>
    <w:rsid w:val="00804B2F"/>
    <w:pPr>
      <w:tabs>
        <w:tab w:val="left" w:pos="0"/>
      </w:tabs>
      <w:spacing w:before="120" w:after="60"/>
    </w:pPr>
    <w:rPr>
      <w:i/>
      <w:color w:val="918585"/>
      <w:sz w:val="22"/>
    </w:rPr>
  </w:style>
  <w:style w:type="paragraph" w:customStyle="1" w:styleId="TableBodyText">
    <w:name w:val="Table Body Text"/>
    <w:basedOn w:val="BodyText"/>
    <w:rsid w:val="00804B2F"/>
    <w:pPr>
      <w:spacing w:before="60" w:after="60"/>
    </w:pPr>
  </w:style>
  <w:style w:type="paragraph" w:styleId="ListContinue">
    <w:name w:val="List Continue"/>
    <w:basedOn w:val="List"/>
    <w:rsid w:val="00804B2F"/>
    <w:pPr>
      <w:ind w:firstLine="0"/>
    </w:pPr>
  </w:style>
  <w:style w:type="paragraph" w:customStyle="1" w:styleId="ListNote">
    <w:name w:val="List Note"/>
    <w:basedOn w:val="List"/>
    <w:rsid w:val="00804B2F"/>
    <w:pPr>
      <w:pBdr>
        <w:top w:val="single" w:sz="6" w:space="2" w:color="918585"/>
        <w:bottom w:val="single" w:sz="6" w:space="2" w:color="918585"/>
      </w:pBdr>
      <w:tabs>
        <w:tab w:val="left" w:pos="1021"/>
      </w:tabs>
      <w:ind w:firstLine="0"/>
    </w:pPr>
  </w:style>
  <w:style w:type="paragraph" w:customStyle="1" w:styleId="Warning">
    <w:name w:val="Warning"/>
    <w:basedOn w:val="BodyText"/>
    <w:rsid w:val="00804B2F"/>
    <w:pPr>
      <w:shd w:val="clear" w:color="auto" w:fill="D9D9D9"/>
      <w:tabs>
        <w:tab w:val="left" w:pos="992"/>
      </w:tabs>
      <w:ind w:left="119" w:right="119"/>
    </w:pPr>
    <w:rPr>
      <w:sz w:val="20"/>
    </w:rPr>
  </w:style>
  <w:style w:type="paragraph" w:customStyle="1" w:styleId="MarginIcons">
    <w:name w:val="Margin Icons"/>
    <w:basedOn w:val="BodyText"/>
    <w:rsid w:val="00804B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B2F"/>
    <w:rPr>
      <w:rFonts w:ascii="Courier New" w:hAnsi="Courier New"/>
    </w:rPr>
  </w:style>
  <w:style w:type="paragraph" w:customStyle="1" w:styleId="NoteBullet">
    <w:name w:val="Note Bullet"/>
    <w:basedOn w:val="Note"/>
    <w:rsid w:val="00804B2F"/>
    <w:pPr>
      <w:tabs>
        <w:tab w:val="clear" w:pos="680"/>
      </w:tabs>
      <w:spacing w:before="60" w:after="60"/>
    </w:pPr>
  </w:style>
  <w:style w:type="paragraph" w:customStyle="1" w:styleId="SubHeading2">
    <w:name w:val="SubHeading2"/>
    <w:basedOn w:val="HeadingBase"/>
    <w:rsid w:val="00804B2F"/>
    <w:pPr>
      <w:spacing w:before="240" w:after="60"/>
    </w:pPr>
    <w:rPr>
      <w:sz w:val="20"/>
    </w:rPr>
  </w:style>
  <w:style w:type="paragraph" w:customStyle="1" w:styleId="SubHeading1">
    <w:name w:val="SubHeading1"/>
    <w:basedOn w:val="HeadingBase"/>
    <w:rsid w:val="00804B2F"/>
    <w:pPr>
      <w:spacing w:before="240" w:after="60"/>
    </w:pPr>
    <w:rPr>
      <w:color w:val="918585"/>
      <w:sz w:val="22"/>
    </w:rPr>
  </w:style>
  <w:style w:type="paragraph" w:customStyle="1" w:styleId="SideHeading">
    <w:name w:val="Side Heading"/>
    <w:basedOn w:val="HeadingBase"/>
    <w:rsid w:val="00804B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B2F"/>
    <w:pPr>
      <w:tabs>
        <w:tab w:val="num" w:pos="360"/>
      </w:tabs>
    </w:pPr>
  </w:style>
  <w:style w:type="paragraph" w:styleId="PlainText">
    <w:name w:val="Plain Text"/>
    <w:basedOn w:val="Normal"/>
    <w:link w:val="PlainTextChar"/>
    <w:rsid w:val="00804B2F"/>
    <w:rPr>
      <w:sz w:val="20"/>
    </w:rPr>
  </w:style>
  <w:style w:type="character" w:customStyle="1" w:styleId="PlainTextChar">
    <w:name w:val="Plain Text Char"/>
    <w:basedOn w:val="DefaultParagraphFont"/>
    <w:link w:val="PlainText"/>
    <w:rsid w:val="00804B2F"/>
    <w:rPr>
      <w:rFonts w:ascii="Courier New" w:eastAsia="Times New Roman" w:hAnsi="Courier New" w:cs="Times New Roman"/>
      <w:sz w:val="20"/>
      <w:szCs w:val="20"/>
      <w:lang w:eastAsia="en-US"/>
    </w:rPr>
  </w:style>
  <w:style w:type="character" w:customStyle="1" w:styleId="MenuOption">
    <w:name w:val="Menu Option"/>
    <w:basedOn w:val="DefaultParagraphFont"/>
    <w:rsid w:val="00804B2F"/>
    <w:rPr>
      <w:b/>
      <w:smallCaps/>
    </w:rPr>
  </w:style>
  <w:style w:type="paragraph" w:customStyle="1" w:styleId="TableListNumber">
    <w:name w:val="Table List Number"/>
    <w:basedOn w:val="ListNumber"/>
    <w:rsid w:val="00804B2F"/>
    <w:pPr>
      <w:numPr>
        <w:numId w:val="0"/>
      </w:numPr>
    </w:pPr>
  </w:style>
  <w:style w:type="paragraph" w:styleId="TOC4">
    <w:name w:val="toc 4"/>
    <w:basedOn w:val="TOCBase"/>
    <w:next w:val="Normal"/>
    <w:semiHidden/>
    <w:rsid w:val="00804B2F"/>
    <w:pPr>
      <w:tabs>
        <w:tab w:val="right" w:leader="dot" w:pos="9071"/>
      </w:tabs>
      <w:ind w:left="1701"/>
    </w:pPr>
  </w:style>
  <w:style w:type="paragraph" w:customStyle="1" w:styleId="ListAlpha">
    <w:name w:val="List Alpha"/>
    <w:basedOn w:val="List"/>
    <w:rsid w:val="00804B2F"/>
    <w:pPr>
      <w:numPr>
        <w:numId w:val="9"/>
      </w:numPr>
    </w:pPr>
  </w:style>
  <w:style w:type="paragraph" w:customStyle="1" w:styleId="ListAlpha2">
    <w:name w:val="List Alpha 2"/>
    <w:basedOn w:val="List2"/>
    <w:rsid w:val="00804B2F"/>
    <w:pPr>
      <w:numPr>
        <w:numId w:val="8"/>
      </w:numPr>
    </w:pPr>
  </w:style>
  <w:style w:type="paragraph" w:styleId="List2">
    <w:name w:val="List 2"/>
    <w:basedOn w:val="BodyText"/>
    <w:rsid w:val="00804B2F"/>
    <w:pPr>
      <w:tabs>
        <w:tab w:val="left" w:pos="680"/>
      </w:tabs>
      <w:spacing w:before="60" w:after="60"/>
      <w:ind w:left="680" w:hanging="340"/>
    </w:pPr>
  </w:style>
  <w:style w:type="paragraph" w:styleId="List3">
    <w:name w:val="List 3"/>
    <w:basedOn w:val="BodyText"/>
    <w:rsid w:val="00804B2F"/>
    <w:pPr>
      <w:tabs>
        <w:tab w:val="left" w:pos="1021"/>
      </w:tabs>
      <w:spacing w:before="60" w:after="60"/>
      <w:ind w:left="1020" w:hanging="340"/>
    </w:pPr>
  </w:style>
  <w:style w:type="paragraph" w:styleId="List4">
    <w:name w:val="List 4"/>
    <w:basedOn w:val="BodyText"/>
    <w:rsid w:val="00804B2F"/>
    <w:pPr>
      <w:tabs>
        <w:tab w:val="left" w:pos="1361"/>
      </w:tabs>
      <w:spacing w:before="60" w:after="60"/>
      <w:ind w:left="1361" w:hanging="340"/>
    </w:pPr>
  </w:style>
  <w:style w:type="paragraph" w:styleId="List5">
    <w:name w:val="List 5"/>
    <w:basedOn w:val="BodyText"/>
    <w:rsid w:val="00804B2F"/>
    <w:pPr>
      <w:tabs>
        <w:tab w:val="left" w:pos="1701"/>
      </w:tabs>
      <w:spacing w:before="60" w:after="60"/>
      <w:ind w:left="1701" w:hanging="340"/>
    </w:pPr>
  </w:style>
  <w:style w:type="paragraph" w:styleId="ListBullet3">
    <w:name w:val="List Bullet 3"/>
    <w:basedOn w:val="List3"/>
    <w:rsid w:val="00804B2F"/>
    <w:pPr>
      <w:numPr>
        <w:numId w:val="14"/>
      </w:numPr>
      <w:tabs>
        <w:tab w:val="clear" w:pos="1021"/>
      </w:tabs>
      <w:ind w:left="1037" w:hanging="357"/>
    </w:pPr>
  </w:style>
  <w:style w:type="paragraph" w:styleId="ListBullet4">
    <w:name w:val="List Bullet 4"/>
    <w:basedOn w:val="List4"/>
    <w:rsid w:val="00804B2F"/>
    <w:pPr>
      <w:numPr>
        <w:numId w:val="3"/>
      </w:numPr>
      <w:tabs>
        <w:tab w:val="clear" w:pos="1361"/>
      </w:tabs>
    </w:pPr>
  </w:style>
  <w:style w:type="paragraph" w:styleId="ListBullet5">
    <w:name w:val="List Bullet 5"/>
    <w:basedOn w:val="List5"/>
    <w:rsid w:val="00804B2F"/>
    <w:pPr>
      <w:numPr>
        <w:numId w:val="4"/>
      </w:numPr>
    </w:pPr>
  </w:style>
  <w:style w:type="paragraph" w:styleId="ListContinue2">
    <w:name w:val="List Continue 2"/>
    <w:basedOn w:val="List2"/>
    <w:rsid w:val="00804B2F"/>
    <w:pPr>
      <w:ind w:firstLine="0"/>
    </w:pPr>
  </w:style>
  <w:style w:type="paragraph" w:styleId="ListContinue3">
    <w:name w:val="List Continue 3"/>
    <w:basedOn w:val="List3"/>
    <w:rsid w:val="00804B2F"/>
    <w:pPr>
      <w:ind w:left="1021" w:firstLine="0"/>
    </w:pPr>
  </w:style>
  <w:style w:type="paragraph" w:styleId="ListContinue4">
    <w:name w:val="List Continue 4"/>
    <w:basedOn w:val="List4"/>
    <w:rsid w:val="00804B2F"/>
    <w:pPr>
      <w:ind w:firstLine="0"/>
    </w:pPr>
  </w:style>
  <w:style w:type="paragraph" w:styleId="ListContinue5">
    <w:name w:val="List Continue 5"/>
    <w:basedOn w:val="List5"/>
    <w:rsid w:val="00804B2F"/>
    <w:pPr>
      <w:ind w:firstLine="0"/>
    </w:pPr>
  </w:style>
  <w:style w:type="paragraph" w:styleId="ListNumber3">
    <w:name w:val="List Number 3"/>
    <w:basedOn w:val="List3"/>
    <w:rsid w:val="00804B2F"/>
    <w:pPr>
      <w:numPr>
        <w:numId w:val="5"/>
      </w:numPr>
    </w:pPr>
  </w:style>
  <w:style w:type="paragraph" w:styleId="ListNumber4">
    <w:name w:val="List Number 4"/>
    <w:basedOn w:val="List4"/>
    <w:rsid w:val="00804B2F"/>
    <w:pPr>
      <w:numPr>
        <w:numId w:val="6"/>
      </w:numPr>
    </w:pPr>
  </w:style>
  <w:style w:type="paragraph" w:styleId="ListNumber5">
    <w:name w:val="List Number 5"/>
    <w:basedOn w:val="List5"/>
    <w:rsid w:val="00804B2F"/>
    <w:pPr>
      <w:numPr>
        <w:numId w:val="7"/>
      </w:numPr>
    </w:pPr>
  </w:style>
  <w:style w:type="paragraph" w:styleId="BlockText">
    <w:name w:val="Block Text"/>
    <w:basedOn w:val="Normal"/>
    <w:rsid w:val="00804B2F"/>
    <w:pPr>
      <w:spacing w:after="120"/>
      <w:ind w:left="1440" w:right="1440"/>
    </w:pPr>
  </w:style>
  <w:style w:type="character" w:customStyle="1" w:styleId="Subscript">
    <w:name w:val="Subscript"/>
    <w:basedOn w:val="DefaultParagraphFont"/>
    <w:rsid w:val="00804B2F"/>
    <w:rPr>
      <w:sz w:val="16"/>
      <w:vertAlign w:val="subscript"/>
    </w:rPr>
  </w:style>
  <w:style w:type="character" w:customStyle="1" w:styleId="Superscript">
    <w:name w:val="Superscript"/>
    <w:basedOn w:val="DefaultParagraphFont"/>
    <w:rsid w:val="00804B2F"/>
    <w:rPr>
      <w:sz w:val="16"/>
      <w:vertAlign w:val="superscript"/>
    </w:rPr>
  </w:style>
  <w:style w:type="character" w:customStyle="1" w:styleId="Symbols">
    <w:name w:val="Symbols"/>
    <w:basedOn w:val="DefaultParagraphFont"/>
    <w:rsid w:val="00804B2F"/>
    <w:rPr>
      <w:rFonts w:ascii="Symbol" w:hAnsi="Symbol"/>
    </w:rPr>
  </w:style>
  <w:style w:type="character" w:customStyle="1" w:styleId="MenuOptions">
    <w:name w:val="Menu Options"/>
    <w:basedOn w:val="DefaultParagraphFont"/>
    <w:rsid w:val="00804B2F"/>
    <w:rPr>
      <w:rFonts w:ascii="Arial Narrow" w:hAnsi="Arial Narrow"/>
      <w:smallCaps/>
    </w:rPr>
  </w:style>
  <w:style w:type="character" w:customStyle="1" w:styleId="Buttons">
    <w:name w:val="Buttons"/>
    <w:basedOn w:val="DefaultParagraphFont"/>
    <w:rsid w:val="00804B2F"/>
    <w:rPr>
      <w:b/>
    </w:rPr>
  </w:style>
  <w:style w:type="character" w:customStyle="1" w:styleId="Underlined">
    <w:name w:val="Underlined"/>
    <w:basedOn w:val="DefaultParagraphFont"/>
    <w:rsid w:val="00804B2F"/>
    <w:rPr>
      <w:u w:val="single"/>
    </w:rPr>
  </w:style>
  <w:style w:type="paragraph" w:customStyle="1" w:styleId="TableBodyTextRight">
    <w:name w:val="Table Body Text Right"/>
    <w:basedOn w:val="TableBodyText"/>
    <w:rsid w:val="00804B2F"/>
    <w:pPr>
      <w:widowControl w:val="0"/>
      <w:autoSpaceDE w:val="0"/>
      <w:autoSpaceDN w:val="0"/>
      <w:adjustRightInd w:val="0"/>
      <w:jc w:val="right"/>
    </w:pPr>
    <w:rPr>
      <w:rFonts w:cs="Arial"/>
      <w:szCs w:val="18"/>
    </w:rPr>
  </w:style>
  <w:style w:type="paragraph" w:customStyle="1" w:styleId="CopyrightText">
    <w:name w:val="Copyright Text"/>
    <w:basedOn w:val="BodyText"/>
    <w:rsid w:val="00804B2F"/>
    <w:rPr>
      <w:sz w:val="18"/>
    </w:rPr>
  </w:style>
  <w:style w:type="paragraph" w:customStyle="1" w:styleId="BodySmallRight">
    <w:name w:val="Body Small Right"/>
    <w:basedOn w:val="BodyTextRight"/>
    <w:rsid w:val="00804B2F"/>
    <w:rPr>
      <w:sz w:val="18"/>
      <w:szCs w:val="18"/>
    </w:rPr>
  </w:style>
  <w:style w:type="paragraph" w:customStyle="1" w:styleId="MarginEdition">
    <w:name w:val="Margin Edition"/>
    <w:basedOn w:val="MarginNote"/>
    <w:rsid w:val="00804B2F"/>
    <w:pPr>
      <w:spacing w:before="0" w:after="0"/>
    </w:pPr>
    <w:rPr>
      <w:rFonts w:ascii="Times New Roman" w:hAnsi="Times New Roman"/>
      <w:color w:val="999999"/>
    </w:rPr>
  </w:style>
  <w:style w:type="paragraph" w:customStyle="1" w:styleId="Spacer">
    <w:name w:val="Spacer"/>
    <w:basedOn w:val="Normal"/>
    <w:rsid w:val="00804B2F"/>
    <w:rPr>
      <w:sz w:val="2"/>
      <w:szCs w:val="2"/>
    </w:rPr>
  </w:style>
  <w:style w:type="character" w:customStyle="1" w:styleId="Small">
    <w:name w:val="Small"/>
    <w:basedOn w:val="DefaultParagraphFont"/>
    <w:rsid w:val="00804B2F"/>
    <w:rPr>
      <w:sz w:val="16"/>
    </w:rPr>
  </w:style>
  <w:style w:type="paragraph" w:customStyle="1" w:styleId="WideTable">
    <w:name w:val="Wide Table"/>
    <w:basedOn w:val="Normal"/>
    <w:rsid w:val="00804B2F"/>
    <w:pPr>
      <w:ind w:left="-1418"/>
    </w:pPr>
    <w:rPr>
      <w:sz w:val="2"/>
      <w:szCs w:val="2"/>
    </w:rPr>
  </w:style>
  <w:style w:type="character" w:styleId="PageNumber">
    <w:name w:val="page number"/>
    <w:basedOn w:val="DefaultParagraphFont"/>
    <w:rsid w:val="00804B2F"/>
  </w:style>
  <w:style w:type="paragraph" w:styleId="Quote">
    <w:name w:val="Quote"/>
    <w:basedOn w:val="Heading1"/>
    <w:link w:val="QuoteChar"/>
    <w:qFormat/>
    <w:rsid w:val="00804B2F"/>
    <w:rPr>
      <w:b w:val="0"/>
      <w:sz w:val="72"/>
      <w:szCs w:val="72"/>
      <w:lang w:val="en-NZ"/>
    </w:rPr>
  </w:style>
  <w:style w:type="character" w:customStyle="1" w:styleId="QuoteChar">
    <w:name w:val="Quote Char"/>
    <w:basedOn w:val="DefaultParagraphFont"/>
    <w:link w:val="Quote"/>
    <w:rsid w:val="00804B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B2F"/>
    <w:pPr>
      <w:pageBreakBefore/>
    </w:pPr>
  </w:style>
  <w:style w:type="paragraph" w:customStyle="1" w:styleId="Border">
    <w:name w:val="Border"/>
    <w:basedOn w:val="Normal"/>
    <w:qFormat/>
    <w:rsid w:val="00804B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B2F"/>
    <w:rPr>
      <w:b/>
      <w:bCs/>
      <w:i/>
      <w:iCs/>
      <w:color w:val="auto"/>
    </w:rPr>
  </w:style>
  <w:style w:type="paragraph" w:styleId="IntenseQuote">
    <w:name w:val="Intense Quote"/>
    <w:basedOn w:val="Normal"/>
    <w:next w:val="Normal"/>
    <w:link w:val="IntenseQuoteChar"/>
    <w:uiPriority w:val="30"/>
    <w:qFormat/>
    <w:rsid w:val="00804B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B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B2F"/>
    <w:rPr>
      <w:smallCaps/>
      <w:color w:val="auto"/>
      <w:u w:val="single"/>
    </w:rPr>
  </w:style>
  <w:style w:type="character" w:styleId="IntenseReference">
    <w:name w:val="Intense Reference"/>
    <w:basedOn w:val="DefaultParagraphFont"/>
    <w:uiPriority w:val="32"/>
    <w:qFormat/>
    <w:rsid w:val="00804B2F"/>
    <w:rPr>
      <w:b/>
      <w:bCs/>
      <w:smallCaps/>
      <w:color w:val="auto"/>
      <w:spacing w:val="5"/>
      <w:u w:val="single"/>
    </w:rPr>
  </w:style>
  <w:style w:type="paragraph" w:customStyle="1" w:styleId="2ColumnHeading">
    <w:name w:val="2Column Heading"/>
    <w:basedOn w:val="BodyText"/>
    <w:qFormat/>
    <w:rsid w:val="00804B2F"/>
    <w:pPr>
      <w:spacing w:after="60"/>
      <w:ind w:left="-2268"/>
    </w:pPr>
    <w:rPr>
      <w:b/>
    </w:rPr>
  </w:style>
  <w:style w:type="paragraph" w:customStyle="1" w:styleId="Heading1TOC">
    <w:name w:val="Heading1 TOC"/>
    <w:basedOn w:val="Normal"/>
    <w:qFormat/>
    <w:rsid w:val="00804B2F"/>
    <w:pPr>
      <w:spacing w:before="240" w:after="120"/>
    </w:pPr>
    <w:rPr>
      <w:rFonts w:ascii="Times New Roman" w:hAnsi="Times New Roman"/>
      <w:b/>
      <w:sz w:val="32"/>
    </w:rPr>
  </w:style>
  <w:style w:type="paragraph" w:customStyle="1" w:styleId="Heading2TOC">
    <w:name w:val="Heading2 TOC"/>
    <w:basedOn w:val="Normal"/>
    <w:qFormat/>
    <w:rsid w:val="00804B2F"/>
    <w:pPr>
      <w:spacing w:before="240" w:after="60"/>
    </w:pPr>
    <w:rPr>
      <w:rFonts w:ascii="Times New Roman" w:hAnsi="Times New Roman"/>
      <w:b/>
      <w:sz w:val="28"/>
    </w:rPr>
  </w:style>
  <w:style w:type="character" w:customStyle="1" w:styleId="Underline">
    <w:name w:val="Underline"/>
    <w:basedOn w:val="DefaultParagraphFont"/>
    <w:qFormat/>
    <w:rsid w:val="00804B2F"/>
    <w:rPr>
      <w:u w:val="single"/>
    </w:rPr>
  </w:style>
  <w:style w:type="character" w:customStyle="1" w:styleId="BoldandItalics">
    <w:name w:val="Bold and Italics"/>
    <w:qFormat/>
    <w:rsid w:val="00804B2F"/>
    <w:rPr>
      <w:b/>
      <w:i/>
      <w:u w:val="none"/>
    </w:rPr>
  </w:style>
  <w:style w:type="paragraph" w:styleId="BalloonText">
    <w:name w:val="Balloon Text"/>
    <w:basedOn w:val="Normal"/>
    <w:link w:val="BalloonTextChar"/>
    <w:rsid w:val="00804B2F"/>
    <w:rPr>
      <w:rFonts w:ascii="Tahoma" w:hAnsi="Tahoma" w:cs="Tahoma"/>
      <w:sz w:val="16"/>
      <w:szCs w:val="16"/>
    </w:rPr>
  </w:style>
  <w:style w:type="character" w:customStyle="1" w:styleId="BalloonTextChar">
    <w:name w:val="Balloon Text Char"/>
    <w:basedOn w:val="DefaultParagraphFont"/>
    <w:link w:val="BalloonText"/>
    <w:rsid w:val="00804B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B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4B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B2F"/>
    <w:rPr>
      <w:b/>
      <w:color w:val="660033"/>
      <w:spacing w:val="0"/>
    </w:rPr>
  </w:style>
  <w:style w:type="paragraph" w:customStyle="1" w:styleId="Nameditemlist">
    <w:name w:val="Named item list"/>
    <w:basedOn w:val="BodyText"/>
    <w:qFormat/>
    <w:rsid w:val="00804B2F"/>
    <w:pPr>
      <w:tabs>
        <w:tab w:val="left" w:pos="2835"/>
      </w:tabs>
      <w:ind w:left="2835" w:hanging="2835"/>
    </w:pPr>
  </w:style>
  <w:style w:type="paragraph" w:customStyle="1" w:styleId="BodyTextnopadding">
    <w:name w:val="Body Text no padding"/>
    <w:basedOn w:val="BodyText"/>
    <w:qFormat/>
    <w:rsid w:val="00804B2F"/>
    <w:pPr>
      <w:spacing w:before="0" w:after="0"/>
    </w:pPr>
  </w:style>
  <w:style w:type="paragraph" w:customStyle="1" w:styleId="BodyTextBold">
    <w:name w:val="Body Text Bold"/>
    <w:basedOn w:val="BodyText"/>
    <w:qFormat/>
    <w:rsid w:val="00804B2F"/>
    <w:rPr>
      <w:b/>
    </w:rPr>
  </w:style>
  <w:style w:type="character" w:styleId="Hyperlink">
    <w:name w:val="Hyperlink"/>
    <w:basedOn w:val="DefaultParagraphFont"/>
    <w:uiPriority w:val="99"/>
    <w:unhideWhenUsed/>
    <w:rsid w:val="00C87C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1184</Words>
  <Characters>7875</Characters>
  <Application>Microsoft Office Word</Application>
  <DocSecurity>0</DocSecurity>
  <Lines>271</Lines>
  <Paragraphs>150</Paragraphs>
  <ScaleCrop>false</ScaleCrop>
  <Company>Author-it Software Corporation Ltd.</Company>
  <LinksUpToDate>false</LinksUpToDate>
  <CharactersWithSpaces>8909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UEPOPS093 Operate and monitor flue gas (NOx) mitigation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2025-03-02T00:39:00Z</dcterms:created>
  <dcterms:modified xsi:type="dcterms:W3CDTF">2025-03-02T00:39:00Z</dcterms:modified>
</cp:coreProperties>
</file>