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2296" w:rsidP="004B22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UEPOPS093 Operate and monitor flue gas (NOx) mitigation systems</w:t>
      </w:r>
      <w:r>
        <w:fldChar w:fldCharType="end"/>
      </w:r>
    </w:p>
    <w:p w:rsidR="004B2296" w:rsidP="004B2296">
      <w:pPr>
        <w:pStyle w:val="Version"/>
        <w:sectPr w:rsidSect="009056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567F" w:rsidP="0090567F">
      <w:pPr>
        <w:pStyle w:val="SuperHeading"/>
      </w:pPr>
      <w:r w:rsidRPr="0090567F">
        <w:t>Assessment Requirements for UEPOPS093 Operate and monitor flue gas (NOx) mitigation systems</w:t>
      </w:r>
    </w:p>
    <w:p w:rsidR="00000000" w:rsidRPr="0090567F" w:rsidP="0090567F">
      <w:pPr>
        <w:pStyle w:val="Heading1"/>
      </w:pPr>
      <w:bookmarkStart w:id="1" w:name="O_1192676"/>
      <w:bookmarkEnd w:id="1"/>
      <w:r w:rsidRPr="0090567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6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67F" w:rsidP="0090567F">
            <w:pPr>
              <w:pStyle w:val="BodyText"/>
            </w:pPr>
            <w:r w:rsidRPr="0090567F">
              <w:t>Release 1. This is the first release of this unit of competency in the UEP Electricity Supply Industry –</w:t>
            </w:r>
            <w:r w:rsidRPr="0090567F">
              <w:t xml:space="preserve"> Generation Sector Training Package Release 2.0.</w:t>
            </w:r>
          </w:p>
        </w:tc>
      </w:tr>
    </w:tbl>
    <w:p w:rsidR="00000000" w:rsidRPr="0090567F" w:rsidP="0090567F">
      <w:pPr>
        <w:pStyle w:val="NoPaddingFontSize1"/>
      </w:pPr>
    </w:p>
    <w:p w:rsidR="00000000" w:rsidRPr="0090567F" w:rsidP="0090567F">
      <w:pPr>
        <w:pStyle w:val="AllowPageBreak"/>
      </w:pPr>
    </w:p>
    <w:p w:rsidR="00000000" w:rsidRPr="0090567F" w:rsidP="0090567F">
      <w:pPr>
        <w:pStyle w:val="Heading1"/>
      </w:pPr>
      <w:bookmarkStart w:id="2" w:name="O_1192677"/>
      <w:bookmarkEnd w:id="2"/>
      <w:r w:rsidRPr="0090567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6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67F">
            <w:pPr>
              <w:pStyle w:val="BodyText"/>
              <w:rPr>
                <w:lang w:val="en-NZ"/>
              </w:rPr>
            </w:pPr>
            <w:r w:rsidRPr="0090567F">
              <w:t>Evidence required to demonstrate competence in this unit must be relevant to and satisfy all the requirements of the elements and performance criteria on at least tw</w:t>
            </w:r>
            <w:r w:rsidRPr="0090567F">
              <w:t>o separate occasions and include:</w:t>
            </w:r>
          </w:p>
        </w:tc>
      </w:tr>
      <w:tr w:rsidTr="009056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67F" w:rsidP="0090567F">
            <w:pPr>
              <w:pStyle w:val="ListBullet"/>
            </w:pPr>
            <w:r w:rsidRPr="0090567F">
              <w:t xml:space="preserve">analysing NOx mitigation plant faults using data analysis techniques and tools  </w:t>
            </w:r>
          </w:p>
          <w:p w:rsidR="00000000" w:rsidRPr="0090567F" w:rsidP="0090567F">
            <w:pPr>
              <w:pStyle w:val="ListBullet"/>
            </w:pPr>
            <w:r w:rsidRPr="0090567F">
              <w:t>applying work health and safety (WHS)/occupational health and safety (OHS) requirements, including:</w:t>
            </w:r>
          </w:p>
          <w:p w:rsidR="00000000" w:rsidRPr="0090567F" w:rsidP="0090567F">
            <w:pPr>
              <w:pStyle w:val="ListBullet2"/>
            </w:pPr>
            <w:r w:rsidRPr="0090567F">
              <w:t>emergency procedures</w:t>
            </w:r>
          </w:p>
          <w:p w:rsidR="00000000" w:rsidRPr="0090567F" w:rsidP="0090567F">
            <w:pPr>
              <w:pStyle w:val="ListBullet2"/>
            </w:pPr>
            <w:r w:rsidRPr="0090567F">
              <w:t>risk control measures</w:t>
            </w:r>
          </w:p>
          <w:p w:rsidR="00000000" w:rsidRPr="0090567F" w:rsidP="0090567F">
            <w:pPr>
              <w:pStyle w:val="ListBullet2"/>
            </w:pPr>
            <w:r w:rsidRPr="0090567F">
              <w:t>safe working practices</w:t>
            </w:r>
          </w:p>
          <w:p w:rsidR="00000000" w:rsidRPr="0090567F" w:rsidP="0090567F">
            <w:pPr>
              <w:pStyle w:val="ListBullet"/>
            </w:pPr>
            <w:r w:rsidRPr="0090567F">
              <w:t>communicating with personnel</w:t>
            </w:r>
          </w:p>
          <w:p w:rsidR="00000000" w:rsidRPr="0090567F" w:rsidP="0090567F">
            <w:pPr>
              <w:pStyle w:val="ListBullet"/>
            </w:pPr>
            <w:r w:rsidRPr="0090567F">
              <w:t>completing documentation using recording procedures</w:t>
            </w:r>
          </w:p>
          <w:p w:rsidR="00000000" w:rsidRPr="0090567F" w:rsidP="0090567F">
            <w:pPr>
              <w:pStyle w:val="ListBullet"/>
            </w:pPr>
            <w:r w:rsidRPr="0090567F">
              <w:t>identifying NOx mitigation plant status</w:t>
            </w:r>
          </w:p>
          <w:p w:rsidR="00000000" w:rsidRPr="0090567F" w:rsidP="0090567F">
            <w:pPr>
              <w:pStyle w:val="ListBullet"/>
            </w:pPr>
            <w:r w:rsidRPr="0090567F">
              <w:t>implementing regulations, legislative requirements, codes of practice, manufacturers’ rec</w:t>
            </w:r>
            <w:r w:rsidRPr="0090567F">
              <w:t>ommendations and specifications, and environmental requirements</w:t>
            </w:r>
          </w:p>
          <w:p w:rsidR="00000000" w:rsidRPr="0090567F" w:rsidP="0090567F">
            <w:pPr>
              <w:pStyle w:val="ListBullet"/>
            </w:pPr>
            <w:r w:rsidRPr="0090567F">
              <w:t>interpreting manuals</w:t>
            </w:r>
          </w:p>
          <w:p w:rsidR="00000000" w:rsidRPr="0090567F" w:rsidP="0090567F">
            <w:pPr>
              <w:pStyle w:val="ListBullet"/>
            </w:pPr>
            <w:r w:rsidRPr="0090567F">
              <w:t>monitoring and inspecting NOx mitigation plant</w:t>
            </w:r>
          </w:p>
          <w:p w:rsidR="00000000" w:rsidRPr="0090567F" w:rsidP="0090567F">
            <w:pPr>
              <w:pStyle w:val="ListBullet"/>
            </w:pPr>
            <w:r w:rsidRPr="0090567F">
              <w:t>operating NOx emission control plant and equipment</w:t>
            </w:r>
          </w:p>
          <w:p w:rsidR="00000000" w:rsidRPr="0090567F" w:rsidP="0090567F">
            <w:pPr>
              <w:pStyle w:val="ListBullet"/>
            </w:pPr>
            <w:r w:rsidRPr="0090567F">
              <w:t>organising resources</w:t>
            </w:r>
          </w:p>
          <w:p w:rsidR="00000000" w:rsidRPr="0090567F" w:rsidP="0090567F">
            <w:pPr>
              <w:pStyle w:val="ListBullet"/>
            </w:pPr>
            <w:r w:rsidRPr="0090567F">
              <w:t>preparing NOx mitigation plant and equipment</w:t>
            </w:r>
          </w:p>
          <w:p w:rsidR="00000000" w:rsidRPr="0090567F" w:rsidP="0090567F">
            <w:pPr>
              <w:pStyle w:val="ListBullet"/>
            </w:pPr>
            <w:r w:rsidRPr="0090567F">
              <w:t>recogni</w:t>
            </w:r>
            <w:r w:rsidRPr="0090567F">
              <w:t>sing and responding to abnormal flue gas (NOx) mitigation plant operating conditions</w:t>
            </w:r>
          </w:p>
          <w:p w:rsidR="00000000" w:rsidRPr="0090567F" w:rsidP="0090567F">
            <w:pPr>
              <w:pStyle w:val="ListBullet"/>
            </w:pPr>
            <w:r w:rsidRPr="0090567F">
              <w:t>testing NOx mitigation plant operation using diagnostic and testing techniques</w:t>
            </w:r>
          </w:p>
          <w:p w:rsidR="00000000" w:rsidRPr="0090567F" w:rsidP="0090567F">
            <w:pPr>
              <w:pStyle w:val="ListBullet"/>
            </w:pPr>
            <w:r w:rsidRPr="0090567F">
              <w:t>working with permit system.</w:t>
            </w:r>
          </w:p>
        </w:tc>
      </w:tr>
    </w:tbl>
    <w:p w:rsidR="00000000" w:rsidRPr="0090567F" w:rsidP="0090567F">
      <w:pPr>
        <w:pStyle w:val="NoPaddingFontSize1"/>
      </w:pPr>
    </w:p>
    <w:p w:rsidR="00000000" w:rsidRPr="0090567F" w:rsidP="0090567F">
      <w:pPr>
        <w:pStyle w:val="AllowPageBreak"/>
      </w:pPr>
    </w:p>
    <w:p w:rsidR="00000000" w:rsidRPr="0090567F" w:rsidP="0090567F">
      <w:pPr>
        <w:pStyle w:val="Heading1"/>
      </w:pPr>
      <w:bookmarkStart w:id="3" w:name="O_1192678"/>
      <w:bookmarkEnd w:id="3"/>
      <w:r w:rsidRPr="0090567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6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67F">
            <w:pPr>
              <w:pStyle w:val="BodyText"/>
              <w:rPr>
                <w:lang w:val="en-NZ"/>
              </w:rPr>
            </w:pPr>
            <w:r w:rsidRPr="0090567F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9056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67F" w:rsidP="0090567F">
            <w:pPr>
              <w:pStyle w:val="ListBullet"/>
            </w:pPr>
            <w:r w:rsidRPr="0090567F">
              <w:t>arrangements of power production plant</w:t>
            </w:r>
          </w:p>
          <w:p w:rsidR="00000000" w:rsidRPr="0090567F" w:rsidP="0090567F">
            <w:pPr>
              <w:pStyle w:val="ListBullet"/>
            </w:pPr>
            <w:r w:rsidRPr="0090567F">
              <w:t>manuals</w:t>
            </w:r>
          </w:p>
          <w:p w:rsidR="00000000" w:rsidRPr="0090567F" w:rsidP="0090567F">
            <w:pPr>
              <w:pStyle w:val="ListBullet"/>
            </w:pPr>
            <w:r w:rsidRPr="0090567F">
              <w:t>regulations, legislative requ</w:t>
            </w:r>
            <w:r w:rsidRPr="0090567F">
              <w:t>irements, codes of practice, manufacturers’ recommendations and specifications, and environmental requirements</w:t>
            </w:r>
          </w:p>
          <w:p w:rsidR="00000000" w:rsidRPr="0090567F" w:rsidP="0090567F">
            <w:pPr>
              <w:pStyle w:val="ListBullet"/>
            </w:pPr>
            <w:r w:rsidRPr="0090567F">
              <w:t>NOx mitigation system plant and equipment, location and operating parameters, including:</w:t>
            </w:r>
          </w:p>
          <w:p w:rsidR="00000000" w:rsidRPr="0090567F" w:rsidP="0090567F">
            <w:pPr>
              <w:pStyle w:val="ListBullet2"/>
            </w:pPr>
            <w:r w:rsidRPr="0090567F">
              <w:t xml:space="preserve">NOx generation during combustion process within fossil </w:t>
            </w:r>
            <w:r w:rsidRPr="0090567F">
              <w:t>fuelled boilers and gas turbines</w:t>
            </w:r>
          </w:p>
          <w:p w:rsidR="00000000" w:rsidRPr="0090567F" w:rsidP="0090567F">
            <w:pPr>
              <w:pStyle w:val="ListBullet2"/>
            </w:pPr>
            <w:r w:rsidRPr="0090567F">
              <w:t>NOx emission control plant and equipment components and the way they interact with plant and equipment</w:t>
            </w:r>
          </w:p>
          <w:p w:rsidR="00000000" w:rsidRPr="0090567F" w:rsidP="0090567F">
            <w:pPr>
              <w:pStyle w:val="ListBullet"/>
            </w:pPr>
            <w:r w:rsidRPr="0090567F">
              <w:t>performance tests on NOx mitigation system plant</w:t>
            </w:r>
          </w:p>
          <w:p w:rsidR="00000000" w:rsidRPr="0090567F" w:rsidP="0090567F">
            <w:pPr>
              <w:pStyle w:val="ListBullet"/>
            </w:pPr>
            <w:r w:rsidRPr="0090567F">
              <w:t>permit system</w:t>
            </w:r>
          </w:p>
          <w:p w:rsidR="00000000" w:rsidRPr="0090567F" w:rsidP="0090567F">
            <w:pPr>
              <w:pStyle w:val="ListBullet"/>
            </w:pPr>
            <w:r w:rsidRPr="0090567F">
              <w:t>WHS/OHS requirements, including:</w:t>
            </w:r>
          </w:p>
          <w:p w:rsidR="00000000" w:rsidRPr="0090567F" w:rsidP="0090567F">
            <w:pPr>
              <w:pStyle w:val="ListBullet2"/>
            </w:pPr>
            <w:r w:rsidRPr="0090567F">
              <w:t>emergency procedures</w:t>
            </w:r>
          </w:p>
          <w:p w:rsidR="00000000" w:rsidRPr="0090567F" w:rsidP="0090567F">
            <w:pPr>
              <w:pStyle w:val="ListBullet2"/>
            </w:pPr>
            <w:r w:rsidRPr="0090567F">
              <w:t>risk control measures</w:t>
            </w:r>
          </w:p>
          <w:p w:rsidR="00000000" w:rsidRPr="0090567F" w:rsidP="0090567F">
            <w:pPr>
              <w:pStyle w:val="ListBullet2"/>
            </w:pPr>
            <w:r w:rsidRPr="0090567F">
              <w:t>safe working practices</w:t>
            </w:r>
          </w:p>
          <w:p w:rsidR="00000000" w:rsidRPr="0090567F" w:rsidP="0090567F">
            <w:pPr>
              <w:pStyle w:val="ListBullet"/>
            </w:pPr>
            <w:r w:rsidRPr="0090567F">
              <w:t>workplace documentation</w:t>
            </w:r>
          </w:p>
          <w:p w:rsidR="00000000" w:rsidRPr="0090567F" w:rsidP="0090567F">
            <w:pPr>
              <w:pStyle w:val="ListBullet"/>
            </w:pPr>
            <w:r w:rsidRPr="0090567F">
              <w:t>workplace policies and procedures.</w:t>
            </w:r>
          </w:p>
        </w:tc>
      </w:tr>
    </w:tbl>
    <w:p w:rsidR="00000000" w:rsidRPr="0090567F" w:rsidP="0090567F">
      <w:pPr>
        <w:pStyle w:val="NoPaddingFontSize1"/>
      </w:pPr>
    </w:p>
    <w:p w:rsidR="00000000" w:rsidRPr="0090567F" w:rsidP="0090567F">
      <w:pPr>
        <w:pStyle w:val="AllowPageBreak"/>
      </w:pPr>
    </w:p>
    <w:p w:rsidR="00000000" w:rsidRPr="0090567F" w:rsidP="0090567F">
      <w:pPr>
        <w:pStyle w:val="Heading1"/>
      </w:pPr>
      <w:bookmarkStart w:id="4" w:name="O_1192679"/>
      <w:bookmarkEnd w:id="4"/>
      <w:r w:rsidRPr="0090567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6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67F" w:rsidP="0090567F">
            <w:pPr>
              <w:pStyle w:val="BodyText"/>
            </w:pPr>
            <w:r w:rsidRPr="0090567F">
              <w:t>Assessors must hold credentials specified within the Standards for Registered Training Organi</w:t>
            </w:r>
            <w:r w:rsidRPr="0090567F">
              <w:t xml:space="preserve">sations current at the time of assessment. </w:t>
            </w:r>
          </w:p>
          <w:p w:rsidR="00000000" w:rsidRPr="0090567F" w:rsidP="0090567F">
            <w:pPr>
              <w:pStyle w:val="BodyText"/>
            </w:pPr>
            <w:r w:rsidRPr="0090567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0567F" w:rsidP="0090567F">
            <w:pPr>
              <w:pStyle w:val="BodyText"/>
            </w:pPr>
            <w:r w:rsidRPr="0090567F">
              <w:t>As</w:t>
            </w:r>
            <w:r w:rsidRPr="0090567F">
              <w:t>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90567F" w:rsidP="0090567F">
            <w:pPr>
              <w:pStyle w:val="BodyText"/>
            </w:pPr>
            <w:r w:rsidRPr="0090567F">
              <w:t>Assessment processes and techn</w:t>
            </w:r>
            <w:r w:rsidRPr="0090567F">
              <w:t>iques must be appropriate to the language, literacy and numeracy requirements of the work being performed and the needs of the candidate.</w:t>
            </w:r>
          </w:p>
          <w:p w:rsidR="00000000" w:rsidRPr="0090567F" w:rsidP="0090567F">
            <w:pPr>
              <w:pStyle w:val="BodyText"/>
            </w:pPr>
            <w:r w:rsidRPr="0090567F">
              <w:t>Resources for assessment must include access to:</w:t>
            </w:r>
          </w:p>
          <w:p w:rsidR="00000000" w:rsidRPr="0090567F" w:rsidP="0090567F">
            <w:pPr>
              <w:pStyle w:val="ListBullet"/>
            </w:pPr>
            <w:r w:rsidRPr="0090567F">
              <w:t>a range of relevant exercises, case studies and/or other simulations</w:t>
            </w:r>
          </w:p>
          <w:p w:rsidR="00000000" w:rsidRPr="0090567F" w:rsidP="0090567F">
            <w:pPr>
              <w:pStyle w:val="ListBullet"/>
            </w:pPr>
            <w:r w:rsidRPr="0090567F">
              <w:t xml:space="preserve">relevant and appropriate materials, tools, equipment and personal protective equipment (PPE) currently used in industry </w:t>
            </w:r>
          </w:p>
          <w:p w:rsidR="00000000" w:rsidRPr="0090567F" w:rsidP="0090567F">
            <w:pPr>
              <w:pStyle w:val="ListBullet"/>
            </w:pPr>
            <w:r w:rsidRPr="0090567F">
              <w:t>applicable documentation, including workplace procedures, equipment specifications, regulations, codes of practice and operation manua</w:t>
            </w:r>
            <w:r w:rsidRPr="0090567F">
              <w:t>ls.</w:t>
            </w:r>
          </w:p>
        </w:tc>
      </w:tr>
    </w:tbl>
    <w:p w:rsidR="00000000" w:rsidRPr="0090567F" w:rsidP="0090567F">
      <w:pPr>
        <w:pStyle w:val="NoPaddingFontSize1"/>
      </w:pPr>
    </w:p>
    <w:p w:rsidR="00000000" w:rsidRPr="0090567F" w:rsidP="0090567F">
      <w:pPr>
        <w:pStyle w:val="AllowPageBreak"/>
      </w:pPr>
    </w:p>
    <w:p w:rsidR="00000000" w:rsidRPr="0090567F" w:rsidP="0090567F">
      <w:pPr>
        <w:pStyle w:val="Heading1"/>
      </w:pPr>
      <w:bookmarkStart w:id="5" w:name="O_1192682"/>
      <w:bookmarkEnd w:id="5"/>
      <w:r w:rsidRPr="0090567F">
        <w:t>Links</w:t>
      </w:r>
    </w:p>
    <w:p w:rsidR="00000000" w:rsidRPr="0090567F" w:rsidP="004B2296">
      <w:pPr>
        <w:pStyle w:val="BodyText"/>
      </w:pPr>
      <w:r w:rsidRPr="009056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E4A3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0567F" w:rsidP="0090567F"/>
    <w:sectPr w:rsidSect="009056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6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67F" w:rsidRPr="004B2296" w:rsidP="004B22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6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296" w:rsidP="009056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2296" w:rsidP="009056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B2296" w:rsidP="009056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6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2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567F" w:rsidRPr="004B2296" w:rsidP="004B22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6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296" w:rsidRPr="002D2AF8" w:rsidP="009056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UEPOPS093 Operate and monitor flue gas (NOx) mitigation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B2296" w:rsidP="009056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8C73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28D6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DE4D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6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56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56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56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56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56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56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56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56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56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56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567F"/>
  </w:style>
  <w:style w:type="character" w:customStyle="1" w:styleId="Heading1Char">
    <w:name w:val="Heading 1 Char"/>
    <w:basedOn w:val="DefaultParagraphFont"/>
    <w:link w:val="Heading1"/>
    <w:rsid w:val="009056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56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56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567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56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56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56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056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56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56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56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56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56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56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56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56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56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56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56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56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56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56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56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56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56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56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56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567F"/>
    <w:rPr>
      <w:b/>
      <w:spacing w:val="0"/>
    </w:rPr>
  </w:style>
  <w:style w:type="paragraph" w:customStyle="1" w:styleId="SuperTitle">
    <w:name w:val="SuperTitle"/>
    <w:basedOn w:val="Title"/>
    <w:rsid w:val="009056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56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56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56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56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56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56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56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56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56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56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56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567F"/>
    <w:rPr>
      <w:i/>
    </w:rPr>
  </w:style>
  <w:style w:type="paragraph" w:styleId="Caption">
    <w:name w:val="caption"/>
    <w:basedOn w:val="BodyText"/>
    <w:next w:val="Normal"/>
    <w:qFormat/>
    <w:rsid w:val="009056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56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56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567F"/>
  </w:style>
  <w:style w:type="paragraph" w:styleId="TableofFigures">
    <w:name w:val="table of figures"/>
    <w:basedOn w:val="Normal"/>
    <w:next w:val="Normal"/>
    <w:semiHidden/>
    <w:rsid w:val="009056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56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567F"/>
    <w:rPr>
      <w:rFonts w:ascii="Wingdings" w:hAnsi="Wingdings"/>
    </w:rPr>
  </w:style>
  <w:style w:type="paragraph" w:customStyle="1" w:styleId="TableHeading">
    <w:name w:val="Table Heading"/>
    <w:basedOn w:val="HeadingBase"/>
    <w:rsid w:val="009056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567F"/>
    <w:rPr>
      <w:color w:val="0033CC"/>
      <w:u w:val="none"/>
    </w:rPr>
  </w:style>
  <w:style w:type="paragraph" w:customStyle="1" w:styleId="BodyTextRight">
    <w:name w:val="Body Text Right"/>
    <w:basedOn w:val="BodyText"/>
    <w:rsid w:val="009056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56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56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56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56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56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567F"/>
    <w:rPr>
      <w:sz w:val="32"/>
    </w:rPr>
  </w:style>
  <w:style w:type="paragraph" w:customStyle="1" w:styleId="HeadingProcedure">
    <w:name w:val="Heading Procedure"/>
    <w:basedOn w:val="HeadingBase"/>
    <w:next w:val="Normal"/>
    <w:rsid w:val="009056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567F"/>
    <w:pPr>
      <w:spacing w:before="60" w:after="60"/>
    </w:pPr>
  </w:style>
  <w:style w:type="paragraph" w:styleId="ListContinue">
    <w:name w:val="List Continue"/>
    <w:basedOn w:val="List"/>
    <w:rsid w:val="0090567F"/>
    <w:pPr>
      <w:ind w:firstLine="0"/>
    </w:pPr>
  </w:style>
  <w:style w:type="paragraph" w:customStyle="1" w:styleId="ListNote">
    <w:name w:val="List Note"/>
    <w:basedOn w:val="List"/>
    <w:rsid w:val="009056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56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56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567F"/>
    <w:rPr>
      <w:rFonts w:ascii="Courier New" w:hAnsi="Courier New"/>
    </w:rPr>
  </w:style>
  <w:style w:type="paragraph" w:customStyle="1" w:styleId="NoteBullet">
    <w:name w:val="Note Bullet"/>
    <w:basedOn w:val="Note"/>
    <w:rsid w:val="009056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56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56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56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56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56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56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567F"/>
    <w:rPr>
      <w:b/>
      <w:smallCaps/>
    </w:rPr>
  </w:style>
  <w:style w:type="paragraph" w:customStyle="1" w:styleId="TableListNumber">
    <w:name w:val="Table List Number"/>
    <w:basedOn w:val="ListNumber"/>
    <w:rsid w:val="009056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56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567F"/>
    <w:pPr>
      <w:numPr>
        <w:numId w:val="9"/>
      </w:numPr>
    </w:pPr>
  </w:style>
  <w:style w:type="paragraph" w:customStyle="1" w:styleId="ListAlpha2">
    <w:name w:val="List Alpha 2"/>
    <w:basedOn w:val="List2"/>
    <w:rsid w:val="0090567F"/>
    <w:pPr>
      <w:numPr>
        <w:numId w:val="8"/>
      </w:numPr>
    </w:pPr>
  </w:style>
  <w:style w:type="paragraph" w:styleId="List2">
    <w:name w:val="List 2"/>
    <w:basedOn w:val="BodyText"/>
    <w:rsid w:val="009056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56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56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56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56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56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567F"/>
    <w:pPr>
      <w:numPr>
        <w:numId w:val="4"/>
      </w:numPr>
    </w:pPr>
  </w:style>
  <w:style w:type="paragraph" w:styleId="ListContinue2">
    <w:name w:val="List Continue 2"/>
    <w:basedOn w:val="List2"/>
    <w:rsid w:val="0090567F"/>
    <w:pPr>
      <w:ind w:firstLine="0"/>
    </w:pPr>
  </w:style>
  <w:style w:type="paragraph" w:styleId="ListContinue3">
    <w:name w:val="List Continue 3"/>
    <w:basedOn w:val="List3"/>
    <w:rsid w:val="0090567F"/>
    <w:pPr>
      <w:ind w:left="1021" w:firstLine="0"/>
    </w:pPr>
  </w:style>
  <w:style w:type="paragraph" w:styleId="ListContinue4">
    <w:name w:val="List Continue 4"/>
    <w:basedOn w:val="List4"/>
    <w:rsid w:val="0090567F"/>
    <w:pPr>
      <w:ind w:firstLine="0"/>
    </w:pPr>
  </w:style>
  <w:style w:type="paragraph" w:styleId="ListContinue5">
    <w:name w:val="List Continue 5"/>
    <w:basedOn w:val="List5"/>
    <w:rsid w:val="0090567F"/>
    <w:pPr>
      <w:ind w:firstLine="0"/>
    </w:pPr>
  </w:style>
  <w:style w:type="paragraph" w:styleId="ListNumber3">
    <w:name w:val="List Number 3"/>
    <w:basedOn w:val="List3"/>
    <w:rsid w:val="0090567F"/>
    <w:pPr>
      <w:numPr>
        <w:numId w:val="5"/>
      </w:numPr>
    </w:pPr>
  </w:style>
  <w:style w:type="paragraph" w:styleId="ListNumber4">
    <w:name w:val="List Number 4"/>
    <w:basedOn w:val="List4"/>
    <w:rsid w:val="0090567F"/>
    <w:pPr>
      <w:numPr>
        <w:numId w:val="6"/>
      </w:numPr>
    </w:pPr>
  </w:style>
  <w:style w:type="paragraph" w:styleId="ListNumber5">
    <w:name w:val="List Number 5"/>
    <w:basedOn w:val="List5"/>
    <w:rsid w:val="0090567F"/>
    <w:pPr>
      <w:numPr>
        <w:numId w:val="7"/>
      </w:numPr>
    </w:pPr>
  </w:style>
  <w:style w:type="paragraph" w:styleId="BlockText">
    <w:name w:val="Block Text"/>
    <w:basedOn w:val="Normal"/>
    <w:rsid w:val="009056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56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567F"/>
    <w:rPr>
      <w:sz w:val="16"/>
      <w:vertAlign w:val="superscript"/>
    </w:rPr>
  </w:style>
  <w:style w:type="character" w:customStyle="1" w:styleId="Symbols">
    <w:name w:val="Symbols"/>
    <w:basedOn w:val="DefaultParagraphFont"/>
    <w:rsid w:val="0090567F"/>
    <w:rPr>
      <w:rFonts w:ascii="Symbol" w:hAnsi="Symbol"/>
    </w:rPr>
  </w:style>
  <w:style w:type="character" w:customStyle="1" w:styleId="MenuOptions">
    <w:name w:val="Menu Options"/>
    <w:basedOn w:val="DefaultParagraphFont"/>
    <w:rsid w:val="009056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567F"/>
    <w:rPr>
      <w:b/>
    </w:rPr>
  </w:style>
  <w:style w:type="character" w:customStyle="1" w:styleId="Underlined">
    <w:name w:val="Underlined"/>
    <w:basedOn w:val="DefaultParagraphFont"/>
    <w:rsid w:val="0090567F"/>
    <w:rPr>
      <w:u w:val="single"/>
    </w:rPr>
  </w:style>
  <w:style w:type="paragraph" w:customStyle="1" w:styleId="TableBodyTextRight">
    <w:name w:val="Table Body Text Right"/>
    <w:basedOn w:val="TableBodyText"/>
    <w:rsid w:val="009056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567F"/>
    <w:rPr>
      <w:sz w:val="18"/>
    </w:rPr>
  </w:style>
  <w:style w:type="paragraph" w:customStyle="1" w:styleId="BodySmallRight">
    <w:name w:val="Body Small Right"/>
    <w:basedOn w:val="BodyTextRight"/>
    <w:rsid w:val="0090567F"/>
    <w:rPr>
      <w:sz w:val="18"/>
      <w:szCs w:val="18"/>
    </w:rPr>
  </w:style>
  <w:style w:type="paragraph" w:customStyle="1" w:styleId="MarginEdition">
    <w:name w:val="Margin Edition"/>
    <w:basedOn w:val="MarginNote"/>
    <w:rsid w:val="009056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567F"/>
    <w:rPr>
      <w:sz w:val="2"/>
      <w:szCs w:val="2"/>
    </w:rPr>
  </w:style>
  <w:style w:type="character" w:customStyle="1" w:styleId="Small">
    <w:name w:val="Small"/>
    <w:basedOn w:val="DefaultParagraphFont"/>
    <w:rsid w:val="0090567F"/>
    <w:rPr>
      <w:sz w:val="16"/>
    </w:rPr>
  </w:style>
  <w:style w:type="paragraph" w:customStyle="1" w:styleId="WideTable">
    <w:name w:val="Wide Table"/>
    <w:basedOn w:val="Normal"/>
    <w:rsid w:val="009056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567F"/>
  </w:style>
  <w:style w:type="paragraph" w:styleId="Quote">
    <w:name w:val="Quote"/>
    <w:basedOn w:val="Heading1"/>
    <w:link w:val="QuoteChar"/>
    <w:qFormat/>
    <w:rsid w:val="009056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56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567F"/>
    <w:pPr>
      <w:pageBreakBefore/>
    </w:pPr>
  </w:style>
  <w:style w:type="paragraph" w:customStyle="1" w:styleId="Border">
    <w:name w:val="Border"/>
    <w:basedOn w:val="Normal"/>
    <w:qFormat/>
    <w:rsid w:val="009056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56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6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6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56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56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56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56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56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567F"/>
    <w:rPr>
      <w:u w:val="single"/>
    </w:rPr>
  </w:style>
  <w:style w:type="character" w:customStyle="1" w:styleId="BoldandItalics">
    <w:name w:val="Bold and Italics"/>
    <w:qFormat/>
    <w:rsid w:val="0090567F"/>
    <w:rPr>
      <w:b/>
      <w:i/>
      <w:u w:val="none"/>
    </w:rPr>
  </w:style>
  <w:style w:type="paragraph" w:styleId="BalloonText">
    <w:name w:val="Balloon Text"/>
    <w:basedOn w:val="Normal"/>
    <w:link w:val="BalloonTextChar"/>
    <w:rsid w:val="009056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56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56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56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56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56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567F"/>
    <w:pPr>
      <w:spacing w:before="0" w:after="0"/>
    </w:pPr>
  </w:style>
  <w:style w:type="paragraph" w:customStyle="1" w:styleId="BodyTextBold">
    <w:name w:val="Body Text Bold"/>
    <w:basedOn w:val="BodyText"/>
    <w:qFormat/>
    <w:rsid w:val="0090567F"/>
    <w:rPr>
      <w:b/>
    </w:rPr>
  </w:style>
  <w:style w:type="character" w:styleId="Hyperlink">
    <w:name w:val="Hyperlink"/>
    <w:basedOn w:val="DefaultParagraphFont"/>
    <w:uiPriority w:val="99"/>
    <w:unhideWhenUsed/>
    <w:rsid w:val="004B22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3371</Characters>
  <Application>Microsoft Office Word</Application>
  <DocSecurity>0</DocSecurity>
  <Lines>84</Lines>
  <Paragraphs>60</Paragraphs>
  <ScaleCrop>false</ScaleCrop>
  <Company>Author-it Software Corporation Ltd.</Company>
  <LinksUpToDate>false</LinksUpToDate>
  <CharactersWithSpaces>3798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UEPOPS093 Operate and monitor flue gas (NOx) mitigation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2022-12-13T06:36:00Z</dcterms:created>
  <dcterms:modified xsi:type="dcterms:W3CDTF">2022-12-13T06:36:00Z</dcterms:modified>
</cp:coreProperties>
</file>