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ACA" w:rsidP="003B5ACA">
      <w:pPr>
        <w:pStyle w:val="Title"/>
      </w:pPr>
      <w:r>
        <w:fldChar w:fldCharType="begin"/>
      </w:r>
      <w:r>
        <w:instrText xml:space="preserve"> TITLE   \* MERGEFORMAT </w:instrText>
      </w:r>
      <w:r>
        <w:fldChar w:fldCharType="separate"/>
      </w:r>
      <w:r>
        <w:t>UEPOPS078 Operate and monitor an internal combustion dual fuel reciprocating engine</w:t>
      </w:r>
      <w:r>
        <w:fldChar w:fldCharType="end"/>
      </w:r>
    </w:p>
    <w:p w:rsidR="003B5ACA" w:rsidP="003B5ACA">
      <w:pPr>
        <w:pStyle w:val="Version"/>
        <w:sectPr w:rsidSect="00A431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153" w:rsidP="00A43153">
      <w:pPr>
        <w:pStyle w:val="SuperHeading"/>
      </w:pPr>
      <w:r w:rsidRPr="00A43153">
        <w:t>UEPOPS078 Operate and monitor an internal combustion dual fuel reciprocating engine</w:t>
      </w:r>
    </w:p>
    <w:p w:rsidR="00000000" w:rsidRPr="00A43153" w:rsidP="00A43153">
      <w:pPr>
        <w:pStyle w:val="Heading1"/>
      </w:pPr>
      <w:bookmarkStart w:id="1" w:name="O_1192362"/>
      <w:bookmarkEnd w:id="1"/>
      <w:r w:rsidRPr="00A43153">
        <w:t>Modification History</w:t>
      </w:r>
    </w:p>
    <w:tbl>
      <w:tblPr>
        <w:tblW w:w="9497" w:type="dxa"/>
        <w:tblLayout w:type="fixed"/>
        <w:tblCellMar>
          <w:left w:w="62" w:type="dxa"/>
          <w:right w:w="62" w:type="dxa"/>
        </w:tblCellMar>
        <w:tblLook w:val="0000"/>
      </w:tblPr>
      <w:tblGrid>
        <w:gridCol w:w="9497"/>
      </w:tblGrid>
      <w:tr w:rsidTr="00A43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t>Release 1. This is the first release of this unit of competency in the UEP Electricity Supply Industry - Generation Sector Training Package Release 2.0.</w:t>
            </w:r>
          </w:p>
        </w:tc>
      </w:tr>
    </w:tbl>
    <w:p w:rsidR="00000000" w:rsidRPr="00A43153" w:rsidP="00A43153">
      <w:pPr>
        <w:pStyle w:val="NoPaddingFontSize1"/>
      </w:pPr>
    </w:p>
    <w:p w:rsidR="00000000" w:rsidRPr="00A43153" w:rsidP="00A43153">
      <w:pPr>
        <w:pStyle w:val="AllowPageBreak"/>
      </w:pPr>
    </w:p>
    <w:p w:rsidR="00000000" w:rsidRPr="00A43153" w:rsidP="00A43153">
      <w:pPr>
        <w:pStyle w:val="Heading1"/>
      </w:pPr>
      <w:bookmarkStart w:id="2" w:name="O_1192363"/>
      <w:bookmarkEnd w:id="2"/>
      <w:r w:rsidRPr="00A43153">
        <w:t>Application</w:t>
      </w:r>
    </w:p>
    <w:tbl>
      <w:tblPr>
        <w:tblW w:w="9497" w:type="dxa"/>
        <w:tblLayout w:type="fixed"/>
        <w:tblCellMar>
          <w:left w:w="62" w:type="dxa"/>
          <w:right w:w="62" w:type="dxa"/>
        </w:tblCellMar>
        <w:tblLook w:val="0000"/>
      </w:tblPr>
      <w:tblGrid>
        <w:gridCol w:w="9497"/>
      </w:tblGrid>
      <w:tr w:rsidTr="00A43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t>This unit involves the skills and knowledge required to operate, inspe</w:t>
            </w:r>
            <w:r w:rsidRPr="00A43153">
              <w:t>ct and monitor internal combustion dual fuel reciprocating engines.</w:t>
            </w:r>
          </w:p>
          <w:p w:rsidR="00000000" w:rsidRPr="00A43153" w:rsidP="00A43153">
            <w:pPr>
              <w:pStyle w:val="BodyText"/>
            </w:pPr>
            <w:r w:rsidRPr="00A43153">
              <w:t>An internal combustion dual fuel reciprocating engine is fed with fossil fuels. Internal combustion dual fuel reciprocating engines in the form of combustion turbines drive the largest ele</w:t>
            </w:r>
            <w:r w:rsidRPr="00A43153">
              <w:t xml:space="preserve">ctric generators. </w:t>
            </w:r>
          </w:p>
          <w:p w:rsidR="00000000" w:rsidRPr="00A43153" w:rsidP="00A43153">
            <w:pPr>
              <w:pStyle w:val="BodyText"/>
            </w:pPr>
            <w:r w:rsidRPr="00A43153">
              <w:t>Competency in this unit requires the ability to plan work, operate internal combustion dual fuel reciprocating engine plant, change fuel type during operation, test internal combustion dual fuel reciprocating engine plant operations, ana</w:t>
            </w:r>
            <w:r w:rsidRPr="00A43153">
              <w:t xml:space="preserve">lyse internal combustion dual fuel reciprocating engine plant faults, monitor and inspect internal combustion dual fuel reciprocating engine plant, and complete all documentation. Individuals will, in general, work under supervision, in a power generating </w:t>
            </w:r>
            <w:r w:rsidRPr="00A43153">
              <w:t xml:space="preserve">facility as an operator. </w:t>
            </w:r>
          </w:p>
          <w:p w:rsidR="00000000" w:rsidRPr="00A43153" w:rsidP="00A43153">
            <w:pPr>
              <w:pStyle w:val="BodyText"/>
            </w:pPr>
            <w:r w:rsidRPr="00A43153">
              <w:t>Power generation plant operators are trained and authorised to isolate, prepare plant and issue permits to work.</w:t>
            </w:r>
          </w:p>
          <w:p w:rsidR="00000000" w:rsidRPr="00A43153" w:rsidP="00A43153">
            <w:pPr>
              <w:pStyle w:val="BodyText"/>
            </w:pPr>
            <w:r w:rsidRPr="00A43153">
              <w:t>No licensing, legislative or certification requirements apply to this unit at the time of publication.</w:t>
            </w:r>
          </w:p>
        </w:tc>
      </w:tr>
    </w:tbl>
    <w:p w:rsidR="00000000" w:rsidRPr="00A43153" w:rsidP="00A43153">
      <w:pPr>
        <w:pStyle w:val="NoPaddingFontSize1"/>
      </w:pPr>
    </w:p>
    <w:p w:rsidR="00000000" w:rsidRPr="00A43153" w:rsidP="00A43153">
      <w:pPr>
        <w:pStyle w:val="AllowPageBreak"/>
      </w:pPr>
    </w:p>
    <w:p w:rsidR="00000000" w:rsidRPr="00A43153" w:rsidP="00A43153">
      <w:pPr>
        <w:pStyle w:val="Heading1"/>
      </w:pPr>
      <w:bookmarkStart w:id="3" w:name="O_1192364"/>
      <w:bookmarkEnd w:id="3"/>
      <w:r w:rsidRPr="00A43153">
        <w:t>Pre-requisite Unit</w:t>
      </w:r>
    </w:p>
    <w:tbl>
      <w:tblPr>
        <w:tblW w:w="9497" w:type="dxa"/>
        <w:tblLayout w:type="fixed"/>
        <w:tblCellMar>
          <w:left w:w="62" w:type="dxa"/>
          <w:right w:w="62" w:type="dxa"/>
        </w:tblCellMar>
        <w:tblLook w:val="0000"/>
      </w:tblPr>
      <w:tblGrid>
        <w:gridCol w:w="9497"/>
      </w:tblGrid>
      <w:tr w:rsidTr="00A43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t>There are no prerequisite units</w:t>
            </w:r>
          </w:p>
        </w:tc>
      </w:tr>
    </w:tbl>
    <w:p w:rsidR="00000000" w:rsidRPr="00A43153" w:rsidP="00A43153">
      <w:pPr>
        <w:pStyle w:val="NoPaddingFontSize1"/>
      </w:pPr>
    </w:p>
    <w:p w:rsidR="00000000" w:rsidRPr="00A43153" w:rsidP="00A43153">
      <w:pPr>
        <w:pStyle w:val="AllowPageBreak"/>
      </w:pPr>
    </w:p>
    <w:p w:rsidR="00000000" w:rsidRPr="00A43153" w:rsidP="00A43153">
      <w:pPr>
        <w:pStyle w:val="Heading1"/>
      </w:pPr>
      <w:bookmarkStart w:id="4" w:name="O_1192365"/>
      <w:bookmarkEnd w:id="4"/>
      <w:r w:rsidRPr="00A43153">
        <w:t>Competency Field</w:t>
      </w:r>
    </w:p>
    <w:tbl>
      <w:tblPr>
        <w:tblW w:w="9497" w:type="dxa"/>
        <w:tblLayout w:type="fixed"/>
        <w:tblCellMar>
          <w:left w:w="62" w:type="dxa"/>
          <w:right w:w="62" w:type="dxa"/>
        </w:tblCellMar>
        <w:tblLook w:val="0000"/>
      </w:tblPr>
      <w:tblGrid>
        <w:gridCol w:w="9497"/>
      </w:tblGrid>
      <w:tr w:rsidTr="00A43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t>Operations</w:t>
            </w:r>
          </w:p>
        </w:tc>
      </w:tr>
    </w:tbl>
    <w:p w:rsidR="00000000" w:rsidRPr="00A43153" w:rsidP="00A43153">
      <w:pPr>
        <w:pStyle w:val="NoPaddingFontSize1"/>
      </w:pPr>
    </w:p>
    <w:p w:rsidR="00000000" w:rsidRPr="00A43153" w:rsidP="00A43153">
      <w:pPr>
        <w:pStyle w:val="AllowPageBreak"/>
      </w:pPr>
    </w:p>
    <w:p w:rsidR="00000000" w:rsidRPr="00A43153" w:rsidP="00A43153">
      <w:pPr>
        <w:pStyle w:val="Heading1"/>
      </w:pPr>
      <w:bookmarkStart w:id="5" w:name="O_1192366"/>
      <w:bookmarkEnd w:id="5"/>
      <w:r w:rsidRPr="00A43153">
        <w:t>Unit Sector</w:t>
      </w:r>
    </w:p>
    <w:tbl>
      <w:tblPr>
        <w:tblW w:w="9497" w:type="dxa"/>
        <w:tblLayout w:type="fixed"/>
        <w:tblCellMar>
          <w:left w:w="62" w:type="dxa"/>
          <w:right w:w="62" w:type="dxa"/>
        </w:tblCellMar>
        <w:tblLook w:val="0000"/>
      </w:tblPr>
      <w:tblGrid>
        <w:gridCol w:w="9497"/>
      </w:tblGrid>
      <w:tr w:rsidTr="00A43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t>Electricity generation</w:t>
            </w:r>
          </w:p>
        </w:tc>
      </w:tr>
    </w:tbl>
    <w:p w:rsidR="00000000" w:rsidRPr="00A43153" w:rsidP="00A43153">
      <w:pPr>
        <w:pStyle w:val="NoPaddingFontSize1"/>
      </w:pPr>
    </w:p>
    <w:p w:rsidR="00000000" w:rsidRPr="00A43153" w:rsidP="00A43153">
      <w:pPr>
        <w:pStyle w:val="AllowPageBreak"/>
      </w:pPr>
    </w:p>
    <w:p w:rsidR="00000000" w:rsidRPr="00A43153" w:rsidP="00A43153">
      <w:pPr>
        <w:pStyle w:val="Heading1"/>
      </w:pPr>
      <w:bookmarkStart w:id="6" w:name="O_1192367"/>
      <w:bookmarkEnd w:id="6"/>
      <w:r w:rsidRPr="00A43153">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4315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PERFORMANCE CRITERIA</w:t>
            </w:r>
          </w:p>
        </w:tc>
      </w:tr>
      <w:tr w:rsidTr="00A43153">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Performance criteria describe the performance needed to demonstrate achievement of the element.</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Work health and safety (WHS)/occupational health and safety (OHS) regulations, legislative requirements, codes of practice, manufacturers’ recommendations and specifications, environmental requirements and workplace procedures are identified, applied and m</w:t>
            </w:r>
            <w:r w:rsidRPr="00A43153">
              <w:t>onitored</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315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Work requirements are identified from relevant personnel and documentation in accordance with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315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Documentation to determine internal combustion dual fuel reciprocating engine pl</w:t>
            </w:r>
            <w:r w:rsidRPr="00A43153">
              <w:t>ant status is assessed and evaluated in accordance with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315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Inspection and field preparations for internal combustion dual fuel reciprocating engine plant service are carried out in accordance with manufacturers</w:t>
            </w:r>
            <w:r>
              <w:t>’</w:t>
            </w:r>
            <w:r w:rsidRPr="00A43153">
              <w:t xml:space="preserve"> recommendations and</w:t>
            </w:r>
            <w:r w:rsidRPr="00A43153">
              <w:t xml:space="preserve"> specifications, and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315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Internal combustion dual fuel reciprocating engine plant operational prerequisites are established in accordance with manufacturers</w:t>
            </w:r>
            <w:r>
              <w:t>’</w:t>
            </w:r>
            <w:r w:rsidRPr="00A43153">
              <w:t xml:space="preserve"> recommendations and specifications, and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315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Sequen</w:t>
            </w:r>
            <w:r w:rsidRPr="00A43153">
              <w:t>ce for recommissioning of internal combustion dual fuel reciprocating engine plant is determined in accordance with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Operate internal combustion dual fuel reciprocating engine</w:t>
            </w:r>
            <w:r w:rsidRPr="00A43153">
              <w:t xml:space="preserve"> </w:t>
            </w:r>
            <w:r w:rsidRPr="00A43153">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Internal combustion dual fuel reciprocating eng</w:t>
            </w:r>
            <w:r w:rsidRPr="00A43153">
              <w:t>ine plant is operated in accordance with manufacturers</w:t>
            </w:r>
            <w:r>
              <w:t>’</w:t>
            </w:r>
            <w:r w:rsidRPr="00A43153">
              <w:t xml:space="preserve"> recommendations and specifications, and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315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Internal combustion dual fuel reciprocating engine plant is monitored and observed to detect deviations from normal operating conditions in accordance with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315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Corrective actions are taken to rectify internal combustion dual fuel re</w:t>
            </w:r>
            <w:r w:rsidRPr="00A43153">
              <w:t>ciprocating engine plant abnormalities in accordance with manufacturers</w:t>
            </w:r>
            <w:r>
              <w:t>’</w:t>
            </w:r>
            <w:r w:rsidRPr="00A43153">
              <w:t xml:space="preserve"> recommendations and specifications, and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315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 xml:space="preserve">Changeover of fuel type is monitored and observed to </w:t>
            </w:r>
            <w:r w:rsidRPr="00A43153">
              <w:t>detect deviations from expected results in accordance with wor</w:t>
            </w:r>
            <w:r w:rsidRPr="00A43153">
              <w:t>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Test internal combustion dual fuel reciprocating engine plant operation</w:t>
            </w: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 xml:space="preserve">Operational tests are performed in accordance with workplace procedures </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315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Internal combustion dual fuel reciprocating engine plant is observed for correct operational response in accordance with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Analyse internal combustion dual fuel reciprocating engine plant faults</w:t>
            </w: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Cause of abnormal internal combusti</w:t>
            </w:r>
            <w:r w:rsidRPr="00A43153">
              <w:t xml:space="preserve">on dual fuel reciprocating engine plant operating conditions are identified by analysing technical and operational information in accordance with workplace procedures </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315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 xml:space="preserve">Internal combustion dual fuel reciprocating engine plant integrity and personnel </w:t>
            </w:r>
            <w:r w:rsidRPr="00A43153">
              <w:t>safety is maintained and in consultation with relevant personnel and technical and operational documentation in accordance with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Monitor and inspect internal combustion dual fuel reciprocating engine plant</w:t>
            </w: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Internal combustion dua</w:t>
            </w:r>
            <w:r w:rsidRPr="00A43153">
              <w:t>l fuel reciprocating engine plant is monitored and inspected for normal operation and to detect deviations in accordance with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315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Relevant personnel are notified when defects are detected in accordance with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t>Internal combustion dual fuel reciprocating engine plant problems, abnormalities and status are reported in accordance with workplace procedures</w:t>
            </w:r>
          </w:p>
        </w:tc>
      </w:tr>
      <w:tr w:rsidTr="00A43153">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4315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A43153">
            <w:pPr>
              <w:pStyle w:val="BodyText"/>
              <w:rPr>
                <w:lang w:val="en-NZ"/>
              </w:rPr>
            </w:pPr>
            <w:r w:rsidRPr="00A43153">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t>Documentation is updated in accordance with workplace procedures</w:t>
            </w:r>
          </w:p>
        </w:tc>
      </w:tr>
    </w:tbl>
    <w:p w:rsidR="00000000" w:rsidRPr="00A43153" w:rsidP="00A43153">
      <w:pPr>
        <w:pStyle w:val="NoPaddingFontSize1"/>
      </w:pPr>
    </w:p>
    <w:p w:rsidR="00000000" w:rsidRPr="00A43153" w:rsidP="00A43153">
      <w:pPr>
        <w:pStyle w:val="AllowPageBreak"/>
      </w:pPr>
    </w:p>
    <w:p w:rsidR="00000000" w:rsidRPr="00A43153" w:rsidP="00A43153">
      <w:pPr>
        <w:pStyle w:val="Heading1"/>
      </w:pPr>
      <w:bookmarkStart w:id="7" w:name="O_1192368"/>
      <w:bookmarkEnd w:id="7"/>
      <w:r w:rsidRPr="00A43153">
        <w:t>Foundation Skills</w:t>
      </w:r>
    </w:p>
    <w:tbl>
      <w:tblPr>
        <w:tblW w:w="9497" w:type="dxa"/>
        <w:tblLayout w:type="fixed"/>
        <w:tblCellMar>
          <w:left w:w="62" w:type="dxa"/>
          <w:right w:w="62" w:type="dxa"/>
        </w:tblCellMar>
        <w:tblLook w:val="0000"/>
      </w:tblPr>
      <w:tblGrid>
        <w:gridCol w:w="9497"/>
      </w:tblGrid>
      <w:tr w:rsidTr="00A43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t>Foundation skills essential to performance are explicit in the performance criteria of this unit of competency.</w:t>
            </w:r>
          </w:p>
        </w:tc>
      </w:tr>
    </w:tbl>
    <w:p w:rsidR="00000000" w:rsidRPr="00A43153" w:rsidP="00A43153">
      <w:pPr>
        <w:pStyle w:val="NoPaddingFontSize1"/>
      </w:pPr>
    </w:p>
    <w:p w:rsidR="00000000" w:rsidRPr="00A43153" w:rsidP="00A43153">
      <w:pPr>
        <w:pStyle w:val="AllowPageBreak"/>
      </w:pPr>
    </w:p>
    <w:p w:rsidR="00000000" w:rsidRPr="00A43153" w:rsidP="00A43153">
      <w:pPr>
        <w:pStyle w:val="Heading1"/>
      </w:pPr>
      <w:bookmarkStart w:id="8" w:name="O_1192369"/>
      <w:bookmarkEnd w:id="8"/>
      <w:r w:rsidRPr="00A43153">
        <w:t>Range of Conditions</w:t>
      </w:r>
    </w:p>
    <w:tbl>
      <w:tblPr>
        <w:tblW w:w="9497" w:type="dxa"/>
        <w:tblLayout w:type="fixed"/>
        <w:tblCellMar>
          <w:left w:w="62" w:type="dxa"/>
          <w:right w:w="62" w:type="dxa"/>
        </w:tblCellMar>
        <w:tblLook w:val="0000"/>
      </w:tblPr>
      <w:tblGrid>
        <w:gridCol w:w="9497"/>
      </w:tblGrid>
      <w:tr w:rsidTr="00A43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t>Range is restricted to essential operating conditions and any other variables essential to the work environment.</w:t>
            </w:r>
          </w:p>
          <w:p w:rsidR="00000000" w:rsidRPr="00A43153" w:rsidP="00A43153">
            <w:pPr>
              <w:pStyle w:val="BodyText"/>
            </w:pPr>
            <w:r w:rsidRPr="00A43153">
              <w:t>Non-essential conditions may be found in the UEP Electricity Supply Industry - Generation Sector Training Package Companion Volume Implementati</w:t>
            </w:r>
            <w:r w:rsidRPr="00A43153">
              <w:t>on Guide.</w:t>
            </w:r>
          </w:p>
        </w:tc>
      </w:tr>
    </w:tbl>
    <w:p w:rsidR="00000000" w:rsidRPr="00A43153" w:rsidP="00A43153">
      <w:pPr>
        <w:pStyle w:val="NoPaddingFontSize1"/>
      </w:pPr>
    </w:p>
    <w:p w:rsidR="00000000" w:rsidRPr="00A43153" w:rsidP="00A43153">
      <w:pPr>
        <w:pStyle w:val="AllowPageBreak"/>
      </w:pPr>
    </w:p>
    <w:p w:rsidR="00000000" w:rsidRPr="00A43153" w:rsidP="00A43153">
      <w:pPr>
        <w:pStyle w:val="Heading1"/>
      </w:pPr>
      <w:bookmarkStart w:id="9" w:name="O_1192370"/>
      <w:bookmarkEnd w:id="9"/>
      <w:r w:rsidRPr="00A43153">
        <w:t>Unit Mapping Information</w:t>
      </w:r>
    </w:p>
    <w:tbl>
      <w:tblPr>
        <w:tblW w:w="9497" w:type="dxa"/>
        <w:tblLayout w:type="fixed"/>
        <w:tblCellMar>
          <w:left w:w="62" w:type="dxa"/>
          <w:right w:w="62" w:type="dxa"/>
        </w:tblCellMar>
        <w:tblLook w:val="0000"/>
      </w:tblPr>
      <w:tblGrid>
        <w:gridCol w:w="9497"/>
      </w:tblGrid>
      <w:tr w:rsidTr="00A4315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3153" w:rsidP="00A43153">
            <w:pPr>
              <w:pStyle w:val="BodyText"/>
            </w:pPr>
            <w:r w:rsidRPr="00A43153">
              <w:t>This unit replaces and is equivalent to UEPOPS248 Operate and monitor an internal combustion dual fuel reciprocating engine.</w:t>
            </w:r>
          </w:p>
        </w:tc>
      </w:tr>
    </w:tbl>
    <w:p w:rsidR="00000000" w:rsidRPr="00A43153" w:rsidP="00A43153">
      <w:pPr>
        <w:pStyle w:val="NoPaddingFontSize1"/>
      </w:pPr>
    </w:p>
    <w:p w:rsidR="00000000" w:rsidRPr="00A43153" w:rsidP="00A43153">
      <w:pPr>
        <w:pStyle w:val="AllowPageBreak"/>
      </w:pPr>
    </w:p>
    <w:p w:rsidR="00000000" w:rsidRPr="00A43153" w:rsidP="00A43153">
      <w:pPr>
        <w:pStyle w:val="Heading1"/>
      </w:pPr>
      <w:bookmarkStart w:id="10" w:name="O_1192377"/>
      <w:bookmarkEnd w:id="10"/>
      <w:r w:rsidRPr="00A43153">
        <w:t>Links</w:t>
      </w:r>
    </w:p>
    <w:p w:rsidR="00000000" w:rsidRPr="00A43153" w:rsidP="003B5ACA">
      <w:pPr>
        <w:pStyle w:val="BodyText"/>
      </w:pPr>
      <w:r w:rsidRPr="00A43153">
        <w:t>Companion Volume implementation guides are found</w:t>
      </w:r>
      <w:r w:rsidRPr="00A43153">
        <w:t xml:space="preserve"> in VETNet - </w:t>
      </w:r>
      <w:r>
        <w:fldChar w:fldCharType="begin"/>
      </w:r>
      <w:r>
        <w:instrText xml:space="preserve"> HYPERLINK "https://vetnet.gov.au/Pages/TrainingDocs.aspx?q=1715b9fa-e7bd-441c-bb8d-cf22c9c825a8" </w:instrText>
      </w:r>
      <w:r>
        <w:fldChar w:fldCharType="separate"/>
      </w:r>
      <w:r w:rsidRPr="00077071">
        <w:rPr>
          <w:rStyle w:val="Hyperlink"/>
        </w:rPr>
        <w:t>https://vetnet.gov.au/Pages/TrainingDocs.aspx?q=1715b9fa-e7bd-441c-bb8d-cf22c9c825a8</w:t>
      </w:r>
      <w:r>
        <w:fldChar w:fldCharType="end"/>
      </w:r>
    </w:p>
    <w:p w:rsidR="00000000" w:rsidRPr="00A43153" w:rsidP="00A43153"/>
    <w:sectPr w:rsidSect="00A431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53" w:rsidRPr="003B5ACA" w:rsidP="003B5A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ACA" w:rsidP="00A431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5ACA" w:rsidP="00A4315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B5ACA" w:rsidP="00A431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A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3153" w:rsidRPr="003B5ACA" w:rsidP="003B5A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1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ACA" w:rsidRPr="002D2AF8" w:rsidP="00A43153">
    <w:pPr>
      <w:pStyle w:val="Header"/>
      <w:framePr w:wrap="around"/>
    </w:pPr>
    <w:r>
      <w:fldChar w:fldCharType="begin"/>
    </w:r>
    <w:r>
      <w:instrText xml:space="preserve"> TITLE   \* MERGEFORMAT </w:instrText>
    </w:r>
    <w:r>
      <w:fldChar w:fldCharType="separate"/>
    </w:r>
    <w:r>
      <w:t>UEPOPS078 Operate and monitor an internal combustion dual fuel reciprocating engine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3B5ACA" w:rsidP="00A431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1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153"/>
    <w:pPr>
      <w:spacing w:before="360" w:after="60"/>
      <w:outlineLvl w:val="0"/>
    </w:pPr>
    <w:rPr>
      <w:sz w:val="32"/>
    </w:rPr>
  </w:style>
  <w:style w:type="paragraph" w:styleId="Heading2">
    <w:name w:val="heading 2"/>
    <w:basedOn w:val="HeadingBase"/>
    <w:next w:val="BodyText"/>
    <w:link w:val="Heading2Char"/>
    <w:qFormat/>
    <w:rsid w:val="00A43153"/>
    <w:pPr>
      <w:keepLines/>
      <w:spacing w:before="240" w:after="120"/>
      <w:outlineLvl w:val="1"/>
    </w:pPr>
    <w:rPr>
      <w:sz w:val="28"/>
      <w:szCs w:val="40"/>
    </w:rPr>
  </w:style>
  <w:style w:type="paragraph" w:styleId="Heading3">
    <w:name w:val="heading 3"/>
    <w:basedOn w:val="HeadingBase"/>
    <w:next w:val="BodyText"/>
    <w:link w:val="Heading3Char"/>
    <w:qFormat/>
    <w:rsid w:val="00A43153"/>
    <w:pPr>
      <w:spacing w:before="180" w:after="120"/>
      <w:outlineLvl w:val="2"/>
    </w:pPr>
    <w:rPr>
      <w:spacing w:val="-10"/>
      <w:kern w:val="32"/>
    </w:rPr>
  </w:style>
  <w:style w:type="paragraph" w:styleId="Heading4">
    <w:name w:val="heading 4"/>
    <w:basedOn w:val="HeadingBase"/>
    <w:next w:val="BodyText"/>
    <w:link w:val="Heading4Char"/>
    <w:qFormat/>
    <w:rsid w:val="00A43153"/>
    <w:pPr>
      <w:spacing w:before="160" w:after="120"/>
      <w:outlineLvl w:val="3"/>
    </w:pPr>
    <w:rPr>
      <w:sz w:val="22"/>
    </w:rPr>
  </w:style>
  <w:style w:type="paragraph" w:styleId="Heading5">
    <w:name w:val="heading 5"/>
    <w:basedOn w:val="HeadingBase"/>
    <w:next w:val="Normal"/>
    <w:link w:val="Heading5Char"/>
    <w:qFormat/>
    <w:rsid w:val="00A43153"/>
    <w:pPr>
      <w:spacing w:before="80"/>
      <w:outlineLvl w:val="4"/>
    </w:pPr>
    <w:rPr>
      <w:color w:val="918585"/>
      <w:sz w:val="20"/>
    </w:rPr>
  </w:style>
  <w:style w:type="paragraph" w:styleId="Heading6">
    <w:name w:val="heading 6"/>
    <w:basedOn w:val="HeadingBase"/>
    <w:next w:val="Normal"/>
    <w:link w:val="Heading6Char"/>
    <w:qFormat/>
    <w:rsid w:val="00A43153"/>
    <w:pPr>
      <w:spacing w:before="60"/>
      <w:outlineLvl w:val="5"/>
    </w:pPr>
    <w:rPr>
      <w:color w:val="918585"/>
      <w:sz w:val="20"/>
    </w:rPr>
  </w:style>
  <w:style w:type="paragraph" w:styleId="Heading7">
    <w:name w:val="heading 7"/>
    <w:basedOn w:val="Normal"/>
    <w:next w:val="Normal"/>
    <w:link w:val="Heading7Char"/>
    <w:qFormat/>
    <w:rsid w:val="00A43153"/>
    <w:pPr>
      <w:ind w:left="720"/>
      <w:outlineLvl w:val="6"/>
    </w:pPr>
    <w:rPr>
      <w:i/>
    </w:rPr>
  </w:style>
  <w:style w:type="paragraph" w:styleId="Heading8">
    <w:name w:val="heading 8"/>
    <w:basedOn w:val="Normal"/>
    <w:next w:val="Normal"/>
    <w:link w:val="Heading8Char"/>
    <w:qFormat/>
    <w:rsid w:val="00A43153"/>
    <w:pPr>
      <w:ind w:left="720"/>
      <w:outlineLvl w:val="7"/>
    </w:pPr>
    <w:rPr>
      <w:i/>
    </w:rPr>
  </w:style>
  <w:style w:type="paragraph" w:styleId="Heading9">
    <w:name w:val="heading 9"/>
    <w:basedOn w:val="Normal"/>
    <w:next w:val="Normal"/>
    <w:link w:val="Heading9Char"/>
    <w:qFormat/>
    <w:rsid w:val="00A43153"/>
    <w:pPr>
      <w:ind w:left="720"/>
      <w:outlineLvl w:val="8"/>
    </w:pPr>
    <w:rPr>
      <w:i/>
    </w:rPr>
  </w:style>
  <w:style w:type="character" w:default="1" w:styleId="DefaultParagraphFont">
    <w:name w:val="Default Paragraph Font"/>
    <w:uiPriority w:val="1"/>
    <w:unhideWhenUsed/>
    <w:rsid w:val="00A431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153"/>
  </w:style>
  <w:style w:type="character" w:customStyle="1" w:styleId="Heading1Char">
    <w:name w:val="Heading 1 Char"/>
    <w:basedOn w:val="DefaultParagraphFont"/>
    <w:link w:val="Heading1"/>
    <w:rsid w:val="00A43153"/>
    <w:rPr>
      <w:rFonts w:ascii="Times New Roman" w:eastAsia="Times New Roman" w:hAnsi="Times New Roman" w:cs="Times New Roman"/>
      <w:b/>
      <w:sz w:val="32"/>
      <w:szCs w:val="20"/>
      <w:lang w:eastAsia="en-US"/>
    </w:rPr>
  </w:style>
  <w:style w:type="paragraph" w:styleId="BodyText">
    <w:name w:val="Body Text"/>
    <w:basedOn w:val="Normal"/>
    <w:link w:val="BodyTextChar"/>
    <w:rsid w:val="00A431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3153"/>
    <w:rPr>
      <w:rFonts w:ascii="Times New Roman" w:eastAsia="Times New Roman" w:hAnsi="Times New Roman" w:cs="Times New Roman"/>
      <w:sz w:val="24"/>
      <w:lang w:eastAsia="en-US"/>
    </w:rPr>
  </w:style>
  <w:style w:type="character" w:customStyle="1" w:styleId="SpecialBold">
    <w:name w:val="Special Bold"/>
    <w:basedOn w:val="DefaultParagraphFont"/>
    <w:rsid w:val="00A43153"/>
    <w:rPr>
      <w:b/>
      <w:spacing w:val="0"/>
    </w:rPr>
  </w:style>
  <w:style w:type="paragraph" w:customStyle="1" w:styleId="SuperHeading">
    <w:name w:val="SuperHeading"/>
    <w:basedOn w:val="Normal"/>
    <w:rsid w:val="00A43153"/>
    <w:pPr>
      <w:spacing w:before="240" w:after="120"/>
      <w:outlineLvl w:val="0"/>
    </w:pPr>
    <w:rPr>
      <w:rFonts w:ascii="Times New Roman" w:hAnsi="Times New Roman"/>
      <w:b/>
      <w:sz w:val="32"/>
    </w:rPr>
  </w:style>
  <w:style w:type="paragraph" w:customStyle="1" w:styleId="AllowPageBreak">
    <w:name w:val="AllowPageBreak"/>
    <w:rsid w:val="00A4315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31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1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1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1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1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1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1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153"/>
    <w:rPr>
      <w:rFonts w:ascii="Courier New" w:eastAsia="Times New Roman" w:hAnsi="Courier New" w:cs="Times New Roman"/>
      <w:i/>
      <w:szCs w:val="20"/>
      <w:lang w:eastAsia="en-US"/>
    </w:rPr>
  </w:style>
  <w:style w:type="paragraph" w:customStyle="1" w:styleId="HeadingBase">
    <w:name w:val="Heading Base"/>
    <w:rsid w:val="00A431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153"/>
    <w:pPr>
      <w:tabs>
        <w:tab w:val="right" w:leader="dot" w:pos="9072"/>
      </w:tabs>
      <w:ind w:left="567"/>
    </w:pPr>
    <w:rPr>
      <w:szCs w:val="22"/>
    </w:rPr>
  </w:style>
  <w:style w:type="paragraph" w:customStyle="1" w:styleId="TOCBase">
    <w:name w:val="TOC Base"/>
    <w:rsid w:val="00A431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153"/>
    <w:pPr>
      <w:tabs>
        <w:tab w:val="right" w:leader="dot" w:pos="9072"/>
      </w:tabs>
      <w:spacing w:before="40" w:after="40"/>
      <w:ind w:left="284"/>
    </w:pPr>
    <w:rPr>
      <w:rFonts w:ascii="Times New Roman" w:hAnsi="Times New Roman"/>
    </w:rPr>
  </w:style>
  <w:style w:type="paragraph" w:styleId="TOC1">
    <w:name w:val="toc 1"/>
    <w:basedOn w:val="TOCBase"/>
    <w:next w:val="Normal"/>
    <w:rsid w:val="00A431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31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153"/>
    <w:rPr>
      <w:rFonts w:ascii="Times New Roman" w:eastAsia="Times New Roman" w:hAnsi="Times New Roman" w:cs="Times New Roman"/>
      <w:sz w:val="16"/>
      <w:lang w:eastAsia="en-US"/>
    </w:rPr>
  </w:style>
  <w:style w:type="paragraph" w:styleId="Title">
    <w:name w:val="Title"/>
    <w:basedOn w:val="HeadingBase"/>
    <w:link w:val="TitleChar"/>
    <w:qFormat/>
    <w:rsid w:val="00A43153"/>
    <w:pPr>
      <w:spacing w:before="5040"/>
      <w:jc w:val="center"/>
    </w:pPr>
    <w:rPr>
      <w:sz w:val="48"/>
      <w:szCs w:val="72"/>
      <w:lang w:val="en-US"/>
    </w:rPr>
  </w:style>
  <w:style w:type="character" w:customStyle="1" w:styleId="TitleChar">
    <w:name w:val="Title Char"/>
    <w:basedOn w:val="DefaultParagraphFont"/>
    <w:link w:val="Title"/>
    <w:rsid w:val="00A431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153"/>
    <w:pPr>
      <w:tabs>
        <w:tab w:val="left" w:pos="3600"/>
        <w:tab w:val="left" w:pos="3958"/>
      </w:tabs>
    </w:pPr>
  </w:style>
  <w:style w:type="paragraph" w:styleId="List">
    <w:name w:val="List"/>
    <w:basedOn w:val="BodyText"/>
    <w:next w:val="BodyText"/>
    <w:rsid w:val="00A43153"/>
    <w:pPr>
      <w:tabs>
        <w:tab w:val="left" w:pos="340"/>
      </w:tabs>
      <w:spacing w:before="60" w:after="60"/>
      <w:ind w:left="340" w:hanging="340"/>
    </w:pPr>
  </w:style>
  <w:style w:type="paragraph" w:styleId="ListBullet">
    <w:name w:val="List Bullet"/>
    <w:basedOn w:val="List"/>
    <w:rsid w:val="00A43153"/>
    <w:pPr>
      <w:numPr>
        <w:numId w:val="10"/>
      </w:numPr>
      <w:tabs>
        <w:tab w:val="clear" w:pos="340"/>
      </w:tabs>
      <w:spacing w:before="40" w:after="40"/>
    </w:pPr>
  </w:style>
  <w:style w:type="paragraph" w:customStyle="1" w:styleId="Note">
    <w:name w:val="Note"/>
    <w:basedOn w:val="BodyText"/>
    <w:rsid w:val="00A431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153"/>
    <w:pPr>
      <w:framePr w:wrap="auto" w:hAnchor="text" w:y="6049"/>
    </w:pPr>
    <w:rPr>
      <w:color w:val="000000"/>
      <w:sz w:val="40"/>
    </w:rPr>
  </w:style>
  <w:style w:type="paragraph" w:customStyle="1" w:styleId="TOCTitle">
    <w:name w:val="TOCTitle"/>
    <w:basedOn w:val="Heading1"/>
    <w:rsid w:val="00A43153"/>
    <w:pPr>
      <w:spacing w:after="240"/>
      <w:jc w:val="center"/>
      <w:outlineLvl w:val="9"/>
    </w:pPr>
    <w:rPr>
      <w:caps/>
    </w:rPr>
  </w:style>
  <w:style w:type="paragraph" w:customStyle="1" w:styleId="Version">
    <w:name w:val="Version"/>
    <w:rsid w:val="00A431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3153"/>
    <w:pPr>
      <w:numPr>
        <w:numId w:val="11"/>
      </w:numPr>
      <w:tabs>
        <w:tab w:val="clear" w:pos="680"/>
      </w:tabs>
    </w:pPr>
  </w:style>
  <w:style w:type="paragraph" w:styleId="Index1">
    <w:name w:val="index 1"/>
    <w:basedOn w:val="Normal"/>
    <w:next w:val="Normal"/>
    <w:semiHidden/>
    <w:rsid w:val="00A43153"/>
    <w:pPr>
      <w:keepNext w:val="0"/>
      <w:tabs>
        <w:tab w:val="right" w:pos="4176"/>
      </w:tabs>
      <w:ind w:left="198" w:hanging="198"/>
    </w:pPr>
    <w:rPr>
      <w:rFonts w:ascii="Garamond" w:hAnsi="Garamond"/>
    </w:rPr>
  </w:style>
  <w:style w:type="paragraph" w:styleId="IndexHeading">
    <w:name w:val="index heading"/>
    <w:basedOn w:val="Normal"/>
    <w:next w:val="Index1"/>
    <w:semiHidden/>
    <w:rsid w:val="00A43153"/>
    <w:pPr>
      <w:spacing w:before="120" w:after="120"/>
    </w:pPr>
    <w:rPr>
      <w:rFonts w:ascii="Arial" w:hAnsi="Arial"/>
      <w:b/>
      <w:color w:val="918585"/>
      <w:sz w:val="24"/>
    </w:rPr>
  </w:style>
  <w:style w:type="paragraph" w:styleId="Header">
    <w:name w:val="header"/>
    <w:basedOn w:val="Normal"/>
    <w:link w:val="HeaderChar"/>
    <w:rsid w:val="00A431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153"/>
    <w:rPr>
      <w:rFonts w:ascii="Times New Roman" w:eastAsia="Times New Roman" w:hAnsi="Times New Roman" w:cs="Times New Roman"/>
      <w:sz w:val="16"/>
      <w:szCs w:val="20"/>
      <w:lang w:val="en-GB" w:eastAsia="en-US"/>
    </w:rPr>
  </w:style>
  <w:style w:type="paragraph" w:customStyle="1" w:styleId="Chapter">
    <w:name w:val="Chapter"/>
    <w:basedOn w:val="Normal"/>
    <w:rsid w:val="00A43153"/>
    <w:pPr>
      <w:spacing w:before="240"/>
    </w:pPr>
    <w:rPr>
      <w:rFonts w:ascii="Times New Roman" w:hAnsi="Times New Roman"/>
      <w:smallCaps/>
      <w:spacing w:val="80"/>
      <w:sz w:val="28"/>
    </w:rPr>
  </w:style>
  <w:style w:type="paragraph" w:customStyle="1" w:styleId="InChapter">
    <w:name w:val="InChapter"/>
    <w:basedOn w:val="Heading3"/>
    <w:rsid w:val="00A43153"/>
    <w:pPr>
      <w:spacing w:after="240"/>
      <w:outlineLvl w:val="9"/>
    </w:pPr>
    <w:rPr>
      <w:noProof/>
    </w:rPr>
  </w:style>
  <w:style w:type="paragraph" w:styleId="Index2">
    <w:name w:val="index 2"/>
    <w:basedOn w:val="Normal"/>
    <w:next w:val="Normal"/>
    <w:semiHidden/>
    <w:rsid w:val="00A43153"/>
    <w:pPr>
      <w:tabs>
        <w:tab w:val="right" w:pos="4176"/>
      </w:tabs>
      <w:ind w:left="568" w:hanging="284"/>
    </w:pPr>
    <w:rPr>
      <w:rFonts w:ascii="Garamond" w:hAnsi="Garamond"/>
    </w:rPr>
  </w:style>
  <w:style w:type="paragraph" w:customStyle="1" w:styleId="Byline">
    <w:name w:val="Byline"/>
    <w:rsid w:val="00A431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153"/>
    <w:pPr>
      <w:tabs>
        <w:tab w:val="clear" w:pos="3600"/>
        <w:tab w:val="clear" w:pos="3958"/>
      </w:tabs>
      <w:jc w:val="right"/>
    </w:pPr>
  </w:style>
  <w:style w:type="character" w:styleId="Emphasis">
    <w:name w:val="Emphasis"/>
    <w:basedOn w:val="DefaultParagraphFont"/>
    <w:qFormat/>
    <w:rsid w:val="00A43153"/>
    <w:rPr>
      <w:i/>
    </w:rPr>
  </w:style>
  <w:style w:type="paragraph" w:styleId="Caption">
    <w:name w:val="caption"/>
    <w:basedOn w:val="BodyText"/>
    <w:next w:val="Normal"/>
    <w:qFormat/>
    <w:rsid w:val="00A43153"/>
    <w:pPr>
      <w:framePr w:w="2268" w:hSpace="181" w:vSpace="181" w:wrap="around" w:vAnchor="text" w:hAnchor="page" w:x="1135" w:y="285" w:anchorLock="1"/>
    </w:pPr>
    <w:rPr>
      <w:i/>
    </w:rPr>
  </w:style>
  <w:style w:type="paragraph" w:customStyle="1" w:styleId="MiniTOCTitle">
    <w:name w:val="MiniTOCTitle"/>
    <w:basedOn w:val="Heading4"/>
    <w:rsid w:val="00A43153"/>
    <w:pPr>
      <w:spacing w:before="240"/>
      <w:outlineLvl w:val="9"/>
    </w:pPr>
    <w:rPr>
      <w:noProof/>
      <w:sz w:val="24"/>
    </w:rPr>
  </w:style>
  <w:style w:type="paragraph" w:customStyle="1" w:styleId="MiniTOCItem">
    <w:name w:val="MiniTOCItem"/>
    <w:basedOn w:val="ListBullet"/>
    <w:rsid w:val="00A43153"/>
    <w:pPr>
      <w:numPr>
        <w:numId w:val="0"/>
      </w:numPr>
      <w:tabs>
        <w:tab w:val="right" w:leader="dot" w:pos="6521"/>
      </w:tabs>
      <w:spacing w:before="0" w:after="0"/>
    </w:pPr>
  </w:style>
  <w:style w:type="paragraph" w:customStyle="1" w:styleId="TOFTitle">
    <w:name w:val="TOFTitle"/>
    <w:basedOn w:val="TOCTitle"/>
    <w:rsid w:val="00A43153"/>
  </w:style>
  <w:style w:type="paragraph" w:styleId="TableofFigures">
    <w:name w:val="table of figures"/>
    <w:basedOn w:val="Normal"/>
    <w:next w:val="Normal"/>
    <w:semiHidden/>
    <w:rsid w:val="00A43153"/>
    <w:pPr>
      <w:tabs>
        <w:tab w:val="right" w:leader="dot" w:pos="9072"/>
      </w:tabs>
      <w:ind w:left="970" w:hanging="403"/>
    </w:pPr>
    <w:rPr>
      <w:rFonts w:ascii="Times New Roman" w:hAnsi="Times New Roman"/>
      <w:b/>
    </w:rPr>
  </w:style>
  <w:style w:type="paragraph" w:styleId="ListNumber">
    <w:name w:val="List Number"/>
    <w:basedOn w:val="List"/>
    <w:rsid w:val="00A43153"/>
    <w:pPr>
      <w:numPr>
        <w:numId w:val="13"/>
      </w:numPr>
      <w:tabs>
        <w:tab w:val="clear" w:pos="340"/>
      </w:tabs>
    </w:pPr>
  </w:style>
  <w:style w:type="character" w:customStyle="1" w:styleId="WingdingSymbols">
    <w:name w:val="Wingding Symbols"/>
    <w:rsid w:val="00A43153"/>
    <w:rPr>
      <w:rFonts w:ascii="Wingdings" w:hAnsi="Wingdings"/>
    </w:rPr>
  </w:style>
  <w:style w:type="paragraph" w:customStyle="1" w:styleId="TableHeading">
    <w:name w:val="Table Heading"/>
    <w:basedOn w:val="HeadingBase"/>
    <w:rsid w:val="00A43153"/>
    <w:pPr>
      <w:keepLines/>
      <w:pBdr>
        <w:bottom w:val="single" w:sz="6" w:space="1" w:color="918585"/>
      </w:pBdr>
      <w:spacing w:before="240"/>
    </w:pPr>
  </w:style>
  <w:style w:type="character" w:customStyle="1" w:styleId="HotSpot">
    <w:name w:val="HotSpot"/>
    <w:rsid w:val="00A43153"/>
    <w:rPr>
      <w:color w:val="0033CC"/>
      <w:u w:val="none"/>
    </w:rPr>
  </w:style>
  <w:style w:type="paragraph" w:customStyle="1" w:styleId="BodyTextRight">
    <w:name w:val="Body Text Right"/>
    <w:basedOn w:val="BodyText"/>
    <w:rsid w:val="00A43153"/>
    <w:pPr>
      <w:spacing w:before="0" w:after="0"/>
      <w:jc w:val="right"/>
    </w:pPr>
  </w:style>
  <w:style w:type="paragraph" w:styleId="Index3">
    <w:name w:val="index 3"/>
    <w:basedOn w:val="ListNumber2"/>
    <w:next w:val="Normal"/>
    <w:semiHidden/>
    <w:rsid w:val="00A43153"/>
    <w:pPr>
      <w:numPr>
        <w:numId w:val="0"/>
      </w:numPr>
      <w:tabs>
        <w:tab w:val="right" w:leader="dot" w:pos="4176"/>
      </w:tabs>
    </w:pPr>
  </w:style>
  <w:style w:type="paragraph" w:styleId="ListNumber2">
    <w:name w:val="List Number 2"/>
    <w:basedOn w:val="List2"/>
    <w:rsid w:val="00A43153"/>
    <w:pPr>
      <w:numPr>
        <w:numId w:val="8"/>
      </w:numPr>
      <w:tabs>
        <w:tab w:val="clear" w:pos="1060"/>
      </w:tabs>
    </w:pPr>
  </w:style>
  <w:style w:type="paragraph" w:customStyle="1" w:styleId="MarginNote">
    <w:name w:val="Margin Note"/>
    <w:basedOn w:val="BodyText"/>
    <w:rsid w:val="00A431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1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1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153"/>
    <w:rPr>
      <w:sz w:val="32"/>
    </w:rPr>
  </w:style>
  <w:style w:type="paragraph" w:customStyle="1" w:styleId="HeadingProcedure">
    <w:name w:val="Heading Procedure"/>
    <w:basedOn w:val="HeadingBase"/>
    <w:next w:val="Normal"/>
    <w:rsid w:val="00A43153"/>
    <w:pPr>
      <w:tabs>
        <w:tab w:val="left" w:pos="0"/>
      </w:tabs>
      <w:spacing w:before="120" w:after="60"/>
    </w:pPr>
    <w:rPr>
      <w:i/>
      <w:color w:val="918585"/>
      <w:sz w:val="22"/>
    </w:rPr>
  </w:style>
  <w:style w:type="paragraph" w:customStyle="1" w:styleId="TableBodyText">
    <w:name w:val="Table Body Text"/>
    <w:basedOn w:val="BodyText"/>
    <w:rsid w:val="00A43153"/>
    <w:pPr>
      <w:spacing w:before="60" w:after="60"/>
    </w:pPr>
  </w:style>
  <w:style w:type="paragraph" w:styleId="ListContinue">
    <w:name w:val="List Continue"/>
    <w:basedOn w:val="List"/>
    <w:rsid w:val="00A43153"/>
    <w:pPr>
      <w:ind w:firstLine="0"/>
    </w:pPr>
  </w:style>
  <w:style w:type="paragraph" w:customStyle="1" w:styleId="ListNote">
    <w:name w:val="List Note"/>
    <w:basedOn w:val="List"/>
    <w:rsid w:val="00A43153"/>
    <w:pPr>
      <w:pBdr>
        <w:top w:val="single" w:sz="6" w:space="2" w:color="918585"/>
        <w:bottom w:val="single" w:sz="6" w:space="2" w:color="918585"/>
      </w:pBdr>
      <w:tabs>
        <w:tab w:val="left" w:pos="1021"/>
      </w:tabs>
      <w:ind w:firstLine="0"/>
    </w:pPr>
  </w:style>
  <w:style w:type="paragraph" w:customStyle="1" w:styleId="Warning">
    <w:name w:val="Warning"/>
    <w:basedOn w:val="BodyText"/>
    <w:rsid w:val="00A43153"/>
    <w:pPr>
      <w:shd w:val="clear" w:color="auto" w:fill="D9D9D9"/>
      <w:tabs>
        <w:tab w:val="left" w:pos="992"/>
      </w:tabs>
      <w:ind w:left="119" w:right="119"/>
    </w:pPr>
    <w:rPr>
      <w:sz w:val="20"/>
    </w:rPr>
  </w:style>
  <w:style w:type="paragraph" w:customStyle="1" w:styleId="MarginIcons">
    <w:name w:val="Margin Icons"/>
    <w:basedOn w:val="BodyText"/>
    <w:rsid w:val="00A431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153"/>
    <w:rPr>
      <w:rFonts w:ascii="Courier New" w:hAnsi="Courier New"/>
    </w:rPr>
  </w:style>
  <w:style w:type="paragraph" w:customStyle="1" w:styleId="NoteBullet">
    <w:name w:val="Note Bullet"/>
    <w:basedOn w:val="Note"/>
    <w:rsid w:val="00A43153"/>
    <w:pPr>
      <w:tabs>
        <w:tab w:val="clear" w:pos="680"/>
      </w:tabs>
      <w:spacing w:before="60" w:after="60"/>
    </w:pPr>
  </w:style>
  <w:style w:type="paragraph" w:customStyle="1" w:styleId="SubHeading2">
    <w:name w:val="SubHeading2"/>
    <w:basedOn w:val="HeadingBase"/>
    <w:rsid w:val="00A43153"/>
    <w:pPr>
      <w:spacing w:before="240" w:after="60"/>
    </w:pPr>
    <w:rPr>
      <w:sz w:val="20"/>
    </w:rPr>
  </w:style>
  <w:style w:type="paragraph" w:customStyle="1" w:styleId="SubHeading1">
    <w:name w:val="SubHeading1"/>
    <w:basedOn w:val="HeadingBase"/>
    <w:rsid w:val="00A43153"/>
    <w:pPr>
      <w:spacing w:before="240" w:after="60"/>
    </w:pPr>
    <w:rPr>
      <w:color w:val="918585"/>
      <w:sz w:val="22"/>
    </w:rPr>
  </w:style>
  <w:style w:type="paragraph" w:customStyle="1" w:styleId="SideHeading">
    <w:name w:val="Side Heading"/>
    <w:basedOn w:val="HeadingBase"/>
    <w:rsid w:val="00A431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153"/>
    <w:pPr>
      <w:numPr>
        <w:numId w:val="9"/>
      </w:numPr>
    </w:pPr>
  </w:style>
  <w:style w:type="paragraph" w:styleId="PlainText">
    <w:name w:val="Plain Text"/>
    <w:basedOn w:val="Normal"/>
    <w:link w:val="PlainTextChar"/>
    <w:rsid w:val="00A43153"/>
    <w:rPr>
      <w:sz w:val="20"/>
    </w:rPr>
  </w:style>
  <w:style w:type="character" w:customStyle="1" w:styleId="PlainTextChar">
    <w:name w:val="Plain Text Char"/>
    <w:basedOn w:val="DefaultParagraphFont"/>
    <w:link w:val="PlainText"/>
    <w:rsid w:val="00A43153"/>
    <w:rPr>
      <w:rFonts w:ascii="Courier New" w:eastAsia="Times New Roman" w:hAnsi="Courier New" w:cs="Times New Roman"/>
      <w:sz w:val="20"/>
      <w:szCs w:val="20"/>
      <w:lang w:eastAsia="en-US"/>
    </w:rPr>
  </w:style>
  <w:style w:type="character" w:customStyle="1" w:styleId="MenuOption">
    <w:name w:val="Menu Option"/>
    <w:basedOn w:val="DefaultParagraphFont"/>
    <w:rsid w:val="00A43153"/>
    <w:rPr>
      <w:b/>
      <w:smallCaps/>
    </w:rPr>
  </w:style>
  <w:style w:type="paragraph" w:customStyle="1" w:styleId="TableListNumber">
    <w:name w:val="Table List Number"/>
    <w:basedOn w:val="ListNumber"/>
    <w:rsid w:val="00A43153"/>
    <w:pPr>
      <w:numPr>
        <w:numId w:val="0"/>
      </w:numPr>
    </w:pPr>
  </w:style>
  <w:style w:type="paragraph" w:styleId="TOC4">
    <w:name w:val="toc 4"/>
    <w:basedOn w:val="TOCBase"/>
    <w:next w:val="Normal"/>
    <w:semiHidden/>
    <w:rsid w:val="00A43153"/>
    <w:pPr>
      <w:tabs>
        <w:tab w:val="right" w:leader="dot" w:pos="9071"/>
      </w:tabs>
      <w:ind w:left="1701"/>
    </w:pPr>
  </w:style>
  <w:style w:type="paragraph" w:customStyle="1" w:styleId="ListAlpha">
    <w:name w:val="List Alpha"/>
    <w:basedOn w:val="List"/>
    <w:rsid w:val="00A43153"/>
    <w:pPr>
      <w:numPr>
        <w:numId w:val="7"/>
      </w:numPr>
    </w:pPr>
  </w:style>
  <w:style w:type="paragraph" w:customStyle="1" w:styleId="ListAlpha2">
    <w:name w:val="List Alpha 2"/>
    <w:basedOn w:val="List2"/>
    <w:rsid w:val="00A43153"/>
    <w:pPr>
      <w:numPr>
        <w:numId w:val="6"/>
      </w:numPr>
    </w:pPr>
  </w:style>
  <w:style w:type="paragraph" w:styleId="List2">
    <w:name w:val="List 2"/>
    <w:basedOn w:val="BodyText"/>
    <w:rsid w:val="00A43153"/>
    <w:pPr>
      <w:tabs>
        <w:tab w:val="left" w:pos="680"/>
      </w:tabs>
      <w:spacing w:before="60" w:after="60"/>
      <w:ind w:left="680" w:hanging="340"/>
    </w:pPr>
  </w:style>
  <w:style w:type="paragraph" w:styleId="List3">
    <w:name w:val="List 3"/>
    <w:basedOn w:val="BodyText"/>
    <w:rsid w:val="00A43153"/>
    <w:pPr>
      <w:tabs>
        <w:tab w:val="left" w:pos="1021"/>
      </w:tabs>
      <w:spacing w:before="60" w:after="60"/>
      <w:ind w:left="1020" w:hanging="340"/>
    </w:pPr>
  </w:style>
  <w:style w:type="paragraph" w:styleId="List4">
    <w:name w:val="List 4"/>
    <w:basedOn w:val="BodyText"/>
    <w:rsid w:val="00A43153"/>
    <w:pPr>
      <w:tabs>
        <w:tab w:val="left" w:pos="1361"/>
      </w:tabs>
      <w:spacing w:before="60" w:after="60"/>
      <w:ind w:left="1361" w:hanging="340"/>
    </w:pPr>
  </w:style>
  <w:style w:type="paragraph" w:styleId="List5">
    <w:name w:val="List 5"/>
    <w:basedOn w:val="BodyText"/>
    <w:rsid w:val="00A43153"/>
    <w:pPr>
      <w:tabs>
        <w:tab w:val="left" w:pos="1701"/>
      </w:tabs>
      <w:spacing w:before="60" w:after="60"/>
      <w:ind w:left="1701" w:hanging="340"/>
    </w:pPr>
  </w:style>
  <w:style w:type="paragraph" w:styleId="ListBullet3">
    <w:name w:val="List Bullet 3"/>
    <w:basedOn w:val="List3"/>
    <w:rsid w:val="00A43153"/>
    <w:pPr>
      <w:numPr>
        <w:numId w:val="12"/>
      </w:numPr>
      <w:tabs>
        <w:tab w:val="clear" w:pos="1021"/>
      </w:tabs>
      <w:ind w:left="1037" w:hanging="357"/>
    </w:pPr>
  </w:style>
  <w:style w:type="paragraph" w:styleId="ListBullet4">
    <w:name w:val="List Bullet 4"/>
    <w:basedOn w:val="List4"/>
    <w:rsid w:val="00A43153"/>
    <w:pPr>
      <w:numPr>
        <w:numId w:val="1"/>
      </w:numPr>
      <w:tabs>
        <w:tab w:val="clear" w:pos="1361"/>
      </w:tabs>
    </w:pPr>
  </w:style>
  <w:style w:type="paragraph" w:styleId="ListBullet5">
    <w:name w:val="List Bullet 5"/>
    <w:basedOn w:val="List5"/>
    <w:rsid w:val="00A43153"/>
    <w:pPr>
      <w:numPr>
        <w:numId w:val="2"/>
      </w:numPr>
    </w:pPr>
  </w:style>
  <w:style w:type="paragraph" w:styleId="ListContinue2">
    <w:name w:val="List Continue 2"/>
    <w:basedOn w:val="List2"/>
    <w:rsid w:val="00A43153"/>
    <w:pPr>
      <w:ind w:firstLine="0"/>
    </w:pPr>
  </w:style>
  <w:style w:type="paragraph" w:styleId="ListContinue3">
    <w:name w:val="List Continue 3"/>
    <w:basedOn w:val="List3"/>
    <w:rsid w:val="00A43153"/>
    <w:pPr>
      <w:ind w:left="1021" w:firstLine="0"/>
    </w:pPr>
  </w:style>
  <w:style w:type="paragraph" w:styleId="ListContinue4">
    <w:name w:val="List Continue 4"/>
    <w:basedOn w:val="List4"/>
    <w:rsid w:val="00A43153"/>
    <w:pPr>
      <w:ind w:firstLine="0"/>
    </w:pPr>
  </w:style>
  <w:style w:type="paragraph" w:styleId="ListContinue5">
    <w:name w:val="List Continue 5"/>
    <w:basedOn w:val="List5"/>
    <w:rsid w:val="00A43153"/>
    <w:pPr>
      <w:ind w:firstLine="0"/>
    </w:pPr>
  </w:style>
  <w:style w:type="paragraph" w:styleId="ListNumber3">
    <w:name w:val="List Number 3"/>
    <w:basedOn w:val="List3"/>
    <w:rsid w:val="00A43153"/>
    <w:pPr>
      <w:numPr>
        <w:numId w:val="3"/>
      </w:numPr>
    </w:pPr>
  </w:style>
  <w:style w:type="paragraph" w:styleId="ListNumber4">
    <w:name w:val="List Number 4"/>
    <w:basedOn w:val="List4"/>
    <w:rsid w:val="00A43153"/>
    <w:pPr>
      <w:numPr>
        <w:numId w:val="4"/>
      </w:numPr>
    </w:pPr>
  </w:style>
  <w:style w:type="paragraph" w:styleId="ListNumber5">
    <w:name w:val="List Number 5"/>
    <w:basedOn w:val="List5"/>
    <w:rsid w:val="00A43153"/>
    <w:pPr>
      <w:numPr>
        <w:numId w:val="5"/>
      </w:numPr>
    </w:pPr>
  </w:style>
  <w:style w:type="paragraph" w:styleId="BlockText">
    <w:name w:val="Block Text"/>
    <w:basedOn w:val="Normal"/>
    <w:rsid w:val="00A43153"/>
    <w:pPr>
      <w:spacing w:after="120"/>
      <w:ind w:left="1440" w:right="1440"/>
    </w:pPr>
  </w:style>
  <w:style w:type="character" w:customStyle="1" w:styleId="Subscript">
    <w:name w:val="Subscript"/>
    <w:basedOn w:val="DefaultParagraphFont"/>
    <w:rsid w:val="00A43153"/>
    <w:rPr>
      <w:sz w:val="16"/>
      <w:vertAlign w:val="subscript"/>
    </w:rPr>
  </w:style>
  <w:style w:type="character" w:customStyle="1" w:styleId="Superscript">
    <w:name w:val="Superscript"/>
    <w:basedOn w:val="DefaultParagraphFont"/>
    <w:rsid w:val="00A43153"/>
    <w:rPr>
      <w:sz w:val="16"/>
      <w:vertAlign w:val="superscript"/>
    </w:rPr>
  </w:style>
  <w:style w:type="character" w:customStyle="1" w:styleId="Symbols">
    <w:name w:val="Symbols"/>
    <w:basedOn w:val="DefaultParagraphFont"/>
    <w:rsid w:val="00A43153"/>
    <w:rPr>
      <w:rFonts w:ascii="Symbol" w:hAnsi="Symbol"/>
    </w:rPr>
  </w:style>
  <w:style w:type="character" w:customStyle="1" w:styleId="MenuOptions">
    <w:name w:val="Menu Options"/>
    <w:basedOn w:val="DefaultParagraphFont"/>
    <w:rsid w:val="00A43153"/>
    <w:rPr>
      <w:rFonts w:ascii="Arial Narrow" w:hAnsi="Arial Narrow"/>
      <w:smallCaps/>
    </w:rPr>
  </w:style>
  <w:style w:type="character" w:customStyle="1" w:styleId="Buttons">
    <w:name w:val="Buttons"/>
    <w:basedOn w:val="DefaultParagraphFont"/>
    <w:rsid w:val="00A43153"/>
    <w:rPr>
      <w:b/>
    </w:rPr>
  </w:style>
  <w:style w:type="character" w:customStyle="1" w:styleId="Underlined">
    <w:name w:val="Underlined"/>
    <w:basedOn w:val="DefaultParagraphFont"/>
    <w:rsid w:val="00A43153"/>
    <w:rPr>
      <w:u w:val="single"/>
    </w:rPr>
  </w:style>
  <w:style w:type="paragraph" w:customStyle="1" w:styleId="TableBodyTextRight">
    <w:name w:val="Table Body Text Right"/>
    <w:basedOn w:val="TableBodyText"/>
    <w:rsid w:val="00A43153"/>
    <w:pPr>
      <w:widowControl w:val="0"/>
      <w:autoSpaceDE w:val="0"/>
      <w:autoSpaceDN w:val="0"/>
      <w:adjustRightInd w:val="0"/>
      <w:jc w:val="right"/>
    </w:pPr>
    <w:rPr>
      <w:rFonts w:cs="Arial"/>
      <w:szCs w:val="18"/>
    </w:rPr>
  </w:style>
  <w:style w:type="paragraph" w:customStyle="1" w:styleId="CopyrightText">
    <w:name w:val="Copyright Text"/>
    <w:basedOn w:val="BodyText"/>
    <w:rsid w:val="00A43153"/>
    <w:rPr>
      <w:sz w:val="18"/>
    </w:rPr>
  </w:style>
  <w:style w:type="paragraph" w:customStyle="1" w:styleId="BodySmallRight">
    <w:name w:val="Body Small Right"/>
    <w:basedOn w:val="BodyTextRight"/>
    <w:rsid w:val="00A43153"/>
    <w:rPr>
      <w:sz w:val="18"/>
      <w:szCs w:val="18"/>
    </w:rPr>
  </w:style>
  <w:style w:type="paragraph" w:customStyle="1" w:styleId="MarginEdition">
    <w:name w:val="Margin Edition"/>
    <w:basedOn w:val="MarginNote"/>
    <w:rsid w:val="00A43153"/>
    <w:pPr>
      <w:spacing w:before="0" w:after="0"/>
    </w:pPr>
    <w:rPr>
      <w:rFonts w:ascii="Times New Roman" w:hAnsi="Times New Roman"/>
      <w:color w:val="999999"/>
    </w:rPr>
  </w:style>
  <w:style w:type="paragraph" w:customStyle="1" w:styleId="Spacer">
    <w:name w:val="Spacer"/>
    <w:basedOn w:val="Normal"/>
    <w:rsid w:val="00A43153"/>
    <w:rPr>
      <w:sz w:val="2"/>
      <w:szCs w:val="2"/>
    </w:rPr>
  </w:style>
  <w:style w:type="character" w:customStyle="1" w:styleId="Small">
    <w:name w:val="Small"/>
    <w:basedOn w:val="DefaultParagraphFont"/>
    <w:rsid w:val="00A43153"/>
    <w:rPr>
      <w:sz w:val="16"/>
    </w:rPr>
  </w:style>
  <w:style w:type="paragraph" w:customStyle="1" w:styleId="WideTable">
    <w:name w:val="Wide Table"/>
    <w:basedOn w:val="Normal"/>
    <w:rsid w:val="00A43153"/>
    <w:pPr>
      <w:ind w:left="-1418"/>
    </w:pPr>
    <w:rPr>
      <w:sz w:val="2"/>
      <w:szCs w:val="2"/>
    </w:rPr>
  </w:style>
  <w:style w:type="character" w:styleId="PageNumber">
    <w:name w:val="page number"/>
    <w:basedOn w:val="DefaultParagraphFont"/>
    <w:rsid w:val="00A43153"/>
  </w:style>
  <w:style w:type="paragraph" w:styleId="Quote">
    <w:name w:val="Quote"/>
    <w:basedOn w:val="Heading1"/>
    <w:link w:val="QuoteChar"/>
    <w:qFormat/>
    <w:rsid w:val="00A43153"/>
    <w:rPr>
      <w:b w:val="0"/>
      <w:sz w:val="72"/>
      <w:szCs w:val="72"/>
      <w:lang w:val="en-NZ"/>
    </w:rPr>
  </w:style>
  <w:style w:type="character" w:customStyle="1" w:styleId="QuoteChar">
    <w:name w:val="Quote Char"/>
    <w:basedOn w:val="DefaultParagraphFont"/>
    <w:link w:val="Quote"/>
    <w:rsid w:val="00A431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153"/>
    <w:pPr>
      <w:pageBreakBefore/>
    </w:pPr>
  </w:style>
  <w:style w:type="paragraph" w:customStyle="1" w:styleId="Border">
    <w:name w:val="Border"/>
    <w:basedOn w:val="Normal"/>
    <w:qFormat/>
    <w:rsid w:val="00A431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153"/>
    <w:rPr>
      <w:b/>
      <w:bCs/>
      <w:i/>
      <w:iCs/>
      <w:color w:val="auto"/>
    </w:rPr>
  </w:style>
  <w:style w:type="paragraph" w:styleId="IntenseQuote">
    <w:name w:val="Intense Quote"/>
    <w:basedOn w:val="Normal"/>
    <w:next w:val="Normal"/>
    <w:link w:val="IntenseQuoteChar"/>
    <w:uiPriority w:val="30"/>
    <w:qFormat/>
    <w:rsid w:val="00A431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1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153"/>
    <w:rPr>
      <w:smallCaps/>
      <w:color w:val="auto"/>
      <w:u w:val="single"/>
    </w:rPr>
  </w:style>
  <w:style w:type="character" w:styleId="IntenseReference">
    <w:name w:val="Intense Reference"/>
    <w:basedOn w:val="DefaultParagraphFont"/>
    <w:uiPriority w:val="32"/>
    <w:qFormat/>
    <w:rsid w:val="00A43153"/>
    <w:rPr>
      <w:b/>
      <w:bCs/>
      <w:smallCaps/>
      <w:color w:val="auto"/>
      <w:spacing w:val="5"/>
      <w:u w:val="single"/>
    </w:rPr>
  </w:style>
  <w:style w:type="paragraph" w:customStyle="1" w:styleId="2ColumnHeading">
    <w:name w:val="2Column Heading"/>
    <w:basedOn w:val="BodyText"/>
    <w:qFormat/>
    <w:rsid w:val="00A43153"/>
    <w:pPr>
      <w:spacing w:after="60"/>
      <w:ind w:left="-2268"/>
    </w:pPr>
    <w:rPr>
      <w:b/>
    </w:rPr>
  </w:style>
  <w:style w:type="paragraph" w:customStyle="1" w:styleId="Heading1TOC">
    <w:name w:val="Heading1 TOC"/>
    <w:basedOn w:val="Normal"/>
    <w:qFormat/>
    <w:rsid w:val="00A43153"/>
    <w:pPr>
      <w:spacing w:before="240" w:after="120"/>
    </w:pPr>
    <w:rPr>
      <w:rFonts w:ascii="Times New Roman" w:hAnsi="Times New Roman"/>
      <w:b/>
      <w:sz w:val="32"/>
    </w:rPr>
  </w:style>
  <w:style w:type="paragraph" w:customStyle="1" w:styleId="Heading2TOC">
    <w:name w:val="Heading2 TOC"/>
    <w:basedOn w:val="Normal"/>
    <w:qFormat/>
    <w:rsid w:val="00A43153"/>
    <w:pPr>
      <w:spacing w:before="240" w:after="60"/>
    </w:pPr>
    <w:rPr>
      <w:rFonts w:ascii="Times New Roman" w:hAnsi="Times New Roman"/>
      <w:b/>
      <w:sz w:val="28"/>
    </w:rPr>
  </w:style>
  <w:style w:type="character" w:customStyle="1" w:styleId="Underline">
    <w:name w:val="Underline"/>
    <w:basedOn w:val="DefaultParagraphFont"/>
    <w:qFormat/>
    <w:rsid w:val="00A43153"/>
    <w:rPr>
      <w:u w:val="single"/>
    </w:rPr>
  </w:style>
  <w:style w:type="character" w:customStyle="1" w:styleId="BoldandItalics">
    <w:name w:val="Bold and Italics"/>
    <w:qFormat/>
    <w:rsid w:val="00A43153"/>
    <w:rPr>
      <w:b/>
      <w:i/>
      <w:u w:val="none"/>
    </w:rPr>
  </w:style>
  <w:style w:type="paragraph" w:styleId="BalloonText">
    <w:name w:val="Balloon Text"/>
    <w:basedOn w:val="Normal"/>
    <w:link w:val="BalloonTextChar"/>
    <w:rsid w:val="00A43153"/>
    <w:rPr>
      <w:rFonts w:ascii="Tahoma" w:hAnsi="Tahoma" w:cs="Tahoma"/>
      <w:sz w:val="16"/>
      <w:szCs w:val="16"/>
    </w:rPr>
  </w:style>
  <w:style w:type="character" w:customStyle="1" w:styleId="BalloonTextChar">
    <w:name w:val="Balloon Text Char"/>
    <w:basedOn w:val="DefaultParagraphFont"/>
    <w:link w:val="BalloonText"/>
    <w:rsid w:val="00A431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1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31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153"/>
    <w:rPr>
      <w:b/>
      <w:color w:val="660033"/>
      <w:spacing w:val="0"/>
    </w:rPr>
  </w:style>
  <w:style w:type="paragraph" w:customStyle="1" w:styleId="Nameditemlist">
    <w:name w:val="Named item list"/>
    <w:basedOn w:val="BodyText"/>
    <w:qFormat/>
    <w:rsid w:val="00A43153"/>
    <w:pPr>
      <w:tabs>
        <w:tab w:val="left" w:pos="2835"/>
      </w:tabs>
      <w:ind w:left="2835" w:hanging="2835"/>
    </w:pPr>
  </w:style>
  <w:style w:type="paragraph" w:customStyle="1" w:styleId="BodyTextnopadding">
    <w:name w:val="Body Text no padding"/>
    <w:basedOn w:val="BodyText"/>
    <w:qFormat/>
    <w:rsid w:val="00A43153"/>
    <w:pPr>
      <w:spacing w:before="0" w:after="0"/>
    </w:pPr>
  </w:style>
  <w:style w:type="paragraph" w:customStyle="1" w:styleId="BodyTextBold">
    <w:name w:val="Body Text Bold"/>
    <w:basedOn w:val="BodyText"/>
    <w:qFormat/>
    <w:rsid w:val="00A43153"/>
    <w:rPr>
      <w:b/>
    </w:rPr>
  </w:style>
  <w:style w:type="character" w:styleId="Hyperlink">
    <w:name w:val="Hyperlink"/>
    <w:basedOn w:val="DefaultParagraphFont"/>
    <w:uiPriority w:val="99"/>
    <w:unhideWhenUsed/>
    <w:rsid w:val="003B5A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5247</Characters>
  <Application>Microsoft Office Word</Application>
  <DocSecurity>0</DocSecurity>
  <Lines>209</Lines>
  <Paragraphs>94</Paragraphs>
  <ScaleCrop>false</ScaleCrop>
  <Company>Author-it Software Corporation Ltd.</Company>
  <LinksUpToDate>false</LinksUpToDate>
  <CharactersWithSpaces>5935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UEPOPS078 Operate and monitor an internal combustion dual fuel reciprocating engine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2022-12-13T06:33:00Z</dcterms:created>
  <dcterms:modified xsi:type="dcterms:W3CDTF">2022-12-13T06:33:00Z</dcterms:modified>
</cp:coreProperties>
</file>