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686" w:rsidP="00C36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UEPOPS067 Monitor the implementation of under frequency load shedding</w:t>
      </w:r>
      <w:r>
        <w:fldChar w:fldCharType="end"/>
      </w:r>
    </w:p>
    <w:p w:rsidR="00C36686" w:rsidP="00C36686">
      <w:pPr>
        <w:pStyle w:val="Version"/>
        <w:sectPr w:rsidSect="006A4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C6A" w:rsidP="006A4C6A">
      <w:pPr>
        <w:pStyle w:val="SuperHeading"/>
      </w:pPr>
      <w:r w:rsidRPr="006A4C6A">
        <w:t>Assessment Requirements for UEPOPS067 Monitor the implementation of under frequency load shedding</w:t>
      </w:r>
    </w:p>
    <w:p w:rsidR="00000000" w:rsidRPr="006A4C6A" w:rsidP="006A4C6A">
      <w:pPr>
        <w:pStyle w:val="Heading1"/>
      </w:pPr>
      <w:bookmarkStart w:id="1" w:name="O_1192068"/>
      <w:bookmarkEnd w:id="1"/>
      <w:r w:rsidRPr="006A4C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6A" w:rsidP="006A4C6A">
            <w:pPr>
              <w:pStyle w:val="BodyText"/>
            </w:pPr>
            <w:r w:rsidRPr="006A4C6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6A4C6A" w:rsidP="006A4C6A">
      <w:pPr>
        <w:pStyle w:val="NoPaddingFontSize1"/>
      </w:pPr>
    </w:p>
    <w:p w:rsidR="00000000" w:rsidRPr="006A4C6A" w:rsidP="006A4C6A">
      <w:pPr>
        <w:pStyle w:val="AllowPageBreak"/>
      </w:pPr>
    </w:p>
    <w:p w:rsidR="00000000" w:rsidRPr="006A4C6A" w:rsidP="006A4C6A">
      <w:pPr>
        <w:pStyle w:val="Heading1"/>
      </w:pPr>
      <w:bookmarkStart w:id="2" w:name="O_1192069"/>
      <w:bookmarkEnd w:id="2"/>
      <w:r w:rsidRPr="006A4C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6A">
            <w:pPr>
              <w:pStyle w:val="BodyText"/>
              <w:rPr>
                <w:lang w:val="en-NZ"/>
              </w:rPr>
            </w:pPr>
            <w:r w:rsidRPr="006A4C6A">
              <w:t>Evidence required to demonstrate competence in this unit must</w:t>
            </w:r>
            <w:r w:rsidRPr="006A4C6A">
              <w:t xml:space="preserve"> be relevant to and satisfy all the requirements of the elements and performance criteria on at least two separate occasions and include: </w:t>
            </w:r>
          </w:p>
        </w:tc>
      </w:tr>
      <w:tr w:rsidTr="006A4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6A" w:rsidP="006A4C6A">
            <w:pPr>
              <w:pStyle w:val="ListBullet"/>
            </w:pPr>
            <w:r w:rsidRPr="006A4C6A">
              <w:t>analysing power generation plant and system using data analysis techniques and tools</w:t>
            </w:r>
          </w:p>
          <w:p w:rsidR="00000000" w:rsidRPr="006A4C6A" w:rsidP="006A4C6A">
            <w:pPr>
              <w:pStyle w:val="ListBullet"/>
            </w:pPr>
            <w:r w:rsidRPr="006A4C6A">
              <w:t>applying work health and safet</w:t>
            </w:r>
            <w:r w:rsidRPr="006A4C6A">
              <w:t>y (WHS)/occupational health and safety (OHS) requirements, including:</w:t>
            </w:r>
          </w:p>
          <w:p w:rsidR="00000000" w:rsidRPr="006A4C6A" w:rsidP="006A4C6A">
            <w:pPr>
              <w:pStyle w:val="ListBullet2"/>
            </w:pPr>
            <w:r w:rsidRPr="006A4C6A">
              <w:t>emergency procedures</w:t>
            </w:r>
          </w:p>
          <w:p w:rsidR="00000000" w:rsidRPr="006A4C6A" w:rsidP="006A4C6A">
            <w:pPr>
              <w:pStyle w:val="ListBullet2"/>
            </w:pPr>
            <w:r w:rsidRPr="006A4C6A">
              <w:t>risk control measures</w:t>
            </w:r>
          </w:p>
          <w:p w:rsidR="00000000" w:rsidRPr="006A4C6A" w:rsidP="006A4C6A">
            <w:pPr>
              <w:pStyle w:val="ListBullet2"/>
            </w:pPr>
            <w:r w:rsidRPr="006A4C6A">
              <w:t>safe working practices</w:t>
            </w:r>
          </w:p>
          <w:p w:rsidR="00000000" w:rsidRPr="006A4C6A" w:rsidP="006A4C6A">
            <w:pPr>
              <w:pStyle w:val="ListBullet"/>
            </w:pPr>
            <w:r w:rsidRPr="006A4C6A">
              <w:t>communicating with stakeholders</w:t>
            </w:r>
          </w:p>
          <w:p w:rsidR="00000000" w:rsidRPr="006A4C6A" w:rsidP="006A4C6A">
            <w:pPr>
              <w:pStyle w:val="ListBullet"/>
            </w:pPr>
            <w:r w:rsidRPr="006A4C6A">
              <w:t>implementing regulations, legislative requirements, codes of practice, manufacturers’</w:t>
            </w:r>
            <w:r w:rsidRPr="006A4C6A">
              <w:t xml:space="preserve"> recommendations and specifications, and environmental requirements</w:t>
            </w:r>
          </w:p>
          <w:p w:rsidR="00000000" w:rsidRPr="006A4C6A" w:rsidP="006A4C6A">
            <w:pPr>
              <w:pStyle w:val="ListBullet"/>
            </w:pPr>
            <w:r w:rsidRPr="006A4C6A">
              <w:t xml:space="preserve">interpreting remote indications of power generation plant status </w:t>
            </w:r>
          </w:p>
          <w:p w:rsidR="00000000" w:rsidRPr="006A4C6A" w:rsidP="006A4C6A">
            <w:pPr>
              <w:pStyle w:val="ListBullet"/>
            </w:pPr>
            <w:r w:rsidRPr="006A4C6A">
              <w:t>monitoring operation of power generation plant and equipment</w:t>
            </w:r>
          </w:p>
          <w:p w:rsidR="00000000" w:rsidRPr="006A4C6A" w:rsidP="006A4C6A">
            <w:pPr>
              <w:pStyle w:val="ListBullet"/>
            </w:pPr>
            <w:r w:rsidRPr="006A4C6A">
              <w:t>planning and preparing power generation plant and equipment f</w:t>
            </w:r>
            <w:r w:rsidRPr="006A4C6A">
              <w:t>or operation</w:t>
            </w:r>
          </w:p>
          <w:p w:rsidR="00000000" w:rsidRPr="006A4C6A" w:rsidP="006A4C6A">
            <w:pPr>
              <w:pStyle w:val="ListBullet"/>
            </w:pPr>
            <w:r w:rsidRPr="006A4C6A">
              <w:t>recognising abnormal power generation plant operating conditions and determining corrective actions</w:t>
            </w:r>
          </w:p>
          <w:p w:rsidR="00000000" w:rsidRPr="006A4C6A" w:rsidP="006A4C6A">
            <w:pPr>
              <w:pStyle w:val="ListBullet"/>
            </w:pPr>
            <w:r w:rsidRPr="006A4C6A">
              <w:t>responding to under frequency load shedding operations including:</w:t>
            </w:r>
          </w:p>
          <w:p w:rsidR="00000000" w:rsidRPr="006A4C6A" w:rsidP="006A4C6A">
            <w:pPr>
              <w:pStyle w:val="ListBullet2"/>
            </w:pPr>
            <w:r w:rsidRPr="006A4C6A">
              <w:t xml:space="preserve">forecasting system load shifting </w:t>
            </w:r>
          </w:p>
          <w:p w:rsidR="00000000" w:rsidRPr="006A4C6A" w:rsidP="006A4C6A">
            <w:pPr>
              <w:pStyle w:val="ListBullet"/>
            </w:pPr>
            <w:r w:rsidRPr="006A4C6A">
              <w:t xml:space="preserve">setting load shedding within operational </w:t>
            </w:r>
            <w:r w:rsidRPr="006A4C6A">
              <w:t>parameters</w:t>
            </w:r>
          </w:p>
          <w:p w:rsidR="00000000" w:rsidRPr="006A4C6A" w:rsidP="006A4C6A">
            <w:pPr>
              <w:pStyle w:val="ListBullet"/>
            </w:pPr>
            <w:r w:rsidRPr="006A4C6A">
              <w:t>scheduling load shedding to match generator output completing documentation</w:t>
            </w:r>
          </w:p>
          <w:p w:rsidR="00000000" w:rsidRPr="006A4C6A" w:rsidP="006A4C6A">
            <w:pPr>
              <w:pStyle w:val="ListBullet"/>
            </w:pPr>
            <w:r w:rsidRPr="006A4C6A">
              <w:t>using manuals</w:t>
            </w:r>
          </w:p>
          <w:p w:rsidR="00000000" w:rsidRPr="006A4C6A" w:rsidP="006A4C6A">
            <w:pPr>
              <w:pStyle w:val="ListBullet"/>
            </w:pPr>
            <w:r w:rsidRPr="006A4C6A">
              <w:t>working with permit to work system.</w:t>
            </w:r>
          </w:p>
        </w:tc>
      </w:tr>
    </w:tbl>
    <w:p w:rsidR="00000000" w:rsidRPr="006A4C6A" w:rsidP="006A4C6A">
      <w:pPr>
        <w:pStyle w:val="NoPaddingFontSize1"/>
      </w:pPr>
    </w:p>
    <w:p w:rsidR="00000000" w:rsidRPr="006A4C6A" w:rsidP="006A4C6A">
      <w:pPr>
        <w:pStyle w:val="AllowPageBreak"/>
      </w:pPr>
    </w:p>
    <w:p w:rsidR="00000000" w:rsidRPr="006A4C6A" w:rsidP="006A4C6A">
      <w:pPr>
        <w:pStyle w:val="Heading1"/>
      </w:pPr>
      <w:bookmarkStart w:id="3" w:name="O_1192070"/>
      <w:bookmarkEnd w:id="3"/>
      <w:r w:rsidRPr="006A4C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C6A">
            <w:pPr>
              <w:pStyle w:val="BodyText"/>
              <w:rPr>
                <w:lang w:val="en-NZ"/>
              </w:rPr>
            </w:pPr>
            <w:r w:rsidRPr="006A4C6A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6A4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6A" w:rsidP="006A4C6A">
            <w:pPr>
              <w:pStyle w:val="ListBullet"/>
            </w:pPr>
            <w:r w:rsidRPr="006A4C6A">
              <w:t>arrangements of power production plant, including power generation plant ope</w:t>
            </w:r>
            <w:r w:rsidRPr="006A4C6A">
              <w:t>rating parameters and status</w:t>
            </w:r>
          </w:p>
          <w:p w:rsidR="00000000" w:rsidRPr="006A4C6A" w:rsidP="006A4C6A">
            <w:pPr>
              <w:pStyle w:val="ListBullet"/>
            </w:pPr>
            <w:r w:rsidRPr="006A4C6A">
              <w:t xml:space="preserve">manuals </w:t>
            </w:r>
          </w:p>
          <w:p w:rsidR="00000000" w:rsidRPr="006A4C6A" w:rsidP="006A4C6A">
            <w:pPr>
              <w:pStyle w:val="ListBullet"/>
            </w:pPr>
            <w:r w:rsidRPr="006A4C6A">
              <w:t>permit to work system</w:t>
            </w:r>
          </w:p>
          <w:p w:rsidR="00000000" w:rsidRPr="006A4C6A" w:rsidP="006A4C6A">
            <w:pPr>
              <w:pStyle w:val="ListBullet"/>
            </w:pPr>
            <w:r w:rsidRPr="006A4C6A">
              <w:t>power generation under frequency load shedding plant and equipment, location and operating parameters</w:t>
            </w:r>
          </w:p>
          <w:p w:rsidR="00000000" w:rsidRPr="006A4C6A" w:rsidP="006A4C6A">
            <w:pPr>
              <w:pStyle w:val="ListBullet"/>
            </w:pPr>
            <w:r w:rsidRPr="006A4C6A">
              <w:t>regulations, legislative requirements, codes of practice, manufacturers’ recommendations and s</w:t>
            </w:r>
            <w:r w:rsidRPr="006A4C6A">
              <w:t>pecifications, and environmental requirements</w:t>
            </w:r>
          </w:p>
          <w:p w:rsidR="00000000" w:rsidRPr="006A4C6A" w:rsidP="006A4C6A">
            <w:pPr>
              <w:pStyle w:val="ListBullet"/>
            </w:pPr>
            <w:r w:rsidRPr="006A4C6A">
              <w:t xml:space="preserve">under frequency load shedding system components and interactions, including: </w:t>
            </w:r>
          </w:p>
          <w:p w:rsidR="00000000" w:rsidRPr="006A4C6A" w:rsidP="006A4C6A">
            <w:pPr>
              <w:pStyle w:val="ListBullet2"/>
            </w:pPr>
            <w:r w:rsidRPr="006A4C6A">
              <w:t>generator capacity</w:t>
            </w:r>
          </w:p>
          <w:p w:rsidR="00000000" w:rsidRPr="006A4C6A" w:rsidP="006A4C6A">
            <w:pPr>
              <w:pStyle w:val="ListBullet2"/>
            </w:pPr>
            <w:r w:rsidRPr="006A4C6A">
              <w:t>load shedding schemes</w:t>
            </w:r>
          </w:p>
          <w:p w:rsidR="00000000" w:rsidRPr="006A4C6A" w:rsidP="006A4C6A">
            <w:pPr>
              <w:pStyle w:val="ListBullet2"/>
            </w:pPr>
            <w:r w:rsidRPr="006A4C6A">
              <w:t>stakeholder communication</w:t>
            </w:r>
          </w:p>
          <w:p w:rsidR="00000000" w:rsidRPr="006A4C6A" w:rsidP="006A4C6A">
            <w:pPr>
              <w:pStyle w:val="ListBullet"/>
            </w:pPr>
            <w:r w:rsidRPr="006A4C6A">
              <w:t>WHS/OHS legislated requirements, including:</w:t>
            </w:r>
          </w:p>
          <w:p w:rsidR="00000000" w:rsidRPr="006A4C6A" w:rsidP="006A4C6A">
            <w:pPr>
              <w:pStyle w:val="ListBullet2"/>
            </w:pPr>
            <w:r w:rsidRPr="006A4C6A">
              <w:t>emergency procedures</w:t>
            </w:r>
          </w:p>
          <w:p w:rsidR="00000000" w:rsidRPr="006A4C6A" w:rsidP="006A4C6A">
            <w:pPr>
              <w:pStyle w:val="ListBullet2"/>
            </w:pPr>
            <w:r w:rsidRPr="006A4C6A">
              <w:t>risk control measures</w:t>
            </w:r>
          </w:p>
          <w:p w:rsidR="00000000" w:rsidRPr="006A4C6A" w:rsidP="006A4C6A">
            <w:pPr>
              <w:pStyle w:val="ListBullet2"/>
            </w:pPr>
            <w:r w:rsidRPr="006A4C6A">
              <w:t>safe working practices</w:t>
            </w:r>
          </w:p>
          <w:p w:rsidR="00000000" w:rsidRPr="006A4C6A" w:rsidP="006A4C6A">
            <w:pPr>
              <w:pStyle w:val="ListBullet"/>
            </w:pPr>
            <w:r w:rsidRPr="006A4C6A">
              <w:t>workplace documentation</w:t>
            </w:r>
          </w:p>
          <w:p w:rsidR="00000000" w:rsidRPr="006A4C6A" w:rsidP="006A4C6A">
            <w:pPr>
              <w:pStyle w:val="ListBullet"/>
            </w:pPr>
            <w:r w:rsidRPr="006A4C6A">
              <w:t>workplace policies and procedures.</w:t>
            </w:r>
          </w:p>
        </w:tc>
      </w:tr>
    </w:tbl>
    <w:p w:rsidR="00000000" w:rsidRPr="006A4C6A" w:rsidP="006A4C6A">
      <w:pPr>
        <w:pStyle w:val="NoPaddingFontSize1"/>
      </w:pPr>
    </w:p>
    <w:p w:rsidR="00000000" w:rsidRPr="006A4C6A" w:rsidP="006A4C6A">
      <w:pPr>
        <w:pStyle w:val="AllowPageBreak"/>
      </w:pPr>
    </w:p>
    <w:p w:rsidR="00000000" w:rsidRPr="006A4C6A" w:rsidP="006A4C6A">
      <w:pPr>
        <w:pStyle w:val="Heading1"/>
      </w:pPr>
      <w:bookmarkStart w:id="4" w:name="O_1192071"/>
      <w:bookmarkEnd w:id="4"/>
      <w:r w:rsidRPr="006A4C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C6A" w:rsidP="006A4C6A">
            <w:pPr>
              <w:pStyle w:val="BodyText"/>
            </w:pPr>
            <w:r w:rsidRPr="006A4C6A">
              <w:t xml:space="preserve">Assessors must hold credentials specified within the Standards for Registered Training Organisations current at the time of assessment. </w:t>
            </w:r>
          </w:p>
          <w:p w:rsidR="00000000" w:rsidRPr="006A4C6A" w:rsidP="006A4C6A">
            <w:pPr>
              <w:pStyle w:val="BodyText"/>
            </w:pPr>
            <w:r w:rsidRPr="006A4C6A">
              <w:t>Assessment must satisfy the Principles of Assessment and Rules of Evidence and all regulatory requirements included wit</w:t>
            </w:r>
            <w:r w:rsidRPr="006A4C6A">
              <w:t>hin the Standards for Registered Training Organisations current at the time of assessment.</w:t>
            </w:r>
          </w:p>
          <w:p w:rsidR="00000000" w:rsidRPr="006A4C6A" w:rsidP="006A4C6A">
            <w:pPr>
              <w:pStyle w:val="BodyText"/>
            </w:pPr>
            <w:r w:rsidRPr="006A4C6A">
              <w:t>Assessment must occur in workplace operational situations where it is appropriate to do so; where this is not appropriate, assessment must occur in simulated workpla</w:t>
            </w:r>
            <w:r w:rsidRPr="006A4C6A">
              <w:t>ce operational situations that replicate workplace conditions.</w:t>
            </w:r>
          </w:p>
          <w:p w:rsidR="00000000" w:rsidRPr="006A4C6A" w:rsidP="006A4C6A">
            <w:pPr>
              <w:pStyle w:val="BodyText"/>
            </w:pPr>
            <w:r w:rsidRPr="006A4C6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A4C6A" w:rsidP="006A4C6A">
            <w:pPr>
              <w:pStyle w:val="BodyText"/>
            </w:pPr>
            <w:r w:rsidRPr="006A4C6A">
              <w:t xml:space="preserve">Resources for assessment </w:t>
            </w:r>
            <w:r w:rsidRPr="006A4C6A">
              <w:t>must include access to:</w:t>
            </w:r>
          </w:p>
          <w:p w:rsidR="00000000" w:rsidRPr="006A4C6A" w:rsidP="006A4C6A">
            <w:pPr>
              <w:pStyle w:val="ListBullet"/>
            </w:pPr>
            <w:r w:rsidRPr="006A4C6A">
              <w:t>a range of relevant exercises, case studies and other simulations</w:t>
            </w:r>
          </w:p>
          <w:p w:rsidR="00000000" w:rsidRPr="006A4C6A" w:rsidP="006A4C6A">
            <w:pPr>
              <w:pStyle w:val="ListBullet"/>
            </w:pPr>
            <w:r w:rsidRPr="006A4C6A">
              <w:t xml:space="preserve">relevant and appropriate materials, tools, equipment and personal protective equipment (PPE) currently used in industry </w:t>
            </w:r>
          </w:p>
          <w:p w:rsidR="00000000" w:rsidRPr="006A4C6A" w:rsidP="006A4C6A">
            <w:pPr>
              <w:pStyle w:val="ListBullet"/>
            </w:pPr>
            <w:r w:rsidRPr="006A4C6A">
              <w:t>applicable documentation, including workplac</w:t>
            </w:r>
            <w:r w:rsidRPr="006A4C6A">
              <w:t>e procedures, equipment specifications, regulations, codes of practice and operation manuals.</w:t>
            </w:r>
          </w:p>
        </w:tc>
      </w:tr>
    </w:tbl>
    <w:p w:rsidR="00000000" w:rsidRPr="006A4C6A" w:rsidP="006A4C6A">
      <w:pPr>
        <w:pStyle w:val="NoPaddingFontSize1"/>
      </w:pPr>
    </w:p>
    <w:p w:rsidR="00000000" w:rsidRPr="006A4C6A" w:rsidP="006A4C6A">
      <w:pPr>
        <w:pStyle w:val="AllowPageBreak"/>
      </w:pPr>
    </w:p>
    <w:p w:rsidR="00000000" w:rsidRPr="006A4C6A" w:rsidP="006A4C6A">
      <w:pPr>
        <w:pStyle w:val="Heading1"/>
      </w:pPr>
      <w:bookmarkStart w:id="5" w:name="O_1192074"/>
      <w:bookmarkEnd w:id="5"/>
      <w:r w:rsidRPr="006A4C6A">
        <w:t>Links</w:t>
      </w:r>
    </w:p>
    <w:p w:rsidR="00000000" w:rsidRPr="006A4C6A" w:rsidP="00C36686">
      <w:pPr>
        <w:pStyle w:val="BodyText"/>
      </w:pPr>
      <w:r w:rsidRPr="006A4C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019E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A4C6A" w:rsidP="006A4C6A"/>
    <w:sectPr w:rsidSect="006A4C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6A" w:rsidRPr="00C36686" w:rsidP="00C36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86" w:rsidP="006A4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6686" w:rsidP="006A4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6686" w:rsidP="006A4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C6A" w:rsidRPr="00C36686" w:rsidP="00C36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686" w:rsidRPr="002D2AF8" w:rsidP="006A4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UEPOPS067 Monitor the implementation of under frequency load shedding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36686" w:rsidP="006A4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5642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7C7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788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C6A"/>
  </w:style>
  <w:style w:type="character" w:customStyle="1" w:styleId="Heading1Char">
    <w:name w:val="Heading 1 Char"/>
    <w:basedOn w:val="DefaultParagraphFont"/>
    <w:link w:val="Heading1"/>
    <w:rsid w:val="006A4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C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4C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4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4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C6A"/>
    <w:rPr>
      <w:b/>
      <w:spacing w:val="0"/>
    </w:rPr>
  </w:style>
  <w:style w:type="paragraph" w:customStyle="1" w:styleId="SuperTitle">
    <w:name w:val="SuperTitle"/>
    <w:basedOn w:val="Title"/>
    <w:rsid w:val="006A4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C6A"/>
    <w:rPr>
      <w:i/>
    </w:rPr>
  </w:style>
  <w:style w:type="paragraph" w:styleId="Caption">
    <w:name w:val="caption"/>
    <w:basedOn w:val="BodyText"/>
    <w:next w:val="Normal"/>
    <w:qFormat/>
    <w:rsid w:val="006A4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C6A"/>
  </w:style>
  <w:style w:type="paragraph" w:styleId="TableofFigures">
    <w:name w:val="table of figures"/>
    <w:basedOn w:val="Normal"/>
    <w:next w:val="Normal"/>
    <w:semiHidden/>
    <w:rsid w:val="006A4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C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4C6A"/>
    <w:rPr>
      <w:rFonts w:ascii="Wingdings" w:hAnsi="Wingdings"/>
    </w:rPr>
  </w:style>
  <w:style w:type="paragraph" w:customStyle="1" w:styleId="TableHeading">
    <w:name w:val="Table Heading"/>
    <w:basedOn w:val="HeadingBase"/>
    <w:rsid w:val="006A4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C6A"/>
    <w:rPr>
      <w:color w:val="0033CC"/>
      <w:u w:val="none"/>
    </w:rPr>
  </w:style>
  <w:style w:type="paragraph" w:customStyle="1" w:styleId="BodyTextRight">
    <w:name w:val="Body Text Right"/>
    <w:basedOn w:val="BodyText"/>
    <w:rsid w:val="006A4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C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C6A"/>
    <w:rPr>
      <w:sz w:val="32"/>
    </w:rPr>
  </w:style>
  <w:style w:type="paragraph" w:customStyle="1" w:styleId="HeadingProcedure">
    <w:name w:val="Heading Procedure"/>
    <w:basedOn w:val="HeadingBase"/>
    <w:next w:val="Normal"/>
    <w:rsid w:val="006A4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C6A"/>
    <w:pPr>
      <w:spacing w:before="60" w:after="60"/>
    </w:pPr>
  </w:style>
  <w:style w:type="paragraph" w:styleId="ListContinue">
    <w:name w:val="List Continue"/>
    <w:basedOn w:val="List"/>
    <w:rsid w:val="006A4C6A"/>
    <w:pPr>
      <w:ind w:firstLine="0"/>
    </w:pPr>
  </w:style>
  <w:style w:type="paragraph" w:customStyle="1" w:styleId="ListNote">
    <w:name w:val="List Note"/>
    <w:basedOn w:val="List"/>
    <w:rsid w:val="006A4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C6A"/>
    <w:rPr>
      <w:rFonts w:ascii="Courier New" w:hAnsi="Courier New"/>
    </w:rPr>
  </w:style>
  <w:style w:type="paragraph" w:customStyle="1" w:styleId="NoteBullet">
    <w:name w:val="Note Bullet"/>
    <w:basedOn w:val="Note"/>
    <w:rsid w:val="006A4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C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4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C6A"/>
    <w:rPr>
      <w:b/>
      <w:smallCaps/>
    </w:rPr>
  </w:style>
  <w:style w:type="paragraph" w:customStyle="1" w:styleId="TableListNumber">
    <w:name w:val="Table List Number"/>
    <w:basedOn w:val="ListNumber"/>
    <w:rsid w:val="006A4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C6A"/>
    <w:pPr>
      <w:numPr>
        <w:numId w:val="9"/>
      </w:numPr>
    </w:pPr>
  </w:style>
  <w:style w:type="paragraph" w:customStyle="1" w:styleId="ListAlpha2">
    <w:name w:val="List Alpha 2"/>
    <w:basedOn w:val="List2"/>
    <w:rsid w:val="006A4C6A"/>
    <w:pPr>
      <w:numPr>
        <w:numId w:val="8"/>
      </w:numPr>
    </w:pPr>
  </w:style>
  <w:style w:type="paragraph" w:styleId="List2">
    <w:name w:val="List 2"/>
    <w:basedOn w:val="BodyText"/>
    <w:rsid w:val="006A4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C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C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4C6A"/>
    <w:pPr>
      <w:numPr>
        <w:numId w:val="4"/>
      </w:numPr>
    </w:pPr>
  </w:style>
  <w:style w:type="paragraph" w:styleId="ListContinue2">
    <w:name w:val="List Continue 2"/>
    <w:basedOn w:val="List2"/>
    <w:rsid w:val="006A4C6A"/>
    <w:pPr>
      <w:ind w:firstLine="0"/>
    </w:pPr>
  </w:style>
  <w:style w:type="paragraph" w:styleId="ListContinue3">
    <w:name w:val="List Continue 3"/>
    <w:basedOn w:val="List3"/>
    <w:rsid w:val="006A4C6A"/>
    <w:pPr>
      <w:ind w:left="1021" w:firstLine="0"/>
    </w:pPr>
  </w:style>
  <w:style w:type="paragraph" w:styleId="ListContinue4">
    <w:name w:val="List Continue 4"/>
    <w:basedOn w:val="List4"/>
    <w:rsid w:val="006A4C6A"/>
    <w:pPr>
      <w:ind w:firstLine="0"/>
    </w:pPr>
  </w:style>
  <w:style w:type="paragraph" w:styleId="ListContinue5">
    <w:name w:val="List Continue 5"/>
    <w:basedOn w:val="List5"/>
    <w:rsid w:val="006A4C6A"/>
    <w:pPr>
      <w:ind w:firstLine="0"/>
    </w:pPr>
  </w:style>
  <w:style w:type="paragraph" w:styleId="ListNumber3">
    <w:name w:val="List Number 3"/>
    <w:basedOn w:val="List3"/>
    <w:rsid w:val="006A4C6A"/>
    <w:pPr>
      <w:numPr>
        <w:numId w:val="5"/>
      </w:numPr>
    </w:pPr>
  </w:style>
  <w:style w:type="paragraph" w:styleId="ListNumber4">
    <w:name w:val="List Number 4"/>
    <w:basedOn w:val="List4"/>
    <w:rsid w:val="006A4C6A"/>
    <w:pPr>
      <w:numPr>
        <w:numId w:val="6"/>
      </w:numPr>
    </w:pPr>
  </w:style>
  <w:style w:type="paragraph" w:styleId="ListNumber5">
    <w:name w:val="List Number 5"/>
    <w:basedOn w:val="List5"/>
    <w:rsid w:val="006A4C6A"/>
    <w:pPr>
      <w:numPr>
        <w:numId w:val="7"/>
      </w:numPr>
    </w:pPr>
  </w:style>
  <w:style w:type="paragraph" w:styleId="BlockText">
    <w:name w:val="Block Text"/>
    <w:basedOn w:val="Normal"/>
    <w:rsid w:val="006A4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C6A"/>
    <w:rPr>
      <w:sz w:val="16"/>
      <w:vertAlign w:val="superscript"/>
    </w:rPr>
  </w:style>
  <w:style w:type="character" w:customStyle="1" w:styleId="Symbols">
    <w:name w:val="Symbols"/>
    <w:basedOn w:val="DefaultParagraphFont"/>
    <w:rsid w:val="006A4C6A"/>
    <w:rPr>
      <w:rFonts w:ascii="Symbol" w:hAnsi="Symbol"/>
    </w:rPr>
  </w:style>
  <w:style w:type="character" w:customStyle="1" w:styleId="MenuOptions">
    <w:name w:val="Menu Options"/>
    <w:basedOn w:val="DefaultParagraphFont"/>
    <w:rsid w:val="006A4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C6A"/>
    <w:rPr>
      <w:b/>
    </w:rPr>
  </w:style>
  <w:style w:type="character" w:customStyle="1" w:styleId="Underlined">
    <w:name w:val="Underlined"/>
    <w:basedOn w:val="DefaultParagraphFont"/>
    <w:rsid w:val="006A4C6A"/>
    <w:rPr>
      <w:u w:val="single"/>
    </w:rPr>
  </w:style>
  <w:style w:type="paragraph" w:customStyle="1" w:styleId="TableBodyTextRight">
    <w:name w:val="Table Body Text Right"/>
    <w:basedOn w:val="TableBodyText"/>
    <w:rsid w:val="006A4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C6A"/>
    <w:rPr>
      <w:sz w:val="18"/>
    </w:rPr>
  </w:style>
  <w:style w:type="paragraph" w:customStyle="1" w:styleId="BodySmallRight">
    <w:name w:val="Body Small Right"/>
    <w:basedOn w:val="BodyTextRight"/>
    <w:rsid w:val="006A4C6A"/>
    <w:rPr>
      <w:sz w:val="18"/>
      <w:szCs w:val="18"/>
    </w:rPr>
  </w:style>
  <w:style w:type="paragraph" w:customStyle="1" w:styleId="MarginEdition">
    <w:name w:val="Margin Edition"/>
    <w:basedOn w:val="MarginNote"/>
    <w:rsid w:val="006A4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C6A"/>
    <w:rPr>
      <w:sz w:val="2"/>
      <w:szCs w:val="2"/>
    </w:rPr>
  </w:style>
  <w:style w:type="character" w:customStyle="1" w:styleId="Small">
    <w:name w:val="Small"/>
    <w:basedOn w:val="DefaultParagraphFont"/>
    <w:rsid w:val="006A4C6A"/>
    <w:rPr>
      <w:sz w:val="16"/>
    </w:rPr>
  </w:style>
  <w:style w:type="paragraph" w:customStyle="1" w:styleId="WideTable">
    <w:name w:val="Wide Table"/>
    <w:basedOn w:val="Normal"/>
    <w:rsid w:val="006A4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C6A"/>
  </w:style>
  <w:style w:type="paragraph" w:styleId="Quote">
    <w:name w:val="Quote"/>
    <w:basedOn w:val="Heading1"/>
    <w:link w:val="QuoteChar"/>
    <w:qFormat/>
    <w:rsid w:val="006A4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C6A"/>
    <w:pPr>
      <w:pageBreakBefore/>
    </w:pPr>
  </w:style>
  <w:style w:type="paragraph" w:customStyle="1" w:styleId="Border">
    <w:name w:val="Border"/>
    <w:basedOn w:val="Normal"/>
    <w:qFormat/>
    <w:rsid w:val="006A4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C6A"/>
    <w:rPr>
      <w:u w:val="single"/>
    </w:rPr>
  </w:style>
  <w:style w:type="character" w:customStyle="1" w:styleId="BoldandItalics">
    <w:name w:val="Bold and Italics"/>
    <w:qFormat/>
    <w:rsid w:val="006A4C6A"/>
    <w:rPr>
      <w:b/>
      <w:i/>
      <w:u w:val="none"/>
    </w:rPr>
  </w:style>
  <w:style w:type="paragraph" w:styleId="BalloonText">
    <w:name w:val="Balloon Text"/>
    <w:basedOn w:val="Normal"/>
    <w:link w:val="BalloonTextChar"/>
    <w:rsid w:val="006A4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C6A"/>
    <w:pPr>
      <w:spacing w:before="0" w:after="0"/>
    </w:pPr>
  </w:style>
  <w:style w:type="paragraph" w:customStyle="1" w:styleId="BodyTextBold">
    <w:name w:val="Body Text Bold"/>
    <w:basedOn w:val="BodyText"/>
    <w:qFormat/>
    <w:rsid w:val="006A4C6A"/>
    <w:rPr>
      <w:b/>
    </w:rPr>
  </w:style>
  <w:style w:type="character" w:styleId="Hyperlink">
    <w:name w:val="Hyperlink"/>
    <w:basedOn w:val="DefaultParagraphFont"/>
    <w:uiPriority w:val="99"/>
    <w:unhideWhenUsed/>
    <w:rsid w:val="00C36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3487</Characters>
  <Application>Microsoft Office Word</Application>
  <DocSecurity>0</DocSecurity>
  <Lines>87</Lines>
  <Paragraphs>61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UEPOPS067 Monitor the implementation of under frequency load shedding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