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639" w:rsidP="00E926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UEPOPS055 Manage permit to work system</w:t>
      </w:r>
      <w:r>
        <w:fldChar w:fldCharType="end"/>
      </w:r>
    </w:p>
    <w:p w:rsidR="00E92639" w:rsidP="00E92639">
      <w:pPr>
        <w:pStyle w:val="Version"/>
        <w:sectPr w:rsidSect="008E0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CDF" w:rsidP="008E0CDF">
      <w:pPr>
        <w:pStyle w:val="SuperHeading"/>
      </w:pPr>
      <w:r w:rsidRPr="008E0CDF">
        <w:t>UEPOPS055 Manage permit to work system</w:t>
      </w:r>
    </w:p>
    <w:p w:rsidR="00000000" w:rsidRPr="008E0CDF" w:rsidP="008E0CDF">
      <w:pPr>
        <w:pStyle w:val="Heading1"/>
      </w:pPr>
      <w:bookmarkStart w:id="1" w:name="O_1191602"/>
      <w:bookmarkEnd w:id="1"/>
      <w:r w:rsidRPr="008E0C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2" w:name="O_1191603"/>
      <w:bookmarkEnd w:id="2"/>
      <w:r w:rsidRPr="008E0C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>This unit involves the skills and knowledge requi</w:t>
            </w:r>
            <w:r w:rsidRPr="008E0CDF">
              <w:t>red to manage the development, implementation and review of the permit to work system in a power generation facility.</w:t>
            </w:r>
          </w:p>
          <w:p w:rsidR="00000000" w:rsidRPr="008E0CDF" w:rsidP="008E0CDF">
            <w:pPr>
              <w:pStyle w:val="BodyText"/>
            </w:pPr>
            <w:r w:rsidRPr="008E0CDF">
              <w:t>Permits to work are a formal system used to control high-risk activities in power generation facilities, they specify the control measures</w:t>
            </w:r>
            <w:r w:rsidRPr="008E0CDF">
              <w:t xml:space="preserve"> to be used. They ensure that all hazards and precautions have been considered before any hazardous work begins.  </w:t>
            </w:r>
          </w:p>
          <w:p w:rsidR="00000000" w:rsidRPr="008E0CDF" w:rsidP="008E0CDF">
            <w:pPr>
              <w:pStyle w:val="BodyText"/>
            </w:pPr>
            <w:r w:rsidRPr="008E0CDF">
              <w:t>Competency in this unit requires the ability to plan for implementation of permit to work procedures,</w:t>
            </w:r>
            <w:r w:rsidRPr="008E0CDF">
              <w:rPr>
                <w:rStyle w:val="SpecialBold"/>
              </w:rPr>
              <w:t xml:space="preserve"> </w:t>
            </w:r>
            <w:r w:rsidRPr="008E0CDF">
              <w:t>develop permit to work system and proce</w:t>
            </w:r>
            <w:r w:rsidRPr="008E0CDF">
              <w:t>dures, manage permit to work system</w:t>
            </w:r>
            <w:r w:rsidRPr="008E0CDF">
              <w:rPr>
                <w:rStyle w:val="SpecialBold"/>
              </w:rPr>
              <w:t xml:space="preserve"> </w:t>
            </w:r>
            <w:r w:rsidRPr="008E0CDF">
              <w:t xml:space="preserve">and audit permit to work procedures. Individuals will, in general, work as an operator with responsibility for managing the permit to work system in a power generation facility. </w:t>
            </w:r>
          </w:p>
          <w:p w:rsidR="00000000" w:rsidRPr="008E0CDF" w:rsidP="008E0CDF">
            <w:pPr>
              <w:pStyle w:val="BodyText"/>
            </w:pPr>
            <w:r w:rsidRPr="008E0CDF">
              <w:t>Power generation plant operators are trai</w:t>
            </w:r>
            <w:r w:rsidRPr="008E0CDF">
              <w:t>ned and authorised to isolate, prepare plant and issue permits to work.</w:t>
            </w:r>
          </w:p>
          <w:p w:rsidR="00000000" w:rsidRPr="008E0CDF" w:rsidP="008E0CDF">
            <w:pPr>
              <w:pStyle w:val="BodyText"/>
            </w:pPr>
            <w:r w:rsidRPr="008E0CDF">
              <w:t>No licensing, legislative or certification requirements apply to this unit at the time of publication.</w:t>
            </w:r>
          </w:p>
          <w:p w:rsidR="00000000" w:rsidRPr="008E0CDF" w:rsidP="008E0CDF">
            <w:pPr>
              <w:pStyle w:val="BodyText"/>
            </w:pP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3" w:name="O_1191604"/>
      <w:bookmarkEnd w:id="3"/>
      <w:r w:rsidRPr="008E0C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>UEPOPS028 Coordinate permit to work syst</w:t>
            </w:r>
            <w:r w:rsidRPr="008E0CDF">
              <w:t>em</w:t>
            </w:r>
          </w:p>
          <w:p w:rsidR="00000000" w:rsidRPr="008E0CDF" w:rsidP="008E0CDF">
            <w:pPr>
              <w:pStyle w:val="BodyText"/>
            </w:pPr>
            <w:r w:rsidRPr="008E0CDF">
              <w:t>UEPOPS011 Conduct multiple energy source isolation procedures for permit to work</w:t>
            </w: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4" w:name="O_1191605"/>
      <w:bookmarkEnd w:id="4"/>
      <w:r w:rsidRPr="008E0C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>Operations</w:t>
            </w: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5" w:name="O_1191606"/>
      <w:bookmarkEnd w:id="5"/>
      <w:r w:rsidRPr="008E0C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>Electricity generation</w:t>
            </w: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6" w:name="O_1191607"/>
      <w:bookmarkEnd w:id="6"/>
      <w:r w:rsidRPr="008E0C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PERFORMANCE CRITERIA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Performance criteria describe the performance needed to demonstrate achievement of the element.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>Plan for implementation of permit to work</w:t>
            </w:r>
            <w:r w:rsidRPr="008E0CDF">
              <w:t xml:space="preserve"> </w:t>
            </w:r>
            <w:r w:rsidRPr="008E0CDF">
              <w:rPr>
                <w:rStyle w:val="SpecialBold"/>
              </w:rPr>
              <w:t xml:space="preserve">system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Statistical records are consulted on permit to work implementation in accordance with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Work health and safety (WHS)/occupational health and safety (OHS) regulations, legislative requirements, codes of practice, manufacturers’ rec</w:t>
            </w:r>
            <w:r w:rsidRPr="008E0CDF">
              <w:t>ommendations and specifications, environmental requirements and workplace procedures are identified, applied and monitored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Requirements for the development of pe</w:t>
            </w:r>
            <w:r w:rsidRPr="008E0CDF">
              <w:t>rmit to work procedures are identified and confirmed in accordance with legislative requirements and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Key stakeholders and equipment affected by the permit to work system are identified in accordance with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Consultation with key stakeholders to determine contingency plan implementation and timetable of review is carried out in accordance with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>Develop permit to work system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Permit to work procedures are planned and</w:t>
            </w:r>
            <w:r w:rsidRPr="008E0CDF">
              <w:t xml:space="preserve"> developed in accordance with legislative requirements and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Resources are obtained and utilised for development of permit to work system in accordance with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Permit to work procedures are documented and approved in accordance with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>Implement</w:t>
            </w:r>
            <w:r w:rsidRPr="008E0CDF">
              <w:t xml:space="preserve"> </w:t>
            </w:r>
            <w:r w:rsidRPr="008E0CDF">
              <w:rPr>
                <w:rStyle w:val="SpecialBold"/>
              </w:rPr>
              <w:t>permit to work system</w:t>
            </w:r>
            <w:r w:rsidRPr="008E0CDF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Permit to work system incidents are identified, managed and recorded in accordance with legislative requirements and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Permit to work incidents are investigated and assessed in accordance with legislative requirements and workplac</w:t>
            </w:r>
            <w:r w:rsidRPr="008E0CDF">
              <w:t>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 xml:space="preserve">Results and recommendations of incident investigations are documented and confirmed with relevant personnel in accordance with legislative requirements and </w:t>
            </w:r>
            <w:r w:rsidRPr="008E0CDF">
              <w:t>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rPr>
                <w:rStyle w:val="SpecialBold"/>
              </w:rPr>
              <w:t>Audit permit to work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t>Permit to work system is audited and results are evaluated and managed in accordance with workplace procedures</w:t>
            </w:r>
          </w:p>
        </w:tc>
      </w:tr>
      <w:tr w:rsidTr="008E0C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DF">
            <w:pPr>
              <w:pStyle w:val="BodyText"/>
              <w:rPr>
                <w:lang w:val="en-NZ"/>
              </w:rPr>
            </w:pPr>
            <w:r w:rsidRPr="008E0CD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 xml:space="preserve">Audit results are documented and reports, including recommendations, are confirmed with relevant personnel in accordance with legislative </w:t>
            </w:r>
            <w:r w:rsidRPr="008E0CDF">
              <w:t>requirements and workplace procedures</w:t>
            </w: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7" w:name="O_1191608"/>
      <w:bookmarkEnd w:id="7"/>
      <w:r w:rsidRPr="008E0C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>Foundation skills essential to performance are explicit in the performance criteria of this unit of competency.</w:t>
            </w: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8" w:name="O_1191609"/>
      <w:bookmarkEnd w:id="8"/>
      <w:r w:rsidRPr="008E0C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>Range is restricted to essential operating conditions and any other variables essential to the work environment.</w:t>
            </w:r>
          </w:p>
          <w:p w:rsidR="00000000" w:rsidRPr="008E0CDF" w:rsidP="008E0CDF">
            <w:pPr>
              <w:pStyle w:val="BodyText"/>
            </w:pPr>
            <w:r w:rsidRPr="008E0CDF">
              <w:t>Non-essential conditions may be found in the UEP Electricity Supply Industry - Generation Sector Training Package Companion Volume Implementati</w:t>
            </w:r>
            <w:r w:rsidRPr="008E0CDF">
              <w:t>on Guide.</w:t>
            </w: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9" w:name="O_1191610"/>
      <w:bookmarkEnd w:id="9"/>
      <w:r w:rsidRPr="008E0C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DF" w:rsidP="008E0CDF">
            <w:pPr>
              <w:pStyle w:val="BodyText"/>
            </w:pPr>
            <w:r w:rsidRPr="008E0CDF">
              <w:t>This unit replaces and is equivalent to UEPOPS502 Manage permit to work system.</w:t>
            </w:r>
          </w:p>
        </w:tc>
      </w:tr>
    </w:tbl>
    <w:p w:rsidR="00000000" w:rsidRPr="008E0CDF" w:rsidP="008E0CDF">
      <w:pPr>
        <w:pStyle w:val="NoPaddingFontSize1"/>
      </w:pPr>
    </w:p>
    <w:p w:rsidR="00000000" w:rsidRPr="008E0CDF" w:rsidP="008E0CDF">
      <w:pPr>
        <w:pStyle w:val="AllowPageBreak"/>
      </w:pPr>
    </w:p>
    <w:p w:rsidR="00000000" w:rsidRPr="008E0CDF" w:rsidP="008E0CDF">
      <w:pPr>
        <w:pStyle w:val="Heading1"/>
      </w:pPr>
      <w:bookmarkStart w:id="10" w:name="O_1191617"/>
      <w:bookmarkEnd w:id="10"/>
      <w:r w:rsidRPr="008E0CDF">
        <w:t>Links</w:t>
      </w:r>
    </w:p>
    <w:p w:rsidR="00000000" w:rsidRPr="008E0CDF" w:rsidP="00E92639">
      <w:pPr>
        <w:pStyle w:val="BodyText"/>
      </w:pPr>
      <w:r w:rsidRPr="008E0C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67D0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E0CDF" w:rsidP="008E0CDF"/>
    <w:sectPr w:rsidSect="008E0C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DF" w:rsidRPr="00E92639" w:rsidP="00E926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39" w:rsidP="008E0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639" w:rsidP="008E0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2639" w:rsidP="008E0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CDF" w:rsidRPr="00E92639" w:rsidP="00E926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39" w:rsidRPr="002D2AF8" w:rsidP="008E0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UEPOPS055 Manage permit to 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92639" w:rsidP="008E0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CDF"/>
  </w:style>
  <w:style w:type="character" w:customStyle="1" w:styleId="Heading1Char">
    <w:name w:val="Heading 1 Char"/>
    <w:basedOn w:val="DefaultParagraphFont"/>
    <w:link w:val="Heading1"/>
    <w:rsid w:val="008E0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C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0CDF"/>
    <w:rPr>
      <w:b/>
      <w:spacing w:val="0"/>
    </w:rPr>
  </w:style>
  <w:style w:type="paragraph" w:customStyle="1" w:styleId="SuperHeading">
    <w:name w:val="SuperHeading"/>
    <w:basedOn w:val="Normal"/>
    <w:rsid w:val="008E0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0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C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0C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0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C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CDF"/>
    <w:rPr>
      <w:i/>
    </w:rPr>
  </w:style>
  <w:style w:type="paragraph" w:styleId="Caption">
    <w:name w:val="caption"/>
    <w:basedOn w:val="BodyText"/>
    <w:next w:val="Normal"/>
    <w:qFormat/>
    <w:rsid w:val="008E0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CDF"/>
  </w:style>
  <w:style w:type="paragraph" w:styleId="TableofFigures">
    <w:name w:val="table of figures"/>
    <w:basedOn w:val="Normal"/>
    <w:next w:val="Normal"/>
    <w:semiHidden/>
    <w:rsid w:val="008E0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C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0CDF"/>
    <w:rPr>
      <w:rFonts w:ascii="Wingdings" w:hAnsi="Wingdings"/>
    </w:rPr>
  </w:style>
  <w:style w:type="paragraph" w:customStyle="1" w:styleId="TableHeading">
    <w:name w:val="Table Heading"/>
    <w:basedOn w:val="HeadingBase"/>
    <w:rsid w:val="008E0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CDF"/>
    <w:rPr>
      <w:color w:val="0033CC"/>
      <w:u w:val="none"/>
    </w:rPr>
  </w:style>
  <w:style w:type="paragraph" w:customStyle="1" w:styleId="BodyTextRight">
    <w:name w:val="Body Text Right"/>
    <w:basedOn w:val="BodyText"/>
    <w:rsid w:val="008E0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C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CDF"/>
    <w:rPr>
      <w:sz w:val="32"/>
    </w:rPr>
  </w:style>
  <w:style w:type="paragraph" w:customStyle="1" w:styleId="HeadingProcedure">
    <w:name w:val="Heading Procedure"/>
    <w:basedOn w:val="HeadingBase"/>
    <w:next w:val="Normal"/>
    <w:rsid w:val="008E0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CDF"/>
    <w:pPr>
      <w:spacing w:before="60" w:after="60"/>
    </w:pPr>
  </w:style>
  <w:style w:type="paragraph" w:styleId="ListContinue">
    <w:name w:val="List Continue"/>
    <w:basedOn w:val="List"/>
    <w:rsid w:val="008E0CDF"/>
    <w:pPr>
      <w:ind w:firstLine="0"/>
    </w:pPr>
  </w:style>
  <w:style w:type="paragraph" w:customStyle="1" w:styleId="ListNote">
    <w:name w:val="List Note"/>
    <w:basedOn w:val="List"/>
    <w:rsid w:val="008E0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CDF"/>
    <w:rPr>
      <w:rFonts w:ascii="Courier New" w:hAnsi="Courier New"/>
    </w:rPr>
  </w:style>
  <w:style w:type="paragraph" w:customStyle="1" w:styleId="NoteBullet">
    <w:name w:val="Note Bullet"/>
    <w:basedOn w:val="Note"/>
    <w:rsid w:val="008E0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C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0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CDF"/>
    <w:rPr>
      <w:b/>
      <w:smallCaps/>
    </w:rPr>
  </w:style>
  <w:style w:type="paragraph" w:customStyle="1" w:styleId="TableListNumber">
    <w:name w:val="Table List Number"/>
    <w:basedOn w:val="ListNumber"/>
    <w:rsid w:val="008E0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CDF"/>
    <w:pPr>
      <w:numPr>
        <w:numId w:val="7"/>
      </w:numPr>
    </w:pPr>
  </w:style>
  <w:style w:type="paragraph" w:customStyle="1" w:styleId="ListAlpha2">
    <w:name w:val="List Alpha 2"/>
    <w:basedOn w:val="List2"/>
    <w:rsid w:val="008E0CDF"/>
    <w:pPr>
      <w:numPr>
        <w:numId w:val="6"/>
      </w:numPr>
    </w:pPr>
  </w:style>
  <w:style w:type="paragraph" w:styleId="List2">
    <w:name w:val="List 2"/>
    <w:basedOn w:val="BodyText"/>
    <w:rsid w:val="008E0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C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C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0CDF"/>
    <w:pPr>
      <w:numPr>
        <w:numId w:val="2"/>
      </w:numPr>
    </w:pPr>
  </w:style>
  <w:style w:type="paragraph" w:styleId="ListContinue2">
    <w:name w:val="List Continue 2"/>
    <w:basedOn w:val="List2"/>
    <w:rsid w:val="008E0CDF"/>
    <w:pPr>
      <w:ind w:firstLine="0"/>
    </w:pPr>
  </w:style>
  <w:style w:type="paragraph" w:styleId="ListContinue3">
    <w:name w:val="List Continue 3"/>
    <w:basedOn w:val="List3"/>
    <w:rsid w:val="008E0CDF"/>
    <w:pPr>
      <w:ind w:left="1021" w:firstLine="0"/>
    </w:pPr>
  </w:style>
  <w:style w:type="paragraph" w:styleId="ListContinue4">
    <w:name w:val="List Continue 4"/>
    <w:basedOn w:val="List4"/>
    <w:rsid w:val="008E0CDF"/>
    <w:pPr>
      <w:ind w:firstLine="0"/>
    </w:pPr>
  </w:style>
  <w:style w:type="paragraph" w:styleId="ListContinue5">
    <w:name w:val="List Continue 5"/>
    <w:basedOn w:val="List5"/>
    <w:rsid w:val="008E0CDF"/>
    <w:pPr>
      <w:ind w:firstLine="0"/>
    </w:pPr>
  </w:style>
  <w:style w:type="paragraph" w:styleId="ListNumber3">
    <w:name w:val="List Number 3"/>
    <w:basedOn w:val="List3"/>
    <w:rsid w:val="008E0CDF"/>
    <w:pPr>
      <w:numPr>
        <w:numId w:val="3"/>
      </w:numPr>
    </w:pPr>
  </w:style>
  <w:style w:type="paragraph" w:styleId="ListNumber4">
    <w:name w:val="List Number 4"/>
    <w:basedOn w:val="List4"/>
    <w:rsid w:val="008E0CDF"/>
    <w:pPr>
      <w:numPr>
        <w:numId w:val="4"/>
      </w:numPr>
    </w:pPr>
  </w:style>
  <w:style w:type="paragraph" w:styleId="ListNumber5">
    <w:name w:val="List Number 5"/>
    <w:basedOn w:val="List5"/>
    <w:rsid w:val="008E0CDF"/>
    <w:pPr>
      <w:numPr>
        <w:numId w:val="5"/>
      </w:numPr>
    </w:pPr>
  </w:style>
  <w:style w:type="paragraph" w:styleId="BlockText">
    <w:name w:val="Block Text"/>
    <w:basedOn w:val="Normal"/>
    <w:rsid w:val="008E0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CDF"/>
    <w:rPr>
      <w:sz w:val="16"/>
      <w:vertAlign w:val="superscript"/>
    </w:rPr>
  </w:style>
  <w:style w:type="character" w:customStyle="1" w:styleId="Symbols">
    <w:name w:val="Symbols"/>
    <w:basedOn w:val="DefaultParagraphFont"/>
    <w:rsid w:val="008E0CDF"/>
    <w:rPr>
      <w:rFonts w:ascii="Symbol" w:hAnsi="Symbol"/>
    </w:rPr>
  </w:style>
  <w:style w:type="character" w:customStyle="1" w:styleId="MenuOptions">
    <w:name w:val="Menu Options"/>
    <w:basedOn w:val="DefaultParagraphFont"/>
    <w:rsid w:val="008E0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CDF"/>
    <w:rPr>
      <w:b/>
    </w:rPr>
  </w:style>
  <w:style w:type="character" w:customStyle="1" w:styleId="Underlined">
    <w:name w:val="Underlined"/>
    <w:basedOn w:val="DefaultParagraphFont"/>
    <w:rsid w:val="008E0CDF"/>
    <w:rPr>
      <w:u w:val="single"/>
    </w:rPr>
  </w:style>
  <w:style w:type="paragraph" w:customStyle="1" w:styleId="TableBodyTextRight">
    <w:name w:val="Table Body Text Right"/>
    <w:basedOn w:val="TableBodyText"/>
    <w:rsid w:val="008E0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CDF"/>
    <w:rPr>
      <w:sz w:val="18"/>
    </w:rPr>
  </w:style>
  <w:style w:type="paragraph" w:customStyle="1" w:styleId="BodySmallRight">
    <w:name w:val="Body Small Right"/>
    <w:basedOn w:val="BodyTextRight"/>
    <w:rsid w:val="008E0CDF"/>
    <w:rPr>
      <w:sz w:val="18"/>
      <w:szCs w:val="18"/>
    </w:rPr>
  </w:style>
  <w:style w:type="paragraph" w:customStyle="1" w:styleId="MarginEdition">
    <w:name w:val="Margin Edition"/>
    <w:basedOn w:val="MarginNote"/>
    <w:rsid w:val="008E0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CDF"/>
    <w:rPr>
      <w:sz w:val="2"/>
      <w:szCs w:val="2"/>
    </w:rPr>
  </w:style>
  <w:style w:type="character" w:customStyle="1" w:styleId="Small">
    <w:name w:val="Small"/>
    <w:basedOn w:val="DefaultParagraphFont"/>
    <w:rsid w:val="008E0CDF"/>
    <w:rPr>
      <w:sz w:val="16"/>
    </w:rPr>
  </w:style>
  <w:style w:type="paragraph" w:customStyle="1" w:styleId="WideTable">
    <w:name w:val="Wide Table"/>
    <w:basedOn w:val="Normal"/>
    <w:rsid w:val="008E0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CDF"/>
  </w:style>
  <w:style w:type="paragraph" w:styleId="Quote">
    <w:name w:val="Quote"/>
    <w:basedOn w:val="Heading1"/>
    <w:link w:val="QuoteChar"/>
    <w:qFormat/>
    <w:rsid w:val="008E0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CDF"/>
    <w:pPr>
      <w:pageBreakBefore/>
    </w:pPr>
  </w:style>
  <w:style w:type="paragraph" w:customStyle="1" w:styleId="Border">
    <w:name w:val="Border"/>
    <w:basedOn w:val="Normal"/>
    <w:qFormat/>
    <w:rsid w:val="008E0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CDF"/>
    <w:rPr>
      <w:u w:val="single"/>
    </w:rPr>
  </w:style>
  <w:style w:type="character" w:customStyle="1" w:styleId="BoldandItalics">
    <w:name w:val="Bold and Italics"/>
    <w:qFormat/>
    <w:rsid w:val="008E0CDF"/>
    <w:rPr>
      <w:b/>
      <w:i/>
      <w:u w:val="none"/>
    </w:rPr>
  </w:style>
  <w:style w:type="paragraph" w:styleId="BalloonText">
    <w:name w:val="Balloon Text"/>
    <w:basedOn w:val="Normal"/>
    <w:link w:val="BalloonTextChar"/>
    <w:rsid w:val="008E0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CDF"/>
    <w:pPr>
      <w:spacing w:before="0" w:after="0"/>
    </w:pPr>
  </w:style>
  <w:style w:type="paragraph" w:customStyle="1" w:styleId="BodyTextBold">
    <w:name w:val="Body Text Bold"/>
    <w:basedOn w:val="BodyText"/>
    <w:qFormat/>
    <w:rsid w:val="008E0CDF"/>
    <w:rPr>
      <w:b/>
    </w:rPr>
  </w:style>
  <w:style w:type="character" w:styleId="Hyperlink">
    <w:name w:val="Hyperlink"/>
    <w:basedOn w:val="DefaultParagraphFont"/>
    <w:uiPriority w:val="99"/>
    <w:unhideWhenUsed/>
    <w:rsid w:val="00E92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4027</Characters>
  <Application>Microsoft Office Word</Application>
  <DocSecurity>0</DocSecurity>
  <Lines>167</Lines>
  <Paragraphs>80</Paragraphs>
  <ScaleCrop>false</ScaleCrop>
  <Company>Author-it Software Corporation Ltd.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UEPOPS055 Manage permit to work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