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A6B" w:rsidP="00D21A6B">
      <w:pPr>
        <w:pStyle w:val="Title"/>
      </w:pPr>
      <w:r>
        <w:fldChar w:fldCharType="begin"/>
      </w:r>
      <w:r>
        <w:instrText xml:space="preserve"> TITLE   \* MERGEFORMAT </w:instrText>
      </w:r>
      <w:r>
        <w:fldChar w:fldCharType="separate"/>
      </w:r>
      <w:r>
        <w:t>UEPOPS053 Manage operational crisis to maintain or restore power system integrity</w:t>
      </w:r>
      <w:r>
        <w:fldChar w:fldCharType="end"/>
      </w:r>
    </w:p>
    <w:p w:rsidR="00D21A6B" w:rsidP="00D21A6B">
      <w:pPr>
        <w:pStyle w:val="Version"/>
        <w:sectPr w:rsidSect="00A746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630" w:rsidP="00A74630">
      <w:pPr>
        <w:pStyle w:val="SuperHeading"/>
      </w:pPr>
      <w:r w:rsidRPr="00A74630">
        <w:t>UEPOPS053 Manage operational crisis to maintain or restore power system integrity</w:t>
      </w:r>
    </w:p>
    <w:p w:rsidR="00000000" w:rsidRPr="00A74630" w:rsidP="00A74630">
      <w:pPr>
        <w:pStyle w:val="Heading1"/>
      </w:pPr>
      <w:bookmarkStart w:id="1" w:name="O_1191564"/>
      <w:bookmarkEnd w:id="1"/>
      <w:r w:rsidRPr="00A74630">
        <w:t>Modification History</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Release 1. This is the first release of this unit of competency in the UEP Electricity Supply Industry - Generation Sector Training Package Release 2.0.</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2" w:name="O_1191565"/>
      <w:bookmarkEnd w:id="2"/>
      <w:r w:rsidRPr="00A74630">
        <w:t>Application</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This unit involves the skills and knowledge required to manage a crisi</w:t>
            </w:r>
            <w:r w:rsidRPr="00A74630">
              <w:t>s of a magnitude which affects the integrity and effectiveness of the power generation facility</w:t>
            </w:r>
            <w:r>
              <w:t>’</w:t>
            </w:r>
            <w:r w:rsidRPr="00A74630">
              <w:t>s system.</w:t>
            </w:r>
          </w:p>
          <w:p w:rsidR="00000000" w:rsidRPr="00A74630" w:rsidP="00A74630">
            <w:pPr>
              <w:pStyle w:val="BodyText"/>
            </w:pPr>
            <w:r w:rsidRPr="00A74630">
              <w:t>A crisis is defined as a significant threat to power generation operations that can have negative consequences if not handled with care. The risk mana</w:t>
            </w:r>
            <w:r w:rsidRPr="00A74630">
              <w:t xml:space="preserve">gement system ensures that the power generation facility identifies, assesses and prioritises risks and manages the application of resources to monitor and control the impact of potentially hazardous events. </w:t>
            </w:r>
          </w:p>
          <w:p w:rsidR="00000000" w:rsidRPr="00A74630" w:rsidP="00A74630">
            <w:pPr>
              <w:pStyle w:val="BodyText"/>
            </w:pPr>
            <w:r w:rsidRPr="00A74630">
              <w:t>Competency in this unit requires the ability to</w:t>
            </w:r>
            <w:r w:rsidRPr="00A74630">
              <w:t xml:space="preserve"> identify a crisis, establish a contingency plan, establish communications, manage crisis</w:t>
            </w:r>
            <w:r w:rsidRPr="00A74630">
              <w:rPr>
                <w:rStyle w:val="SpecialBold"/>
              </w:rPr>
              <w:t xml:space="preserve"> </w:t>
            </w:r>
            <w:r w:rsidRPr="00A74630">
              <w:t>documents and review the crisis and response. Individuals will, in general, work as an operator with responsibility for risk management, in a power generation facilit</w:t>
            </w:r>
            <w:r w:rsidRPr="00A74630">
              <w:t xml:space="preserve">y. </w:t>
            </w:r>
          </w:p>
          <w:p w:rsidR="00000000" w:rsidRPr="00A74630" w:rsidP="00A74630">
            <w:pPr>
              <w:pStyle w:val="BodyText"/>
            </w:pPr>
            <w:r w:rsidRPr="00A74630">
              <w:t>Power generation plant operators are trained and authorised to isolate, prepare plant and issue permits to work.</w:t>
            </w:r>
          </w:p>
          <w:p w:rsidR="00000000" w:rsidRPr="00A74630" w:rsidP="00A74630">
            <w:pPr>
              <w:pStyle w:val="BodyText"/>
            </w:pPr>
            <w:r w:rsidRPr="00A74630">
              <w:t>No licensing, legislative or certification requirements apply to this unit at the time of publication.</w:t>
            </w:r>
          </w:p>
          <w:p w:rsidR="00000000" w:rsidRPr="00A74630" w:rsidP="00A74630">
            <w:pPr>
              <w:pStyle w:val="BodyText"/>
            </w:pP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3" w:name="O_1191566"/>
      <w:bookmarkEnd w:id="3"/>
      <w:r w:rsidRPr="00A74630">
        <w:t xml:space="preserve">Pre-requisite </w:t>
      </w:r>
      <w:r w:rsidRPr="00A74630">
        <w:t>Unit</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There are no prerequisite units</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4" w:name="O_1191567"/>
      <w:bookmarkEnd w:id="4"/>
      <w:r w:rsidRPr="00A74630">
        <w:t>Competency Field</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Operations</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5" w:name="O_1191568"/>
      <w:bookmarkEnd w:id="5"/>
      <w:r w:rsidRPr="00A74630">
        <w:t>Unit Sector</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Electricity generation</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6" w:name="O_1191569"/>
      <w:bookmarkEnd w:id="6"/>
      <w:r w:rsidRPr="00A7463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7463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PERFORMANCE CRITERIA</w:t>
            </w:r>
          </w:p>
        </w:tc>
      </w:tr>
      <w:tr w:rsidTr="00A7463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Performance criteria describe the performance needed to demonstrate achievement of the element.</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Identify crisis</w:t>
            </w: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Operational crisis and implications are identified and assessed in accordance with risk mana</w:t>
            </w:r>
            <w:r w:rsidRPr="00A74630">
              <w:t>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Work health and safety (WHS)/occupational health and safety (OHS) regulations, legislative requirements, codes of practice, manufacturers’ recommendations and specifications, environmental requirements and work</w:t>
            </w:r>
            <w:r w:rsidRPr="00A74630">
              <w:t>place procedures are identified, applied and monitored</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Secondary threats from crisis events are identified and monitored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Network system configuration or power generation capability is evaluated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Data determining network system and power generation status is assessed and evaluated in accordance with risk</w:t>
            </w:r>
            <w:r w:rsidRPr="00A74630">
              <w:t xml:space="preserve">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External information is collated, assessed and managed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Probable cause of crisis is identified from available information and resources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Crisis team is activated and individual roles and responsibilities identified and managed in accordanc</w:t>
            </w:r>
            <w:r w:rsidRPr="00A74630">
              <w:t>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Implement contingency plan</w:t>
            </w: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Contingency and emergency response plans are implemented using risk management system documentation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Additional resources are identified</w:t>
            </w:r>
            <w:r w:rsidRPr="00A74630">
              <w:t xml:space="preserve">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Alternate strategies to cater for crisis variations are implemented in consultation with key stakeholders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Implement communication</w:t>
            </w:r>
            <w:r w:rsidRPr="00A74630">
              <w:t xml:space="preserve"> </w:t>
            </w: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Communication links with external authorities are established and implemented to ensure coordination of resources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 xml:space="preserve">Communication with key stakeholders is </w:t>
            </w:r>
            <w:r w:rsidRPr="00A74630">
              <w:t>established and implemented to disseminate information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Customers are assisted in accordance with risk management system policies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Manage crisis</w:t>
            </w: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 xml:space="preserve">Crisis </w:t>
            </w:r>
            <w:r w:rsidRPr="00A74630">
              <w:t>response is managed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 xml:space="preserve">Crisis events and responses are prioritised according to related risk and the needs of key stakeholders in accordance with risk management system and workplace </w:t>
            </w:r>
            <w:r w:rsidRPr="00A74630">
              <w:t>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Impact of secondary threats are managed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Contingency and emergency response plans are actioned and managed in accordance with risk management system and workplace pr</w:t>
            </w:r>
            <w:r w:rsidRPr="00A74630">
              <w:t>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Additional resources are managed and directed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Restoration strategies are monitored, evaluated and adjusted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Power generation systems are stabilised and integrity is maintained in accordance with risk management system and workpla</w:t>
            </w:r>
            <w:r w:rsidRPr="00A74630">
              <w:t>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rPr>
                <w:rStyle w:val="SpecialBold"/>
              </w:rPr>
              <w:t>Document and review crisis and response</w:t>
            </w: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Equipment failure and problems are identified and managed in accordance with risk management system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Crisis feedback from key stakeholders is analysed in accordance with risk man</w:t>
            </w:r>
            <w:r w:rsidRPr="00A74630">
              <w:t>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Crisis reports and findings are distributed to relevant personnel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Improvements to crisis management plans, processes and procedures are recommended to relevant personnel and key stakeholders in accordance with risk management system and workplace procedures</w:t>
            </w:r>
          </w:p>
        </w:tc>
      </w:tr>
      <w:tr w:rsidTr="00A7463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463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rPr>
                <w:rStyle w:val="SpecialBold"/>
              </w:rPr>
              <w:t>5.5</w:t>
            </w:r>
          </w:p>
        </w:tc>
        <w:tc>
          <w:tcPr>
            <w:tcW w:w="5628"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Alternative crisis management strategies are identified a</w:t>
            </w:r>
            <w:r w:rsidRPr="00A74630">
              <w:t>nd analysed, and recommendations are communicated to relevant personnel and key stakeholders in accordance with risk management system and workplace procedures</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7" w:name="O_1191570"/>
      <w:bookmarkEnd w:id="7"/>
      <w:r w:rsidRPr="00A74630">
        <w:t>Foundation Skills</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Foundation skills essential to performance are explicit i</w:t>
            </w:r>
            <w:r w:rsidRPr="00A74630">
              <w:t>n the performance criteria of this unit of competency.</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8" w:name="O_1191571"/>
      <w:bookmarkEnd w:id="8"/>
      <w:r w:rsidRPr="00A74630">
        <w:t>Range of Conditions</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Range is restricted to essential operating conditions and any other variables essential to the work environment.</w:t>
            </w:r>
          </w:p>
          <w:p w:rsidR="00000000" w:rsidRPr="00A74630" w:rsidP="00A74630">
            <w:pPr>
              <w:pStyle w:val="BodyText"/>
            </w:pPr>
            <w:r w:rsidRPr="00A74630">
              <w:t>Non-essential conditions may be found in the UEP Electricity Supply Industry - Generation Sector Training Package Companion Volume Implementation Guide.</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9" w:name="O_1191572"/>
      <w:bookmarkEnd w:id="9"/>
      <w:r w:rsidRPr="00A74630">
        <w:t>Unit Mapping Information</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 xml:space="preserve">This unit replaces and is equivalent to UEPOPS513 Manage </w:t>
            </w:r>
            <w:r w:rsidRPr="00A74630">
              <w:t>operational crisis to maintain or restore power system integrity.</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10" w:name="O_1191579"/>
      <w:bookmarkEnd w:id="10"/>
      <w:r w:rsidRPr="00A74630">
        <w:t>Links</w:t>
      </w:r>
    </w:p>
    <w:p w:rsidR="00000000" w:rsidRPr="00A74630" w:rsidP="00D21A6B">
      <w:pPr>
        <w:pStyle w:val="BodyText"/>
      </w:pPr>
      <w:r w:rsidRPr="00A7463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E1ECB">
        <w:rPr>
          <w:rStyle w:val="Hyperlink"/>
        </w:rPr>
        <w:t>https://vetnet.gov.au/Pages/TrainingDocs.aspx?q=1715b9fa-e7bd-441c-bb8d-cf22c9c825a8</w:t>
      </w:r>
      <w:r>
        <w:fldChar w:fldCharType="end"/>
      </w:r>
    </w:p>
    <w:p w:rsidR="00000000" w:rsidRPr="00A74630" w:rsidP="00D21A6B">
      <w:pPr>
        <w:pStyle w:val="BodyText"/>
        <w:sectPr w:rsidSect="00A74630">
          <w:headerReference w:type="default" r:id="rId10"/>
          <w:footerReference w:type="default" r:id="rId11"/>
          <w:pgSz w:w="11908" w:h="16833"/>
          <w:pgMar w:top="1702" w:right="1418" w:bottom="1702" w:left="1418" w:header="992" w:footer="992" w:gutter="0"/>
          <w:cols w:space="720"/>
          <w:noEndnote/>
          <w:docGrid w:linePitch="299"/>
        </w:sectPr>
      </w:pPr>
    </w:p>
    <w:p w:rsidR="00000000" w:rsidRPr="00A74630" w:rsidP="00A74630">
      <w:pPr>
        <w:pStyle w:val="SuperHeading"/>
      </w:pPr>
      <w:r w:rsidRPr="00A74630">
        <w:t>Assessment Requirements for UEPOPS053 Manage operational crisis to maintain or restore power system integrity</w:t>
      </w:r>
    </w:p>
    <w:p w:rsidR="00000000" w:rsidRPr="00A74630" w:rsidP="00A74630">
      <w:pPr>
        <w:pStyle w:val="Heading1"/>
      </w:pPr>
      <w:bookmarkStart w:id="11" w:name="O_1191574"/>
      <w:bookmarkEnd w:id="11"/>
      <w:r w:rsidRPr="00A74630">
        <w:t>Modification History</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Release 1. This is the first release of this unit of competency in the UEP Electricity Supply Industry - Generation Sector Training Package Release 2.0.</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12" w:name="O_1191575"/>
      <w:bookmarkEnd w:id="12"/>
      <w:r w:rsidRPr="00A74630">
        <w:t>Performance Evidence</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Evidence required to demonstrate competence in this unit must be relevant to and satisfy all the requirements of the elements and performance criteria on at least two separate occasions and include:</w:t>
            </w:r>
          </w:p>
        </w:tc>
      </w:tr>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ListBullet"/>
            </w:pPr>
            <w:r w:rsidRPr="00A74630">
              <w:t>applying work health and safety (WHS)/occupational heal</w:t>
            </w:r>
            <w:r w:rsidRPr="00A74630">
              <w:t>th and safety (OHS) requirements, including:</w:t>
            </w:r>
          </w:p>
          <w:p w:rsidR="00000000" w:rsidRPr="00A74630" w:rsidP="00A74630">
            <w:pPr>
              <w:pStyle w:val="ListBullet2"/>
            </w:pPr>
            <w:r w:rsidRPr="00A74630">
              <w:t>emergency procedures and techniques</w:t>
            </w:r>
          </w:p>
          <w:p w:rsidR="00000000" w:rsidRPr="00A74630" w:rsidP="00A74630">
            <w:pPr>
              <w:pStyle w:val="ListBullet2"/>
            </w:pPr>
            <w:r w:rsidRPr="00A74630">
              <w:t>safe working practices</w:t>
            </w:r>
          </w:p>
          <w:p w:rsidR="00000000" w:rsidRPr="00A74630" w:rsidP="00A74630">
            <w:pPr>
              <w:pStyle w:val="ListBullet2"/>
            </w:pPr>
            <w:r w:rsidRPr="00A74630">
              <w:t>site safety procedures</w:t>
            </w:r>
          </w:p>
          <w:p w:rsidR="00000000" w:rsidRPr="00A74630" w:rsidP="00A74630">
            <w:pPr>
              <w:pStyle w:val="ListBullet"/>
            </w:pPr>
            <w:r w:rsidRPr="00A74630">
              <w:t>communicating with personnel during a crisis event</w:t>
            </w:r>
          </w:p>
          <w:p w:rsidR="00000000" w:rsidRPr="00A74630" w:rsidP="00A74630">
            <w:pPr>
              <w:pStyle w:val="ListBullet"/>
            </w:pPr>
            <w:r w:rsidRPr="00A74630">
              <w:t>controlling crisis emergency situations</w:t>
            </w:r>
          </w:p>
          <w:p w:rsidR="00000000" w:rsidRPr="00A74630" w:rsidP="00A74630">
            <w:pPr>
              <w:pStyle w:val="ListBullet"/>
            </w:pPr>
            <w:r w:rsidRPr="00A74630">
              <w:t>detecting plant status, including interpreting remote indication of plant status and condition</w:t>
            </w:r>
          </w:p>
          <w:p w:rsidR="00000000" w:rsidRPr="00A74630" w:rsidP="00A74630">
            <w:pPr>
              <w:pStyle w:val="ListBullet"/>
            </w:pPr>
            <w:r w:rsidRPr="00A74630">
              <w:t>determining corrective actions using data analysis techniques and tools</w:t>
            </w:r>
          </w:p>
          <w:p w:rsidR="00000000" w:rsidRPr="00A74630" w:rsidP="00A74630">
            <w:pPr>
              <w:pStyle w:val="ListBullet"/>
            </w:pPr>
            <w:r w:rsidRPr="00A74630">
              <w:t>documenting and reviewing crisis events and responses</w:t>
            </w:r>
          </w:p>
          <w:p w:rsidR="00000000" w:rsidRPr="00A74630" w:rsidP="00A74630">
            <w:pPr>
              <w:pStyle w:val="ListBullet"/>
            </w:pPr>
            <w:r w:rsidRPr="00A74630">
              <w:t>identifying crisis events</w:t>
            </w:r>
          </w:p>
          <w:p w:rsidR="00000000" w:rsidRPr="00A74630" w:rsidP="00A74630">
            <w:pPr>
              <w:pStyle w:val="ListBullet"/>
            </w:pPr>
            <w:r w:rsidRPr="00A74630">
              <w:t>implement</w:t>
            </w:r>
            <w:r w:rsidRPr="00A74630">
              <w:t>ing regulations, legislative requirements, codes of practice, manufacturers’ recommendations and specifications, and environmental requirements</w:t>
            </w:r>
          </w:p>
          <w:p w:rsidR="00000000" w:rsidRPr="00A74630" w:rsidP="00A74630">
            <w:pPr>
              <w:pStyle w:val="ListBullet"/>
            </w:pPr>
            <w:r w:rsidRPr="00A74630">
              <w:t>interpreting manuals</w:t>
            </w:r>
          </w:p>
          <w:p w:rsidR="00000000" w:rsidRPr="00A74630" w:rsidP="00A74630">
            <w:pPr>
              <w:pStyle w:val="ListBullet"/>
            </w:pPr>
            <w:r w:rsidRPr="00A74630">
              <w:t>instigating contingency and emergency response plans</w:t>
            </w:r>
          </w:p>
          <w:p w:rsidR="00000000" w:rsidRPr="00A74630" w:rsidP="00A74630">
            <w:pPr>
              <w:pStyle w:val="ListBullet"/>
            </w:pPr>
            <w:r w:rsidRPr="00A74630">
              <w:t>managing crisis, including oversight o</w:t>
            </w:r>
            <w:r w:rsidRPr="00A74630">
              <w:t>f personnel</w:t>
            </w:r>
          </w:p>
          <w:p w:rsidR="00000000" w:rsidRPr="00A74630" w:rsidP="00A74630">
            <w:pPr>
              <w:pStyle w:val="ListBullet"/>
            </w:pPr>
            <w:r w:rsidRPr="00A74630">
              <w:t>recognising abnormal plant operating conditions using diagnostic techniques</w:t>
            </w:r>
          </w:p>
          <w:p w:rsidR="00000000" w:rsidRPr="00A74630" w:rsidP="00A74630">
            <w:pPr>
              <w:pStyle w:val="ListBullet"/>
            </w:pPr>
            <w:r w:rsidRPr="00A74630">
              <w:t>responding to stakeholder feedback</w:t>
            </w:r>
          </w:p>
          <w:p w:rsidR="00000000" w:rsidRPr="00A74630" w:rsidP="00A74630">
            <w:pPr>
              <w:pStyle w:val="ListBullet"/>
            </w:pPr>
            <w:r w:rsidRPr="00A74630">
              <w:t>utilising communication techniques and methods, including recording procedures</w:t>
            </w:r>
          </w:p>
          <w:p w:rsidR="00000000" w:rsidRPr="00A74630" w:rsidP="00A74630">
            <w:pPr>
              <w:pStyle w:val="ListBullet"/>
            </w:pPr>
            <w:r w:rsidRPr="00A74630">
              <w:t>working with and managing the risk management system.</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13" w:name="O_1191576"/>
      <w:bookmarkEnd w:id="13"/>
      <w:r w:rsidRPr="00A74630">
        <w:t>Knowledge Evidence</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4630">
            <w:pPr>
              <w:pStyle w:val="BodyText"/>
              <w:rPr>
                <w:lang w:val="en-NZ"/>
              </w:rPr>
            </w:pPr>
            <w:r w:rsidRPr="00A74630">
              <w:t>Evidence required to demonstrate competence in this unit must be relevant to and satisfy all the requirements of the elements and performance criteria and include knowledge of:</w:t>
            </w:r>
          </w:p>
        </w:tc>
      </w:tr>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ListBullet"/>
            </w:pPr>
            <w:r w:rsidRPr="00A74630">
              <w:t>arrangements of power production plan</w:t>
            </w:r>
            <w:r w:rsidRPr="00A74630">
              <w:t>t</w:t>
            </w:r>
          </w:p>
          <w:p w:rsidR="00000000" w:rsidRPr="00A74630" w:rsidP="00A74630">
            <w:pPr>
              <w:pStyle w:val="ListBullet"/>
            </w:pPr>
            <w:r w:rsidRPr="00A74630">
              <w:t>communication equipment, techniques and procedures</w:t>
            </w:r>
          </w:p>
          <w:p w:rsidR="00000000" w:rsidRPr="00A74630" w:rsidP="00A74630">
            <w:pPr>
              <w:pStyle w:val="ListBullet"/>
            </w:pPr>
            <w:r w:rsidRPr="00A74630">
              <w:t>contingency and emergency response plans</w:t>
            </w:r>
          </w:p>
          <w:p w:rsidR="00000000" w:rsidRPr="00A74630" w:rsidP="00A74630">
            <w:pPr>
              <w:pStyle w:val="ListBullet"/>
            </w:pPr>
            <w:r w:rsidRPr="00A74630">
              <w:t>control techniques and methods for crisis events</w:t>
            </w:r>
          </w:p>
          <w:p w:rsidR="00000000" w:rsidRPr="00A74630" w:rsidP="00A74630">
            <w:pPr>
              <w:pStyle w:val="ListBullet"/>
            </w:pPr>
            <w:r w:rsidRPr="00A74630">
              <w:t>manuals</w:t>
            </w:r>
          </w:p>
          <w:p w:rsidR="00000000" w:rsidRPr="00A74630" w:rsidP="00A74630">
            <w:pPr>
              <w:pStyle w:val="ListBullet"/>
            </w:pPr>
            <w:r w:rsidRPr="00A74630">
              <w:t>power generation plant and equipment, location and operating parameters</w:t>
            </w:r>
          </w:p>
          <w:p w:rsidR="00000000" w:rsidRPr="00A74630" w:rsidP="00A74630">
            <w:pPr>
              <w:pStyle w:val="ListBullet"/>
            </w:pPr>
            <w:r w:rsidRPr="00A74630">
              <w:t>power generation plant status</w:t>
            </w:r>
          </w:p>
          <w:p w:rsidR="00000000" w:rsidRPr="00A74630" w:rsidP="00A74630">
            <w:pPr>
              <w:pStyle w:val="ListBullet"/>
            </w:pPr>
            <w:r w:rsidRPr="00A74630">
              <w:t xml:space="preserve">regulations, legislative requirements, codes of practice, manufacturers’ recommendations and </w:t>
            </w:r>
            <w:r w:rsidRPr="00A74630">
              <w:t>specifications, and environmental requirements</w:t>
            </w:r>
          </w:p>
          <w:p w:rsidR="00000000" w:rsidRPr="00A74630" w:rsidP="00A74630">
            <w:pPr>
              <w:pStyle w:val="ListBullet"/>
            </w:pPr>
            <w:r w:rsidRPr="00A74630">
              <w:t>risk management systems</w:t>
            </w:r>
          </w:p>
          <w:p w:rsidR="00000000" w:rsidRPr="00A74630" w:rsidP="00A74630">
            <w:pPr>
              <w:pStyle w:val="ListBullet"/>
            </w:pPr>
            <w:r w:rsidRPr="00A74630">
              <w:t>risk mitigation processes</w:t>
            </w:r>
          </w:p>
          <w:p w:rsidR="00000000" w:rsidRPr="00A74630" w:rsidP="00A74630">
            <w:pPr>
              <w:pStyle w:val="ListBullet"/>
            </w:pPr>
            <w:r w:rsidRPr="00A74630">
              <w:t>role of external authorities and agencies</w:t>
            </w:r>
          </w:p>
          <w:p w:rsidR="00000000" w:rsidRPr="00A74630" w:rsidP="00A74630">
            <w:pPr>
              <w:pStyle w:val="ListBullet"/>
            </w:pPr>
            <w:r w:rsidRPr="00A74630">
              <w:t xml:space="preserve">stakeholder liaison and </w:t>
            </w:r>
            <w:r w:rsidRPr="00A74630">
              <w:t>feedback</w:t>
            </w:r>
          </w:p>
          <w:p w:rsidR="00000000" w:rsidRPr="00A74630" w:rsidP="00A74630">
            <w:pPr>
              <w:pStyle w:val="ListBullet"/>
            </w:pPr>
            <w:r w:rsidRPr="00A74630">
              <w:t>stakeholder management techniques, including liaising with contractors and clients</w:t>
            </w:r>
          </w:p>
          <w:p w:rsidR="00000000" w:rsidRPr="00A74630" w:rsidP="00A74630">
            <w:pPr>
              <w:pStyle w:val="ListBullet"/>
            </w:pPr>
            <w:r w:rsidRPr="00A74630">
              <w:t>types of crises events</w:t>
            </w:r>
          </w:p>
          <w:p w:rsidR="00000000" w:rsidRPr="00A74630" w:rsidP="00A74630">
            <w:pPr>
              <w:pStyle w:val="ListBullet"/>
            </w:pPr>
            <w:r w:rsidRPr="00A74630">
              <w:t>WHS/OHS requirements, including</w:t>
            </w:r>
          </w:p>
          <w:p w:rsidR="00000000" w:rsidRPr="00A74630" w:rsidP="00A74630">
            <w:pPr>
              <w:pStyle w:val="ListBullet2"/>
            </w:pPr>
            <w:r w:rsidRPr="00A74630">
              <w:t>emergency procedures and techniques</w:t>
            </w:r>
          </w:p>
          <w:p w:rsidR="00000000" w:rsidRPr="00A74630" w:rsidP="00A74630">
            <w:pPr>
              <w:pStyle w:val="ListBullet2"/>
            </w:pPr>
            <w:r w:rsidRPr="00A74630">
              <w:t>safe working practices</w:t>
            </w:r>
          </w:p>
          <w:p w:rsidR="00000000" w:rsidRPr="00A74630" w:rsidP="00A74630">
            <w:pPr>
              <w:pStyle w:val="ListBullet2"/>
            </w:pPr>
            <w:r w:rsidRPr="00A74630">
              <w:t>site safety procedures</w:t>
            </w:r>
          </w:p>
          <w:p w:rsidR="00000000" w:rsidRPr="00A74630" w:rsidP="00A74630">
            <w:pPr>
              <w:pStyle w:val="ListBullet"/>
            </w:pPr>
            <w:r w:rsidRPr="00A74630">
              <w:t xml:space="preserve">workplace documentation </w:t>
            </w:r>
            <w:r w:rsidRPr="00A74630">
              <w:t>workplace policies and procedures.</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14" w:name="O_1191577"/>
      <w:bookmarkEnd w:id="14"/>
      <w:r w:rsidRPr="00A74630">
        <w:t>Assessment Conditions</w:t>
      </w:r>
    </w:p>
    <w:tbl>
      <w:tblPr>
        <w:tblW w:w="9497" w:type="dxa"/>
        <w:tblLayout w:type="fixed"/>
        <w:tblCellMar>
          <w:left w:w="62" w:type="dxa"/>
          <w:right w:w="62" w:type="dxa"/>
        </w:tblCellMar>
        <w:tblLook w:val="0000"/>
      </w:tblPr>
      <w:tblGrid>
        <w:gridCol w:w="9497"/>
      </w:tblGrid>
      <w:tr w:rsidTr="00A74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630" w:rsidP="00A74630">
            <w:pPr>
              <w:pStyle w:val="BodyText"/>
            </w:pPr>
            <w:r w:rsidRPr="00A74630">
              <w:t>Assessors must hold credentials specified within the Standards for Registered Training Organisations current at the time of assessment.</w:t>
            </w:r>
          </w:p>
          <w:p w:rsidR="00000000" w:rsidRPr="00A74630" w:rsidP="00A74630">
            <w:pPr>
              <w:pStyle w:val="BodyText"/>
            </w:pPr>
            <w:r w:rsidRPr="00A74630">
              <w:t>Assessment must satisfy the Principles of Assessment and Rules of Evidence and all regulatory requirements included within the Standards for Registered Training Organisations current at the time of assessment.</w:t>
            </w:r>
          </w:p>
          <w:p w:rsidR="00000000" w:rsidRPr="00A74630" w:rsidP="00A74630">
            <w:pPr>
              <w:pStyle w:val="BodyText"/>
            </w:pPr>
            <w:r w:rsidRPr="00A74630">
              <w:t>Assessment must occur in workplace operational</w:t>
            </w:r>
            <w:r w:rsidRPr="00A74630">
              <w:t xml:space="preserve"> situations where it is appropriate to do so; where this is not appropriate, assessment must occur in simulated workplace operational situations that replicate workplace conditions.</w:t>
            </w:r>
          </w:p>
          <w:p w:rsidR="00000000" w:rsidRPr="00A74630" w:rsidP="00A74630">
            <w:pPr>
              <w:pStyle w:val="BodyText"/>
            </w:pPr>
            <w:r w:rsidRPr="00A74630">
              <w:t>Assessment processes and techniques must be appropriate to the language, l</w:t>
            </w:r>
            <w:r w:rsidRPr="00A74630">
              <w:t>iteracy and numeracy requirements of the work being performed and the needs of the candidate.</w:t>
            </w:r>
          </w:p>
          <w:p w:rsidR="00000000" w:rsidRPr="00A74630" w:rsidP="00A74630">
            <w:pPr>
              <w:pStyle w:val="BodyText"/>
            </w:pPr>
            <w:r w:rsidRPr="00A74630">
              <w:t>Resources for assessment must include access to:</w:t>
            </w:r>
          </w:p>
          <w:p w:rsidR="00000000" w:rsidRPr="00A74630" w:rsidP="00A74630">
            <w:pPr>
              <w:pStyle w:val="ListBullet"/>
            </w:pPr>
            <w:r w:rsidRPr="00A74630">
              <w:t>a range of relevant exercises, case studies and/or other simulations</w:t>
            </w:r>
          </w:p>
          <w:p w:rsidR="00000000" w:rsidRPr="00A74630" w:rsidP="00A74630">
            <w:pPr>
              <w:pStyle w:val="ListBullet"/>
            </w:pPr>
            <w:r w:rsidRPr="00A74630">
              <w:t xml:space="preserve">relevant and appropriate materials, tools, </w:t>
            </w:r>
            <w:r w:rsidRPr="00A74630">
              <w:t>equipment and personal protective equipment (PPE) currently used in industry</w:t>
            </w:r>
          </w:p>
          <w:p w:rsidR="00000000" w:rsidRPr="00A74630" w:rsidP="00A74630">
            <w:pPr>
              <w:pStyle w:val="ListBullet"/>
            </w:pPr>
            <w:r w:rsidRPr="00A74630">
              <w:t>applicable documentation, including workplace procedures, equipment specifications, regulations, codes of practice and operation manuals.</w:t>
            </w:r>
          </w:p>
        </w:tc>
      </w:tr>
    </w:tbl>
    <w:p w:rsidR="00000000" w:rsidRPr="00A74630" w:rsidP="00A74630">
      <w:pPr>
        <w:pStyle w:val="NoPaddingFontSize1"/>
      </w:pPr>
    </w:p>
    <w:p w:rsidR="00000000" w:rsidRPr="00A74630" w:rsidP="00A74630">
      <w:pPr>
        <w:pStyle w:val="AllowPageBreak"/>
      </w:pPr>
    </w:p>
    <w:p w:rsidR="00000000" w:rsidRPr="00A74630" w:rsidP="00A74630">
      <w:pPr>
        <w:pStyle w:val="Heading1"/>
      </w:pPr>
      <w:bookmarkStart w:id="15" w:name="O_1191580"/>
      <w:bookmarkEnd w:id="15"/>
      <w:r w:rsidRPr="00A74630">
        <w:t>Links</w:t>
      </w:r>
    </w:p>
    <w:p w:rsidR="00000000" w:rsidRPr="00A74630" w:rsidP="00D21A6B">
      <w:pPr>
        <w:pStyle w:val="BodyText"/>
      </w:pPr>
      <w:r w:rsidRPr="00A74630">
        <w:t>Companion Volu</w:t>
      </w:r>
      <w:r w:rsidRPr="00A74630">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5E1ECB">
        <w:rPr>
          <w:rStyle w:val="Hyperlink"/>
        </w:rPr>
        <w:t>https://vetnet.gov.au/Pages/TrainingDocs.aspx?q=1715b9fa-e7bd-441c-bb8d-cf22c9c825a8</w:t>
      </w:r>
      <w:r>
        <w:fldChar w:fldCharType="end"/>
      </w:r>
    </w:p>
    <w:p w:rsidR="00000000" w:rsidRPr="00A74630" w:rsidP="00A74630"/>
    <w:sectPr w:rsidSect="00A746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30" w:rsidRPr="00D21A6B" w:rsidP="00D21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6B" w:rsidP="00A74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1A6B" w:rsidP="00A746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21A6B" w:rsidP="00A746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30" w:rsidP="00A74630">
    <w:pPr>
      <w:pStyle w:val="Footer"/>
      <w:framePr w:wrap="around"/>
    </w:pPr>
    <w:r>
      <w:fldChar w:fldCharType="begin"/>
    </w:r>
    <w:r>
      <w:instrText xml:space="preserve"> DOCPROPERTY  Subject  \* MERGEFORMAT </w:instrText>
    </w:r>
    <w:r>
      <w:fldChar w:fldCharType="separate"/>
    </w:r>
    <w:r w:rsidR="00D21A6B">
      <w:t>Approved</w:t>
    </w:r>
    <w:r w:rsidR="00D21A6B">
      <w:fldChar w:fldCharType="end"/>
    </w:r>
    <w:r>
      <w:tab/>
      <w:t xml:space="preserve">Page </w:t>
    </w:r>
    <w:r>
      <w:fldChar w:fldCharType="begin"/>
    </w:r>
    <w:r>
      <w:instrText xml:space="preserve"> PAGE  \* Arabic  \* MERGEFORMAT </w:instrText>
    </w:r>
    <w:r>
      <w:fldChar w:fldCharType="separate"/>
    </w:r>
    <w:r w:rsidR="00D21A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1A6B">
      <w:rPr>
        <w:noProof/>
      </w:rPr>
      <w:t>5</w:t>
    </w:r>
    <w:r>
      <w:rPr>
        <w:noProof/>
      </w:rPr>
      <w:fldChar w:fldCharType="end"/>
    </w:r>
  </w:p>
  <w:p w:rsidR="00A74630" w:rsidP="00A74630">
    <w:pPr>
      <w:pStyle w:val="Footer"/>
      <w:framePr w:wrap="around"/>
    </w:pPr>
    <w:r>
      <w:t xml:space="preserve">© Commonwealth of Australia, </w:t>
    </w:r>
    <w:r>
      <w:fldChar w:fldCharType="begin"/>
    </w:r>
    <w:r>
      <w:instrText xml:space="preserve"> DATE  \@ "yyyy"  \* MERGEFORMAT </w:instrText>
    </w:r>
    <w:r>
      <w:fldChar w:fldCharType="separate"/>
    </w:r>
    <w:r w:rsidR="00D21A6B">
      <w:rPr>
        <w:noProof/>
      </w:rPr>
      <w:t>2025</w:t>
    </w:r>
    <w:r>
      <w:fldChar w:fldCharType="end"/>
    </w:r>
    <w:r>
      <w:tab/>
    </w:r>
    <w:r>
      <w:fldChar w:fldCharType="begin"/>
    </w:r>
    <w:r>
      <w:instrText xml:space="preserve"> DOCPROPERTY  Author  \* MERGEFORMAT </w:instrText>
    </w:r>
    <w:r>
      <w:fldChar w:fldCharType="separate"/>
    </w:r>
    <w:r w:rsidR="00D21A6B">
      <w:t>Powering Skills Organisation</w:t>
    </w:r>
    <w:r w:rsidR="00D21A6B">
      <w:fldChar w:fldCharType="end"/>
    </w:r>
  </w:p>
  <w:p w:rsidR="00A74630" w:rsidP="00A746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630" w:rsidRPr="00D21A6B" w:rsidP="00D21A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6B" w:rsidRPr="002D2AF8" w:rsidP="00A74630">
    <w:pPr>
      <w:pStyle w:val="Header"/>
      <w:framePr w:wrap="around"/>
    </w:pPr>
    <w:r>
      <w:fldChar w:fldCharType="begin"/>
    </w:r>
    <w:r>
      <w:instrText xml:space="preserve"> TITLE   \* MERGEFORMAT </w:instrText>
    </w:r>
    <w:r>
      <w:fldChar w:fldCharType="separate"/>
    </w:r>
    <w:r>
      <w:t>UEPOPS053 Manage operational crisis to maintain or restore power system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1A6B" w:rsidP="00A746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30" w:rsidRPr="002D2AF8" w:rsidP="00A74630">
    <w:pPr>
      <w:pStyle w:val="Header"/>
      <w:framePr w:wrap="around"/>
    </w:pPr>
    <w:r>
      <w:fldChar w:fldCharType="begin"/>
    </w:r>
    <w:r>
      <w:instrText xml:space="preserve"> TITLE   \* MERGEFORMAT </w:instrText>
    </w:r>
    <w:r>
      <w:fldChar w:fldCharType="separate"/>
    </w:r>
    <w:r w:rsidR="00D21A6B">
      <w:t>UEPOPS053 Manage operational crisis to maintain or restore power system integrity</w:t>
    </w:r>
    <w:r w:rsidR="00D21A6B">
      <w:fldChar w:fldCharType="end"/>
    </w:r>
    <w:r>
      <w:tab/>
      <w:t xml:space="preserve">Date this document was generated: </w:t>
    </w:r>
    <w:r>
      <w:fldChar w:fldCharType="begin"/>
    </w:r>
    <w:r>
      <w:instrText xml:space="preserve"> CREATEDATE  \@ "d MMMM yyyy"  \* MERGEFORMAT </w:instrText>
    </w:r>
    <w:r>
      <w:fldChar w:fldCharType="separate"/>
    </w:r>
    <w:r w:rsidR="00D21A6B">
      <w:rPr>
        <w:noProof/>
      </w:rPr>
      <w:t>1 March 2025</w:t>
    </w:r>
    <w:r>
      <w:fldChar w:fldCharType="end"/>
    </w:r>
  </w:p>
  <w:p w:rsidR="00A74630" w:rsidP="00A74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88E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80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520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630"/>
    <w:pPr>
      <w:spacing w:before="360" w:after="60"/>
      <w:outlineLvl w:val="0"/>
    </w:pPr>
    <w:rPr>
      <w:sz w:val="32"/>
    </w:rPr>
  </w:style>
  <w:style w:type="paragraph" w:styleId="Heading2">
    <w:name w:val="heading 2"/>
    <w:basedOn w:val="HeadingBase"/>
    <w:next w:val="BodyText"/>
    <w:link w:val="Heading2Char"/>
    <w:qFormat/>
    <w:rsid w:val="00A74630"/>
    <w:pPr>
      <w:keepLines/>
      <w:spacing w:before="240" w:after="120"/>
      <w:outlineLvl w:val="1"/>
    </w:pPr>
    <w:rPr>
      <w:sz w:val="28"/>
      <w:szCs w:val="40"/>
    </w:rPr>
  </w:style>
  <w:style w:type="paragraph" w:styleId="Heading3">
    <w:name w:val="heading 3"/>
    <w:basedOn w:val="HeadingBase"/>
    <w:next w:val="BodyText"/>
    <w:link w:val="Heading3Char"/>
    <w:qFormat/>
    <w:rsid w:val="00A74630"/>
    <w:pPr>
      <w:spacing w:before="180" w:after="120"/>
      <w:outlineLvl w:val="2"/>
    </w:pPr>
    <w:rPr>
      <w:spacing w:val="-10"/>
      <w:kern w:val="32"/>
    </w:rPr>
  </w:style>
  <w:style w:type="paragraph" w:styleId="Heading4">
    <w:name w:val="heading 4"/>
    <w:basedOn w:val="HeadingBase"/>
    <w:next w:val="BodyText"/>
    <w:link w:val="Heading4Char"/>
    <w:qFormat/>
    <w:rsid w:val="00A74630"/>
    <w:pPr>
      <w:spacing w:before="160" w:after="120"/>
      <w:outlineLvl w:val="3"/>
    </w:pPr>
    <w:rPr>
      <w:sz w:val="22"/>
    </w:rPr>
  </w:style>
  <w:style w:type="paragraph" w:styleId="Heading5">
    <w:name w:val="heading 5"/>
    <w:basedOn w:val="HeadingBase"/>
    <w:next w:val="Normal"/>
    <w:link w:val="Heading5Char"/>
    <w:qFormat/>
    <w:rsid w:val="00A74630"/>
    <w:pPr>
      <w:spacing w:before="80"/>
      <w:outlineLvl w:val="4"/>
    </w:pPr>
    <w:rPr>
      <w:color w:val="918585"/>
      <w:sz w:val="20"/>
    </w:rPr>
  </w:style>
  <w:style w:type="paragraph" w:styleId="Heading6">
    <w:name w:val="heading 6"/>
    <w:basedOn w:val="HeadingBase"/>
    <w:next w:val="Normal"/>
    <w:link w:val="Heading6Char"/>
    <w:qFormat/>
    <w:rsid w:val="00A74630"/>
    <w:pPr>
      <w:spacing w:before="60"/>
      <w:outlineLvl w:val="5"/>
    </w:pPr>
    <w:rPr>
      <w:color w:val="918585"/>
      <w:sz w:val="20"/>
    </w:rPr>
  </w:style>
  <w:style w:type="paragraph" w:styleId="Heading7">
    <w:name w:val="heading 7"/>
    <w:basedOn w:val="Normal"/>
    <w:next w:val="Normal"/>
    <w:link w:val="Heading7Char"/>
    <w:qFormat/>
    <w:rsid w:val="00A74630"/>
    <w:pPr>
      <w:ind w:left="720"/>
      <w:outlineLvl w:val="6"/>
    </w:pPr>
    <w:rPr>
      <w:i/>
    </w:rPr>
  </w:style>
  <w:style w:type="paragraph" w:styleId="Heading8">
    <w:name w:val="heading 8"/>
    <w:basedOn w:val="Normal"/>
    <w:next w:val="Normal"/>
    <w:link w:val="Heading8Char"/>
    <w:qFormat/>
    <w:rsid w:val="00A74630"/>
    <w:pPr>
      <w:ind w:left="720"/>
      <w:outlineLvl w:val="7"/>
    </w:pPr>
    <w:rPr>
      <w:i/>
    </w:rPr>
  </w:style>
  <w:style w:type="paragraph" w:styleId="Heading9">
    <w:name w:val="heading 9"/>
    <w:basedOn w:val="Normal"/>
    <w:next w:val="Normal"/>
    <w:link w:val="Heading9Char"/>
    <w:qFormat/>
    <w:rsid w:val="00A74630"/>
    <w:pPr>
      <w:ind w:left="720"/>
      <w:outlineLvl w:val="8"/>
    </w:pPr>
    <w:rPr>
      <w:i/>
    </w:rPr>
  </w:style>
  <w:style w:type="character" w:default="1" w:styleId="DefaultParagraphFont">
    <w:name w:val="Default Paragraph Font"/>
    <w:uiPriority w:val="1"/>
    <w:unhideWhenUsed/>
    <w:rsid w:val="00A74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630"/>
  </w:style>
  <w:style w:type="character" w:customStyle="1" w:styleId="Heading1Char">
    <w:name w:val="Heading 1 Char"/>
    <w:basedOn w:val="DefaultParagraphFont"/>
    <w:link w:val="Heading1"/>
    <w:rsid w:val="00A74630"/>
    <w:rPr>
      <w:rFonts w:ascii="Times New Roman" w:eastAsia="Times New Roman" w:hAnsi="Times New Roman" w:cs="Times New Roman"/>
      <w:b/>
      <w:sz w:val="32"/>
      <w:szCs w:val="20"/>
      <w:lang w:eastAsia="en-US"/>
    </w:rPr>
  </w:style>
  <w:style w:type="paragraph" w:styleId="BodyText">
    <w:name w:val="Body Text"/>
    <w:basedOn w:val="Normal"/>
    <w:link w:val="BodyTextChar"/>
    <w:rsid w:val="00A746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630"/>
    <w:rPr>
      <w:rFonts w:ascii="Times New Roman" w:eastAsia="Times New Roman" w:hAnsi="Times New Roman" w:cs="Times New Roman"/>
      <w:sz w:val="24"/>
      <w:lang w:eastAsia="en-US"/>
    </w:rPr>
  </w:style>
  <w:style w:type="paragraph" w:styleId="ListBullet">
    <w:name w:val="List Bullet"/>
    <w:basedOn w:val="List"/>
    <w:rsid w:val="00A74630"/>
    <w:pPr>
      <w:numPr>
        <w:numId w:val="12"/>
      </w:numPr>
      <w:tabs>
        <w:tab w:val="clear" w:pos="340"/>
      </w:tabs>
      <w:spacing w:before="40" w:after="40"/>
    </w:pPr>
  </w:style>
  <w:style w:type="character" w:customStyle="1" w:styleId="SpecialBold">
    <w:name w:val="Special Bold"/>
    <w:basedOn w:val="DefaultParagraphFont"/>
    <w:rsid w:val="00A74630"/>
    <w:rPr>
      <w:b/>
      <w:spacing w:val="0"/>
    </w:rPr>
  </w:style>
  <w:style w:type="paragraph" w:styleId="ListBullet2">
    <w:name w:val="List Bullet 2"/>
    <w:basedOn w:val="List2"/>
    <w:rsid w:val="00A74630"/>
    <w:pPr>
      <w:numPr>
        <w:numId w:val="13"/>
      </w:numPr>
      <w:tabs>
        <w:tab w:val="clear" w:pos="680"/>
      </w:tabs>
    </w:pPr>
  </w:style>
  <w:style w:type="paragraph" w:customStyle="1" w:styleId="SuperHeading">
    <w:name w:val="SuperHeading"/>
    <w:basedOn w:val="Normal"/>
    <w:rsid w:val="00A74630"/>
    <w:pPr>
      <w:spacing w:before="240" w:after="120"/>
      <w:outlineLvl w:val="0"/>
    </w:pPr>
    <w:rPr>
      <w:rFonts w:ascii="Times New Roman" w:hAnsi="Times New Roman"/>
      <w:b/>
      <w:sz w:val="32"/>
    </w:rPr>
  </w:style>
  <w:style w:type="paragraph" w:customStyle="1" w:styleId="AllowPageBreak">
    <w:name w:val="AllowPageBreak"/>
    <w:rsid w:val="00A746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4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630"/>
    <w:rPr>
      <w:rFonts w:ascii="Courier New" w:eastAsia="Times New Roman" w:hAnsi="Courier New" w:cs="Times New Roman"/>
      <w:i/>
      <w:szCs w:val="20"/>
      <w:lang w:eastAsia="en-US"/>
    </w:rPr>
  </w:style>
  <w:style w:type="paragraph" w:customStyle="1" w:styleId="HeadingBase">
    <w:name w:val="Heading Base"/>
    <w:rsid w:val="00A74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630"/>
    <w:pPr>
      <w:tabs>
        <w:tab w:val="right" w:leader="dot" w:pos="9072"/>
      </w:tabs>
      <w:ind w:left="567"/>
    </w:pPr>
    <w:rPr>
      <w:szCs w:val="22"/>
    </w:rPr>
  </w:style>
  <w:style w:type="paragraph" w:customStyle="1" w:styleId="TOCBase">
    <w:name w:val="TOC Base"/>
    <w:rsid w:val="00A74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630"/>
    <w:pPr>
      <w:tabs>
        <w:tab w:val="right" w:leader="dot" w:pos="9072"/>
      </w:tabs>
      <w:spacing w:before="40" w:after="40"/>
      <w:ind w:left="284"/>
    </w:pPr>
    <w:rPr>
      <w:rFonts w:ascii="Times New Roman" w:hAnsi="Times New Roman"/>
    </w:rPr>
  </w:style>
  <w:style w:type="paragraph" w:styleId="TOC1">
    <w:name w:val="toc 1"/>
    <w:basedOn w:val="TOCBase"/>
    <w:next w:val="Normal"/>
    <w:rsid w:val="00A746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630"/>
    <w:rPr>
      <w:rFonts w:ascii="Times New Roman" w:eastAsia="Times New Roman" w:hAnsi="Times New Roman" w:cs="Times New Roman"/>
      <w:sz w:val="16"/>
      <w:lang w:eastAsia="en-US"/>
    </w:rPr>
  </w:style>
  <w:style w:type="paragraph" w:styleId="Title">
    <w:name w:val="Title"/>
    <w:basedOn w:val="HeadingBase"/>
    <w:link w:val="TitleChar"/>
    <w:qFormat/>
    <w:rsid w:val="00A74630"/>
    <w:pPr>
      <w:spacing w:before="5040"/>
      <w:jc w:val="center"/>
    </w:pPr>
    <w:rPr>
      <w:sz w:val="48"/>
      <w:szCs w:val="72"/>
      <w:lang w:val="en-US"/>
    </w:rPr>
  </w:style>
  <w:style w:type="character" w:customStyle="1" w:styleId="TitleChar">
    <w:name w:val="Title Char"/>
    <w:basedOn w:val="DefaultParagraphFont"/>
    <w:link w:val="Title"/>
    <w:rsid w:val="00A74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630"/>
    <w:pPr>
      <w:tabs>
        <w:tab w:val="left" w:pos="3600"/>
        <w:tab w:val="left" w:pos="3958"/>
      </w:tabs>
    </w:pPr>
  </w:style>
  <w:style w:type="paragraph" w:styleId="List">
    <w:name w:val="List"/>
    <w:basedOn w:val="BodyText"/>
    <w:next w:val="BodyText"/>
    <w:rsid w:val="00A74630"/>
    <w:pPr>
      <w:tabs>
        <w:tab w:val="left" w:pos="340"/>
      </w:tabs>
      <w:spacing w:before="60" w:after="60"/>
      <w:ind w:left="340" w:hanging="340"/>
    </w:pPr>
  </w:style>
  <w:style w:type="paragraph" w:customStyle="1" w:styleId="Note">
    <w:name w:val="Note"/>
    <w:basedOn w:val="BodyText"/>
    <w:rsid w:val="00A74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630"/>
    <w:pPr>
      <w:framePr w:wrap="auto" w:hAnchor="text" w:y="6049"/>
    </w:pPr>
    <w:rPr>
      <w:color w:val="000000"/>
      <w:sz w:val="40"/>
    </w:rPr>
  </w:style>
  <w:style w:type="paragraph" w:customStyle="1" w:styleId="TOCTitle">
    <w:name w:val="TOCTitle"/>
    <w:basedOn w:val="Heading1"/>
    <w:rsid w:val="00A74630"/>
    <w:pPr>
      <w:spacing w:after="240"/>
      <w:jc w:val="center"/>
      <w:outlineLvl w:val="9"/>
    </w:pPr>
    <w:rPr>
      <w:caps/>
    </w:rPr>
  </w:style>
  <w:style w:type="paragraph" w:customStyle="1" w:styleId="Version">
    <w:name w:val="Version"/>
    <w:rsid w:val="00A746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630"/>
    <w:pPr>
      <w:keepNext w:val="0"/>
      <w:tabs>
        <w:tab w:val="right" w:pos="4176"/>
      </w:tabs>
      <w:ind w:left="198" w:hanging="198"/>
    </w:pPr>
    <w:rPr>
      <w:rFonts w:ascii="Garamond" w:hAnsi="Garamond"/>
    </w:rPr>
  </w:style>
  <w:style w:type="paragraph" w:styleId="IndexHeading">
    <w:name w:val="index heading"/>
    <w:basedOn w:val="Normal"/>
    <w:next w:val="Index1"/>
    <w:semiHidden/>
    <w:rsid w:val="00A74630"/>
    <w:pPr>
      <w:spacing w:before="120" w:after="120"/>
    </w:pPr>
    <w:rPr>
      <w:rFonts w:ascii="Arial" w:hAnsi="Arial"/>
      <w:b/>
      <w:color w:val="918585"/>
      <w:sz w:val="24"/>
    </w:rPr>
  </w:style>
  <w:style w:type="paragraph" w:styleId="Header">
    <w:name w:val="header"/>
    <w:basedOn w:val="Normal"/>
    <w:link w:val="HeaderChar"/>
    <w:rsid w:val="00A74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630"/>
    <w:rPr>
      <w:rFonts w:ascii="Times New Roman" w:eastAsia="Times New Roman" w:hAnsi="Times New Roman" w:cs="Times New Roman"/>
      <w:sz w:val="16"/>
      <w:szCs w:val="20"/>
      <w:lang w:val="en-GB" w:eastAsia="en-US"/>
    </w:rPr>
  </w:style>
  <w:style w:type="paragraph" w:customStyle="1" w:styleId="Chapter">
    <w:name w:val="Chapter"/>
    <w:basedOn w:val="Normal"/>
    <w:rsid w:val="00A74630"/>
    <w:pPr>
      <w:spacing w:before="240"/>
    </w:pPr>
    <w:rPr>
      <w:rFonts w:ascii="Times New Roman" w:hAnsi="Times New Roman"/>
      <w:smallCaps/>
      <w:spacing w:val="80"/>
      <w:sz w:val="28"/>
    </w:rPr>
  </w:style>
  <w:style w:type="paragraph" w:customStyle="1" w:styleId="InChapter">
    <w:name w:val="InChapter"/>
    <w:basedOn w:val="Heading3"/>
    <w:rsid w:val="00A74630"/>
    <w:pPr>
      <w:spacing w:after="240"/>
      <w:outlineLvl w:val="9"/>
    </w:pPr>
    <w:rPr>
      <w:noProof/>
    </w:rPr>
  </w:style>
  <w:style w:type="paragraph" w:styleId="Index2">
    <w:name w:val="index 2"/>
    <w:basedOn w:val="Normal"/>
    <w:next w:val="Normal"/>
    <w:semiHidden/>
    <w:rsid w:val="00A74630"/>
    <w:pPr>
      <w:tabs>
        <w:tab w:val="right" w:pos="4176"/>
      </w:tabs>
      <w:ind w:left="568" w:hanging="284"/>
    </w:pPr>
    <w:rPr>
      <w:rFonts w:ascii="Garamond" w:hAnsi="Garamond"/>
    </w:rPr>
  </w:style>
  <w:style w:type="paragraph" w:customStyle="1" w:styleId="Byline">
    <w:name w:val="Byline"/>
    <w:rsid w:val="00A74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630"/>
    <w:pPr>
      <w:tabs>
        <w:tab w:val="clear" w:pos="3600"/>
        <w:tab w:val="clear" w:pos="3958"/>
      </w:tabs>
      <w:jc w:val="right"/>
    </w:pPr>
  </w:style>
  <w:style w:type="character" w:styleId="Emphasis">
    <w:name w:val="Emphasis"/>
    <w:basedOn w:val="DefaultParagraphFont"/>
    <w:qFormat/>
    <w:rsid w:val="00A74630"/>
    <w:rPr>
      <w:i/>
    </w:rPr>
  </w:style>
  <w:style w:type="paragraph" w:styleId="Caption">
    <w:name w:val="caption"/>
    <w:basedOn w:val="BodyText"/>
    <w:next w:val="Normal"/>
    <w:qFormat/>
    <w:rsid w:val="00A74630"/>
    <w:pPr>
      <w:framePr w:w="2268" w:hSpace="181" w:vSpace="181" w:wrap="around" w:vAnchor="text" w:hAnchor="page" w:x="1135" w:y="285" w:anchorLock="1"/>
    </w:pPr>
    <w:rPr>
      <w:i/>
    </w:rPr>
  </w:style>
  <w:style w:type="paragraph" w:customStyle="1" w:styleId="MiniTOCTitle">
    <w:name w:val="MiniTOCTitle"/>
    <w:basedOn w:val="Heading4"/>
    <w:rsid w:val="00A74630"/>
    <w:pPr>
      <w:spacing w:before="240"/>
      <w:outlineLvl w:val="9"/>
    </w:pPr>
    <w:rPr>
      <w:noProof/>
      <w:sz w:val="24"/>
    </w:rPr>
  </w:style>
  <w:style w:type="paragraph" w:customStyle="1" w:styleId="MiniTOCItem">
    <w:name w:val="MiniTOCItem"/>
    <w:basedOn w:val="ListBullet"/>
    <w:rsid w:val="00A74630"/>
    <w:pPr>
      <w:numPr>
        <w:numId w:val="0"/>
      </w:numPr>
      <w:tabs>
        <w:tab w:val="right" w:leader="dot" w:pos="6521"/>
      </w:tabs>
      <w:spacing w:before="0" w:after="0"/>
    </w:pPr>
  </w:style>
  <w:style w:type="paragraph" w:customStyle="1" w:styleId="TOFTitle">
    <w:name w:val="TOFTitle"/>
    <w:basedOn w:val="TOCTitle"/>
    <w:rsid w:val="00A74630"/>
  </w:style>
  <w:style w:type="paragraph" w:styleId="TableofFigures">
    <w:name w:val="table of figures"/>
    <w:basedOn w:val="Normal"/>
    <w:next w:val="Normal"/>
    <w:semiHidden/>
    <w:rsid w:val="00A74630"/>
    <w:pPr>
      <w:tabs>
        <w:tab w:val="right" w:leader="dot" w:pos="9072"/>
      </w:tabs>
      <w:ind w:left="970" w:hanging="403"/>
    </w:pPr>
    <w:rPr>
      <w:rFonts w:ascii="Times New Roman" w:hAnsi="Times New Roman"/>
      <w:b/>
    </w:rPr>
  </w:style>
  <w:style w:type="paragraph" w:styleId="ListNumber">
    <w:name w:val="List Number"/>
    <w:basedOn w:val="List"/>
    <w:rsid w:val="00A74630"/>
    <w:pPr>
      <w:numPr>
        <w:numId w:val="15"/>
      </w:numPr>
      <w:tabs>
        <w:tab w:val="clear" w:pos="340"/>
      </w:tabs>
    </w:pPr>
  </w:style>
  <w:style w:type="character" w:customStyle="1" w:styleId="WingdingSymbols">
    <w:name w:val="Wingding Symbols"/>
    <w:rsid w:val="00A74630"/>
    <w:rPr>
      <w:rFonts w:ascii="Wingdings" w:hAnsi="Wingdings"/>
    </w:rPr>
  </w:style>
  <w:style w:type="paragraph" w:customStyle="1" w:styleId="TableHeading">
    <w:name w:val="Table Heading"/>
    <w:basedOn w:val="HeadingBase"/>
    <w:rsid w:val="00A74630"/>
    <w:pPr>
      <w:keepLines/>
      <w:pBdr>
        <w:bottom w:val="single" w:sz="6" w:space="1" w:color="918585"/>
      </w:pBdr>
      <w:spacing w:before="240"/>
    </w:pPr>
  </w:style>
  <w:style w:type="character" w:customStyle="1" w:styleId="HotSpot">
    <w:name w:val="HotSpot"/>
    <w:rsid w:val="00A74630"/>
    <w:rPr>
      <w:color w:val="0033CC"/>
      <w:u w:val="none"/>
    </w:rPr>
  </w:style>
  <w:style w:type="paragraph" w:customStyle="1" w:styleId="BodyTextRight">
    <w:name w:val="Body Text Right"/>
    <w:basedOn w:val="BodyText"/>
    <w:rsid w:val="00A74630"/>
    <w:pPr>
      <w:spacing w:before="0" w:after="0"/>
      <w:jc w:val="right"/>
    </w:pPr>
  </w:style>
  <w:style w:type="paragraph" w:styleId="Index3">
    <w:name w:val="index 3"/>
    <w:basedOn w:val="ListNumber2"/>
    <w:next w:val="Normal"/>
    <w:semiHidden/>
    <w:rsid w:val="00A74630"/>
    <w:pPr>
      <w:numPr>
        <w:numId w:val="0"/>
      </w:numPr>
      <w:tabs>
        <w:tab w:val="right" w:leader="dot" w:pos="4176"/>
      </w:tabs>
    </w:pPr>
  </w:style>
  <w:style w:type="paragraph" w:styleId="ListNumber2">
    <w:name w:val="List Number 2"/>
    <w:basedOn w:val="List2"/>
    <w:rsid w:val="00A74630"/>
    <w:pPr>
      <w:numPr>
        <w:numId w:val="10"/>
      </w:numPr>
      <w:tabs>
        <w:tab w:val="clear" w:pos="1060"/>
      </w:tabs>
    </w:pPr>
  </w:style>
  <w:style w:type="paragraph" w:customStyle="1" w:styleId="MarginNote">
    <w:name w:val="Margin Note"/>
    <w:basedOn w:val="BodyText"/>
    <w:rsid w:val="00A74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630"/>
    <w:rPr>
      <w:sz w:val="32"/>
    </w:rPr>
  </w:style>
  <w:style w:type="paragraph" w:customStyle="1" w:styleId="HeadingProcedure">
    <w:name w:val="Heading Procedure"/>
    <w:basedOn w:val="HeadingBase"/>
    <w:next w:val="Normal"/>
    <w:rsid w:val="00A74630"/>
    <w:pPr>
      <w:tabs>
        <w:tab w:val="left" w:pos="0"/>
      </w:tabs>
      <w:spacing w:before="120" w:after="60"/>
    </w:pPr>
    <w:rPr>
      <w:i/>
      <w:color w:val="918585"/>
      <w:sz w:val="22"/>
    </w:rPr>
  </w:style>
  <w:style w:type="paragraph" w:customStyle="1" w:styleId="TableBodyText">
    <w:name w:val="Table Body Text"/>
    <w:basedOn w:val="BodyText"/>
    <w:rsid w:val="00A74630"/>
    <w:pPr>
      <w:spacing w:before="60" w:after="60"/>
    </w:pPr>
  </w:style>
  <w:style w:type="paragraph" w:styleId="ListContinue">
    <w:name w:val="List Continue"/>
    <w:basedOn w:val="List"/>
    <w:rsid w:val="00A74630"/>
    <w:pPr>
      <w:ind w:firstLine="0"/>
    </w:pPr>
  </w:style>
  <w:style w:type="paragraph" w:customStyle="1" w:styleId="ListNote">
    <w:name w:val="List Note"/>
    <w:basedOn w:val="List"/>
    <w:rsid w:val="00A74630"/>
    <w:pPr>
      <w:pBdr>
        <w:top w:val="single" w:sz="6" w:space="2" w:color="918585"/>
        <w:bottom w:val="single" w:sz="6" w:space="2" w:color="918585"/>
      </w:pBdr>
      <w:tabs>
        <w:tab w:val="left" w:pos="1021"/>
      </w:tabs>
      <w:ind w:firstLine="0"/>
    </w:pPr>
  </w:style>
  <w:style w:type="paragraph" w:customStyle="1" w:styleId="Warning">
    <w:name w:val="Warning"/>
    <w:basedOn w:val="BodyText"/>
    <w:rsid w:val="00A74630"/>
    <w:pPr>
      <w:shd w:val="clear" w:color="auto" w:fill="D9D9D9"/>
      <w:tabs>
        <w:tab w:val="left" w:pos="992"/>
      </w:tabs>
      <w:ind w:left="119" w:right="119"/>
    </w:pPr>
    <w:rPr>
      <w:sz w:val="20"/>
    </w:rPr>
  </w:style>
  <w:style w:type="paragraph" w:customStyle="1" w:styleId="MarginIcons">
    <w:name w:val="Margin Icons"/>
    <w:basedOn w:val="BodyText"/>
    <w:rsid w:val="00A74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630"/>
    <w:rPr>
      <w:rFonts w:ascii="Courier New" w:hAnsi="Courier New"/>
    </w:rPr>
  </w:style>
  <w:style w:type="paragraph" w:customStyle="1" w:styleId="NoteBullet">
    <w:name w:val="Note Bullet"/>
    <w:basedOn w:val="Note"/>
    <w:rsid w:val="00A74630"/>
    <w:pPr>
      <w:tabs>
        <w:tab w:val="clear" w:pos="680"/>
      </w:tabs>
      <w:spacing w:before="60" w:after="60"/>
    </w:pPr>
  </w:style>
  <w:style w:type="paragraph" w:customStyle="1" w:styleId="SubHeading2">
    <w:name w:val="SubHeading2"/>
    <w:basedOn w:val="HeadingBase"/>
    <w:rsid w:val="00A74630"/>
    <w:pPr>
      <w:spacing w:before="240" w:after="60"/>
    </w:pPr>
    <w:rPr>
      <w:sz w:val="20"/>
    </w:rPr>
  </w:style>
  <w:style w:type="paragraph" w:customStyle="1" w:styleId="SubHeading1">
    <w:name w:val="SubHeading1"/>
    <w:basedOn w:val="HeadingBase"/>
    <w:rsid w:val="00A74630"/>
    <w:pPr>
      <w:spacing w:before="240" w:after="60"/>
    </w:pPr>
    <w:rPr>
      <w:color w:val="918585"/>
      <w:sz w:val="22"/>
    </w:rPr>
  </w:style>
  <w:style w:type="paragraph" w:customStyle="1" w:styleId="SideHeading">
    <w:name w:val="Side Heading"/>
    <w:basedOn w:val="HeadingBase"/>
    <w:rsid w:val="00A74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630"/>
    <w:pPr>
      <w:tabs>
        <w:tab w:val="num" w:pos="360"/>
      </w:tabs>
    </w:pPr>
  </w:style>
  <w:style w:type="paragraph" w:styleId="PlainText">
    <w:name w:val="Plain Text"/>
    <w:basedOn w:val="Normal"/>
    <w:link w:val="PlainTextChar"/>
    <w:rsid w:val="00A74630"/>
    <w:rPr>
      <w:sz w:val="20"/>
    </w:rPr>
  </w:style>
  <w:style w:type="character" w:customStyle="1" w:styleId="PlainTextChar">
    <w:name w:val="Plain Text Char"/>
    <w:basedOn w:val="DefaultParagraphFont"/>
    <w:link w:val="PlainText"/>
    <w:rsid w:val="00A74630"/>
    <w:rPr>
      <w:rFonts w:ascii="Courier New" w:eastAsia="Times New Roman" w:hAnsi="Courier New" w:cs="Times New Roman"/>
      <w:sz w:val="20"/>
      <w:szCs w:val="20"/>
      <w:lang w:eastAsia="en-US"/>
    </w:rPr>
  </w:style>
  <w:style w:type="character" w:customStyle="1" w:styleId="MenuOption">
    <w:name w:val="Menu Option"/>
    <w:basedOn w:val="DefaultParagraphFont"/>
    <w:rsid w:val="00A74630"/>
    <w:rPr>
      <w:b/>
      <w:smallCaps/>
    </w:rPr>
  </w:style>
  <w:style w:type="paragraph" w:customStyle="1" w:styleId="TableListNumber">
    <w:name w:val="Table List Number"/>
    <w:basedOn w:val="ListNumber"/>
    <w:rsid w:val="00A74630"/>
    <w:pPr>
      <w:numPr>
        <w:numId w:val="0"/>
      </w:numPr>
    </w:pPr>
  </w:style>
  <w:style w:type="paragraph" w:styleId="TOC4">
    <w:name w:val="toc 4"/>
    <w:basedOn w:val="TOCBase"/>
    <w:next w:val="Normal"/>
    <w:semiHidden/>
    <w:rsid w:val="00A74630"/>
    <w:pPr>
      <w:tabs>
        <w:tab w:val="right" w:leader="dot" w:pos="9071"/>
      </w:tabs>
      <w:ind w:left="1701"/>
    </w:pPr>
  </w:style>
  <w:style w:type="paragraph" w:customStyle="1" w:styleId="ListAlpha">
    <w:name w:val="List Alpha"/>
    <w:basedOn w:val="List"/>
    <w:rsid w:val="00A74630"/>
    <w:pPr>
      <w:numPr>
        <w:numId w:val="9"/>
      </w:numPr>
    </w:pPr>
  </w:style>
  <w:style w:type="paragraph" w:customStyle="1" w:styleId="ListAlpha2">
    <w:name w:val="List Alpha 2"/>
    <w:basedOn w:val="List2"/>
    <w:rsid w:val="00A74630"/>
    <w:pPr>
      <w:numPr>
        <w:numId w:val="8"/>
      </w:numPr>
    </w:pPr>
  </w:style>
  <w:style w:type="paragraph" w:styleId="List2">
    <w:name w:val="List 2"/>
    <w:basedOn w:val="BodyText"/>
    <w:rsid w:val="00A74630"/>
    <w:pPr>
      <w:tabs>
        <w:tab w:val="left" w:pos="680"/>
      </w:tabs>
      <w:spacing w:before="60" w:after="60"/>
      <w:ind w:left="680" w:hanging="340"/>
    </w:pPr>
  </w:style>
  <w:style w:type="paragraph" w:styleId="List3">
    <w:name w:val="List 3"/>
    <w:basedOn w:val="BodyText"/>
    <w:rsid w:val="00A74630"/>
    <w:pPr>
      <w:tabs>
        <w:tab w:val="left" w:pos="1021"/>
      </w:tabs>
      <w:spacing w:before="60" w:after="60"/>
      <w:ind w:left="1020" w:hanging="340"/>
    </w:pPr>
  </w:style>
  <w:style w:type="paragraph" w:styleId="List4">
    <w:name w:val="List 4"/>
    <w:basedOn w:val="BodyText"/>
    <w:rsid w:val="00A74630"/>
    <w:pPr>
      <w:tabs>
        <w:tab w:val="left" w:pos="1361"/>
      </w:tabs>
      <w:spacing w:before="60" w:after="60"/>
      <w:ind w:left="1361" w:hanging="340"/>
    </w:pPr>
  </w:style>
  <w:style w:type="paragraph" w:styleId="List5">
    <w:name w:val="List 5"/>
    <w:basedOn w:val="BodyText"/>
    <w:rsid w:val="00A74630"/>
    <w:pPr>
      <w:tabs>
        <w:tab w:val="left" w:pos="1701"/>
      </w:tabs>
      <w:spacing w:before="60" w:after="60"/>
      <w:ind w:left="1701" w:hanging="340"/>
    </w:pPr>
  </w:style>
  <w:style w:type="paragraph" w:styleId="ListBullet3">
    <w:name w:val="List Bullet 3"/>
    <w:basedOn w:val="List3"/>
    <w:rsid w:val="00A74630"/>
    <w:pPr>
      <w:numPr>
        <w:numId w:val="14"/>
      </w:numPr>
      <w:tabs>
        <w:tab w:val="clear" w:pos="1021"/>
      </w:tabs>
      <w:ind w:left="1037" w:hanging="357"/>
    </w:pPr>
  </w:style>
  <w:style w:type="paragraph" w:styleId="ListBullet4">
    <w:name w:val="List Bullet 4"/>
    <w:basedOn w:val="List4"/>
    <w:rsid w:val="00A74630"/>
    <w:pPr>
      <w:numPr>
        <w:numId w:val="3"/>
      </w:numPr>
      <w:tabs>
        <w:tab w:val="clear" w:pos="1361"/>
      </w:tabs>
    </w:pPr>
  </w:style>
  <w:style w:type="paragraph" w:styleId="ListBullet5">
    <w:name w:val="List Bullet 5"/>
    <w:basedOn w:val="List5"/>
    <w:rsid w:val="00A74630"/>
    <w:pPr>
      <w:numPr>
        <w:numId w:val="4"/>
      </w:numPr>
    </w:pPr>
  </w:style>
  <w:style w:type="paragraph" w:styleId="ListContinue2">
    <w:name w:val="List Continue 2"/>
    <w:basedOn w:val="List2"/>
    <w:rsid w:val="00A74630"/>
    <w:pPr>
      <w:ind w:firstLine="0"/>
    </w:pPr>
  </w:style>
  <w:style w:type="paragraph" w:styleId="ListContinue3">
    <w:name w:val="List Continue 3"/>
    <w:basedOn w:val="List3"/>
    <w:rsid w:val="00A74630"/>
    <w:pPr>
      <w:ind w:left="1021" w:firstLine="0"/>
    </w:pPr>
  </w:style>
  <w:style w:type="paragraph" w:styleId="ListContinue4">
    <w:name w:val="List Continue 4"/>
    <w:basedOn w:val="List4"/>
    <w:rsid w:val="00A74630"/>
    <w:pPr>
      <w:ind w:firstLine="0"/>
    </w:pPr>
  </w:style>
  <w:style w:type="paragraph" w:styleId="ListContinue5">
    <w:name w:val="List Continue 5"/>
    <w:basedOn w:val="List5"/>
    <w:rsid w:val="00A74630"/>
    <w:pPr>
      <w:ind w:firstLine="0"/>
    </w:pPr>
  </w:style>
  <w:style w:type="paragraph" w:styleId="ListNumber3">
    <w:name w:val="List Number 3"/>
    <w:basedOn w:val="List3"/>
    <w:rsid w:val="00A74630"/>
    <w:pPr>
      <w:numPr>
        <w:numId w:val="5"/>
      </w:numPr>
    </w:pPr>
  </w:style>
  <w:style w:type="paragraph" w:styleId="ListNumber4">
    <w:name w:val="List Number 4"/>
    <w:basedOn w:val="List4"/>
    <w:rsid w:val="00A74630"/>
    <w:pPr>
      <w:numPr>
        <w:numId w:val="6"/>
      </w:numPr>
    </w:pPr>
  </w:style>
  <w:style w:type="paragraph" w:styleId="ListNumber5">
    <w:name w:val="List Number 5"/>
    <w:basedOn w:val="List5"/>
    <w:rsid w:val="00A74630"/>
    <w:pPr>
      <w:numPr>
        <w:numId w:val="7"/>
      </w:numPr>
    </w:pPr>
  </w:style>
  <w:style w:type="paragraph" w:styleId="BlockText">
    <w:name w:val="Block Text"/>
    <w:basedOn w:val="Normal"/>
    <w:rsid w:val="00A74630"/>
    <w:pPr>
      <w:spacing w:after="120"/>
      <w:ind w:left="1440" w:right="1440"/>
    </w:pPr>
  </w:style>
  <w:style w:type="character" w:customStyle="1" w:styleId="Subscript">
    <w:name w:val="Subscript"/>
    <w:basedOn w:val="DefaultParagraphFont"/>
    <w:rsid w:val="00A74630"/>
    <w:rPr>
      <w:sz w:val="16"/>
      <w:vertAlign w:val="subscript"/>
    </w:rPr>
  </w:style>
  <w:style w:type="character" w:customStyle="1" w:styleId="Superscript">
    <w:name w:val="Superscript"/>
    <w:basedOn w:val="DefaultParagraphFont"/>
    <w:rsid w:val="00A74630"/>
    <w:rPr>
      <w:sz w:val="16"/>
      <w:vertAlign w:val="superscript"/>
    </w:rPr>
  </w:style>
  <w:style w:type="character" w:customStyle="1" w:styleId="Symbols">
    <w:name w:val="Symbols"/>
    <w:basedOn w:val="DefaultParagraphFont"/>
    <w:rsid w:val="00A74630"/>
    <w:rPr>
      <w:rFonts w:ascii="Symbol" w:hAnsi="Symbol"/>
    </w:rPr>
  </w:style>
  <w:style w:type="character" w:customStyle="1" w:styleId="MenuOptions">
    <w:name w:val="Menu Options"/>
    <w:basedOn w:val="DefaultParagraphFont"/>
    <w:rsid w:val="00A74630"/>
    <w:rPr>
      <w:rFonts w:ascii="Arial Narrow" w:hAnsi="Arial Narrow"/>
      <w:smallCaps/>
    </w:rPr>
  </w:style>
  <w:style w:type="character" w:customStyle="1" w:styleId="Buttons">
    <w:name w:val="Buttons"/>
    <w:basedOn w:val="DefaultParagraphFont"/>
    <w:rsid w:val="00A74630"/>
    <w:rPr>
      <w:b/>
    </w:rPr>
  </w:style>
  <w:style w:type="character" w:customStyle="1" w:styleId="Underlined">
    <w:name w:val="Underlined"/>
    <w:basedOn w:val="DefaultParagraphFont"/>
    <w:rsid w:val="00A74630"/>
    <w:rPr>
      <w:u w:val="single"/>
    </w:rPr>
  </w:style>
  <w:style w:type="paragraph" w:customStyle="1" w:styleId="TableBodyTextRight">
    <w:name w:val="Table Body Text Right"/>
    <w:basedOn w:val="TableBodyText"/>
    <w:rsid w:val="00A74630"/>
    <w:pPr>
      <w:widowControl w:val="0"/>
      <w:autoSpaceDE w:val="0"/>
      <w:autoSpaceDN w:val="0"/>
      <w:adjustRightInd w:val="0"/>
      <w:jc w:val="right"/>
    </w:pPr>
    <w:rPr>
      <w:rFonts w:cs="Arial"/>
      <w:szCs w:val="18"/>
    </w:rPr>
  </w:style>
  <w:style w:type="paragraph" w:customStyle="1" w:styleId="CopyrightText">
    <w:name w:val="Copyright Text"/>
    <w:basedOn w:val="BodyText"/>
    <w:rsid w:val="00A74630"/>
    <w:rPr>
      <w:sz w:val="18"/>
    </w:rPr>
  </w:style>
  <w:style w:type="paragraph" w:customStyle="1" w:styleId="BodySmallRight">
    <w:name w:val="Body Small Right"/>
    <w:basedOn w:val="BodyTextRight"/>
    <w:rsid w:val="00A74630"/>
    <w:rPr>
      <w:sz w:val="18"/>
      <w:szCs w:val="18"/>
    </w:rPr>
  </w:style>
  <w:style w:type="paragraph" w:customStyle="1" w:styleId="MarginEdition">
    <w:name w:val="Margin Edition"/>
    <w:basedOn w:val="MarginNote"/>
    <w:rsid w:val="00A74630"/>
    <w:pPr>
      <w:spacing w:before="0" w:after="0"/>
    </w:pPr>
    <w:rPr>
      <w:rFonts w:ascii="Times New Roman" w:hAnsi="Times New Roman"/>
      <w:color w:val="999999"/>
    </w:rPr>
  </w:style>
  <w:style w:type="paragraph" w:customStyle="1" w:styleId="Spacer">
    <w:name w:val="Spacer"/>
    <w:basedOn w:val="Normal"/>
    <w:rsid w:val="00A74630"/>
    <w:rPr>
      <w:sz w:val="2"/>
      <w:szCs w:val="2"/>
    </w:rPr>
  </w:style>
  <w:style w:type="character" w:customStyle="1" w:styleId="Small">
    <w:name w:val="Small"/>
    <w:basedOn w:val="DefaultParagraphFont"/>
    <w:rsid w:val="00A74630"/>
    <w:rPr>
      <w:sz w:val="16"/>
    </w:rPr>
  </w:style>
  <w:style w:type="paragraph" w:customStyle="1" w:styleId="WideTable">
    <w:name w:val="Wide Table"/>
    <w:basedOn w:val="Normal"/>
    <w:rsid w:val="00A74630"/>
    <w:pPr>
      <w:ind w:left="-1418"/>
    </w:pPr>
    <w:rPr>
      <w:sz w:val="2"/>
      <w:szCs w:val="2"/>
    </w:rPr>
  </w:style>
  <w:style w:type="character" w:styleId="PageNumber">
    <w:name w:val="page number"/>
    <w:basedOn w:val="DefaultParagraphFont"/>
    <w:rsid w:val="00A74630"/>
  </w:style>
  <w:style w:type="paragraph" w:styleId="Quote">
    <w:name w:val="Quote"/>
    <w:basedOn w:val="Heading1"/>
    <w:link w:val="QuoteChar"/>
    <w:qFormat/>
    <w:rsid w:val="00A74630"/>
    <w:rPr>
      <w:b w:val="0"/>
      <w:sz w:val="72"/>
      <w:szCs w:val="72"/>
      <w:lang w:val="en-NZ"/>
    </w:rPr>
  </w:style>
  <w:style w:type="character" w:customStyle="1" w:styleId="QuoteChar">
    <w:name w:val="Quote Char"/>
    <w:basedOn w:val="DefaultParagraphFont"/>
    <w:link w:val="Quote"/>
    <w:rsid w:val="00A74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630"/>
    <w:pPr>
      <w:pageBreakBefore/>
    </w:pPr>
  </w:style>
  <w:style w:type="paragraph" w:customStyle="1" w:styleId="Border">
    <w:name w:val="Border"/>
    <w:basedOn w:val="Normal"/>
    <w:qFormat/>
    <w:rsid w:val="00A74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630"/>
    <w:rPr>
      <w:b/>
      <w:bCs/>
      <w:i/>
      <w:iCs/>
      <w:color w:val="auto"/>
    </w:rPr>
  </w:style>
  <w:style w:type="paragraph" w:styleId="IntenseQuote">
    <w:name w:val="Intense Quote"/>
    <w:basedOn w:val="Normal"/>
    <w:next w:val="Normal"/>
    <w:link w:val="IntenseQuoteChar"/>
    <w:uiPriority w:val="30"/>
    <w:qFormat/>
    <w:rsid w:val="00A74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630"/>
    <w:rPr>
      <w:smallCaps/>
      <w:color w:val="auto"/>
      <w:u w:val="single"/>
    </w:rPr>
  </w:style>
  <w:style w:type="character" w:styleId="IntenseReference">
    <w:name w:val="Intense Reference"/>
    <w:basedOn w:val="DefaultParagraphFont"/>
    <w:uiPriority w:val="32"/>
    <w:qFormat/>
    <w:rsid w:val="00A74630"/>
    <w:rPr>
      <w:b/>
      <w:bCs/>
      <w:smallCaps/>
      <w:color w:val="auto"/>
      <w:spacing w:val="5"/>
      <w:u w:val="single"/>
    </w:rPr>
  </w:style>
  <w:style w:type="paragraph" w:customStyle="1" w:styleId="2ColumnHeading">
    <w:name w:val="2Column Heading"/>
    <w:basedOn w:val="BodyText"/>
    <w:qFormat/>
    <w:rsid w:val="00A74630"/>
    <w:pPr>
      <w:spacing w:after="60"/>
      <w:ind w:left="-2268"/>
    </w:pPr>
    <w:rPr>
      <w:b/>
    </w:rPr>
  </w:style>
  <w:style w:type="paragraph" w:customStyle="1" w:styleId="Heading1TOC">
    <w:name w:val="Heading1 TOC"/>
    <w:basedOn w:val="Normal"/>
    <w:qFormat/>
    <w:rsid w:val="00A74630"/>
    <w:pPr>
      <w:spacing w:before="240" w:after="120"/>
    </w:pPr>
    <w:rPr>
      <w:rFonts w:ascii="Times New Roman" w:hAnsi="Times New Roman"/>
      <w:b/>
      <w:sz w:val="32"/>
    </w:rPr>
  </w:style>
  <w:style w:type="paragraph" w:customStyle="1" w:styleId="Heading2TOC">
    <w:name w:val="Heading2 TOC"/>
    <w:basedOn w:val="Normal"/>
    <w:qFormat/>
    <w:rsid w:val="00A74630"/>
    <w:pPr>
      <w:spacing w:before="240" w:after="60"/>
    </w:pPr>
    <w:rPr>
      <w:rFonts w:ascii="Times New Roman" w:hAnsi="Times New Roman"/>
      <w:b/>
      <w:sz w:val="28"/>
    </w:rPr>
  </w:style>
  <w:style w:type="character" w:customStyle="1" w:styleId="Underline">
    <w:name w:val="Underline"/>
    <w:basedOn w:val="DefaultParagraphFont"/>
    <w:qFormat/>
    <w:rsid w:val="00A74630"/>
    <w:rPr>
      <w:u w:val="single"/>
    </w:rPr>
  </w:style>
  <w:style w:type="character" w:customStyle="1" w:styleId="BoldandItalics">
    <w:name w:val="Bold and Italics"/>
    <w:qFormat/>
    <w:rsid w:val="00A74630"/>
    <w:rPr>
      <w:b/>
      <w:i/>
      <w:u w:val="none"/>
    </w:rPr>
  </w:style>
  <w:style w:type="paragraph" w:styleId="BalloonText">
    <w:name w:val="Balloon Text"/>
    <w:basedOn w:val="Normal"/>
    <w:link w:val="BalloonTextChar"/>
    <w:rsid w:val="00A74630"/>
    <w:rPr>
      <w:rFonts w:ascii="Tahoma" w:hAnsi="Tahoma" w:cs="Tahoma"/>
      <w:sz w:val="16"/>
      <w:szCs w:val="16"/>
    </w:rPr>
  </w:style>
  <w:style w:type="character" w:customStyle="1" w:styleId="BalloonTextChar">
    <w:name w:val="Balloon Text Char"/>
    <w:basedOn w:val="DefaultParagraphFont"/>
    <w:link w:val="BalloonText"/>
    <w:rsid w:val="00A74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6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630"/>
    <w:rPr>
      <w:b/>
      <w:color w:val="660033"/>
      <w:spacing w:val="0"/>
    </w:rPr>
  </w:style>
  <w:style w:type="paragraph" w:customStyle="1" w:styleId="Nameditemlist">
    <w:name w:val="Named item list"/>
    <w:basedOn w:val="BodyText"/>
    <w:qFormat/>
    <w:rsid w:val="00A74630"/>
    <w:pPr>
      <w:tabs>
        <w:tab w:val="left" w:pos="2835"/>
      </w:tabs>
      <w:ind w:left="2835" w:hanging="2835"/>
    </w:pPr>
  </w:style>
  <w:style w:type="paragraph" w:customStyle="1" w:styleId="BodyTextnopadding">
    <w:name w:val="Body Text no padding"/>
    <w:basedOn w:val="BodyText"/>
    <w:qFormat/>
    <w:rsid w:val="00A74630"/>
    <w:pPr>
      <w:spacing w:before="0" w:after="0"/>
    </w:pPr>
  </w:style>
  <w:style w:type="paragraph" w:customStyle="1" w:styleId="BodyTextBold">
    <w:name w:val="Body Text Bold"/>
    <w:basedOn w:val="BodyText"/>
    <w:qFormat/>
    <w:rsid w:val="00A74630"/>
    <w:rPr>
      <w:b/>
    </w:rPr>
  </w:style>
  <w:style w:type="character" w:styleId="Hyperlink">
    <w:name w:val="Hyperlink"/>
    <w:basedOn w:val="DefaultParagraphFont"/>
    <w:uiPriority w:val="99"/>
    <w:unhideWhenUsed/>
    <w:rsid w:val="00D21A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9283</Characters>
  <Application>Microsoft Office Word</Application>
  <DocSecurity>0</DocSecurity>
  <Lines>331</Lines>
  <Paragraphs>175</Paragraphs>
  <ScaleCrop>false</ScaleCrop>
  <Company>Author-it Software Corporation Ltd.</Company>
  <LinksUpToDate>false</LinksUpToDate>
  <CharactersWithSpaces>10505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UEPOPS053 Manage operational crisis to maintain or restore power system integrity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