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B0A1E" w:rsidP="00BB0A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UEPOPS053 Manage operational crisis to maintain or restore power system integrity</w:t>
      </w:r>
      <w:r>
        <w:fldChar w:fldCharType="end"/>
      </w:r>
    </w:p>
    <w:p w:rsidR="00BB0A1E" w:rsidP="00BB0A1E">
      <w:pPr>
        <w:pStyle w:val="Version"/>
        <w:sectPr w:rsidSect="000417A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17AA" w:rsidP="000417AA">
      <w:pPr>
        <w:pStyle w:val="SuperHeading"/>
      </w:pPr>
      <w:r w:rsidRPr="000417AA">
        <w:t>Assessment Requirements for UEPOPS053 Manage operational crisis to maintain or restore power system integrity</w:t>
      </w:r>
    </w:p>
    <w:p w:rsidR="00000000" w:rsidRPr="000417AA" w:rsidP="000417AA">
      <w:pPr>
        <w:pStyle w:val="Heading1"/>
      </w:pPr>
      <w:bookmarkStart w:id="1" w:name="O_1191574"/>
      <w:bookmarkEnd w:id="1"/>
      <w:r w:rsidRPr="000417A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AA" w:rsidP="000417AA">
            <w:pPr>
              <w:pStyle w:val="BodyText"/>
            </w:pPr>
            <w:r w:rsidRPr="000417AA">
              <w:t>Release 1. This is the first release of this unit of competency in the UEP Electricity Supply Industry - Generation Sector Training Package Release 2.0.</w:t>
            </w:r>
          </w:p>
        </w:tc>
      </w:tr>
    </w:tbl>
    <w:p w:rsidR="00000000" w:rsidRPr="000417AA" w:rsidP="000417AA">
      <w:pPr>
        <w:pStyle w:val="NoPaddingFontSize1"/>
      </w:pPr>
    </w:p>
    <w:p w:rsidR="00000000" w:rsidRPr="000417AA" w:rsidP="000417AA">
      <w:pPr>
        <w:pStyle w:val="AllowPageBreak"/>
      </w:pPr>
    </w:p>
    <w:p w:rsidR="00000000" w:rsidRPr="000417AA" w:rsidP="000417AA">
      <w:pPr>
        <w:pStyle w:val="Heading1"/>
      </w:pPr>
      <w:bookmarkStart w:id="2" w:name="O_1191575"/>
      <w:bookmarkEnd w:id="2"/>
      <w:r w:rsidRPr="000417A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AA">
            <w:pPr>
              <w:pStyle w:val="BodyText"/>
              <w:rPr>
                <w:lang w:val="en-NZ"/>
              </w:rPr>
            </w:pPr>
            <w:r w:rsidRPr="000417AA">
              <w:t>Evidence required to demonstrate competence in this unit must</w:t>
            </w:r>
            <w:r w:rsidRPr="000417AA">
              <w:t xml:space="preserve"> be relevant to and satisfy all the requirements of the elements and performance criteria on at least two separate occasions and include:</w:t>
            </w:r>
          </w:p>
        </w:tc>
      </w:tr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AA" w:rsidP="000417AA">
            <w:pPr>
              <w:pStyle w:val="ListBullet"/>
            </w:pPr>
            <w:r w:rsidRPr="000417AA">
              <w:t>applying work health and safety (WHS)/occupational health and safety (OHS) requirements, including:</w:t>
            </w:r>
          </w:p>
          <w:p w:rsidR="00000000" w:rsidRPr="000417AA" w:rsidP="000417AA">
            <w:pPr>
              <w:pStyle w:val="ListBullet2"/>
            </w:pPr>
            <w:r w:rsidRPr="000417AA">
              <w:t>emergency proce</w:t>
            </w:r>
            <w:r w:rsidRPr="000417AA">
              <w:t>dures and techniques</w:t>
            </w:r>
          </w:p>
          <w:p w:rsidR="00000000" w:rsidRPr="000417AA" w:rsidP="000417AA">
            <w:pPr>
              <w:pStyle w:val="ListBullet2"/>
            </w:pPr>
            <w:r w:rsidRPr="000417AA">
              <w:t>safe working practices</w:t>
            </w:r>
          </w:p>
          <w:p w:rsidR="00000000" w:rsidRPr="000417AA" w:rsidP="000417AA">
            <w:pPr>
              <w:pStyle w:val="ListBullet2"/>
            </w:pPr>
            <w:r w:rsidRPr="000417AA">
              <w:t>site safety procedures</w:t>
            </w:r>
          </w:p>
          <w:p w:rsidR="00000000" w:rsidRPr="000417AA" w:rsidP="000417AA">
            <w:pPr>
              <w:pStyle w:val="ListBullet"/>
            </w:pPr>
            <w:r w:rsidRPr="000417AA">
              <w:t>communicating with personnel during a crisis event</w:t>
            </w:r>
          </w:p>
          <w:p w:rsidR="00000000" w:rsidRPr="000417AA" w:rsidP="000417AA">
            <w:pPr>
              <w:pStyle w:val="ListBullet"/>
            </w:pPr>
            <w:r w:rsidRPr="000417AA">
              <w:t>controlling crisis emergency situations</w:t>
            </w:r>
          </w:p>
          <w:p w:rsidR="00000000" w:rsidRPr="000417AA" w:rsidP="000417AA">
            <w:pPr>
              <w:pStyle w:val="ListBullet"/>
            </w:pPr>
            <w:r w:rsidRPr="000417AA">
              <w:t>detecting plant status, including interpreting remote indication of plant status and condition</w:t>
            </w:r>
          </w:p>
          <w:p w:rsidR="00000000" w:rsidRPr="000417AA" w:rsidP="000417AA">
            <w:pPr>
              <w:pStyle w:val="ListBullet"/>
            </w:pPr>
            <w:r w:rsidRPr="000417AA">
              <w:t>determining corrective actions using data analysis techniques and tools</w:t>
            </w:r>
          </w:p>
          <w:p w:rsidR="00000000" w:rsidRPr="000417AA" w:rsidP="000417AA">
            <w:pPr>
              <w:pStyle w:val="ListBullet"/>
            </w:pPr>
            <w:r w:rsidRPr="000417AA">
              <w:t>documenting and reviewing crisis events and responses</w:t>
            </w:r>
          </w:p>
          <w:p w:rsidR="00000000" w:rsidRPr="000417AA" w:rsidP="000417AA">
            <w:pPr>
              <w:pStyle w:val="ListBullet"/>
            </w:pPr>
            <w:r w:rsidRPr="000417AA">
              <w:t>identifying crisis events</w:t>
            </w:r>
          </w:p>
          <w:p w:rsidR="00000000" w:rsidRPr="000417AA" w:rsidP="000417AA">
            <w:pPr>
              <w:pStyle w:val="ListBullet"/>
            </w:pPr>
            <w:r w:rsidRPr="000417AA">
              <w:t>implementing regulations, legislative requirements, codes of practice, manufacturers’ recommendations an</w:t>
            </w:r>
            <w:r w:rsidRPr="000417AA">
              <w:t>d specifications, and environmental requirements</w:t>
            </w:r>
          </w:p>
          <w:p w:rsidR="00000000" w:rsidRPr="000417AA" w:rsidP="000417AA">
            <w:pPr>
              <w:pStyle w:val="ListBullet"/>
            </w:pPr>
            <w:r w:rsidRPr="000417AA">
              <w:t>interpreting manuals</w:t>
            </w:r>
          </w:p>
          <w:p w:rsidR="00000000" w:rsidRPr="000417AA" w:rsidP="000417AA">
            <w:pPr>
              <w:pStyle w:val="ListBullet"/>
            </w:pPr>
            <w:r w:rsidRPr="000417AA">
              <w:t>instigating contingency and emergency response plans</w:t>
            </w:r>
          </w:p>
          <w:p w:rsidR="00000000" w:rsidRPr="000417AA" w:rsidP="000417AA">
            <w:pPr>
              <w:pStyle w:val="ListBullet"/>
            </w:pPr>
            <w:r w:rsidRPr="000417AA">
              <w:t>managing crisis, including oversight of personnel</w:t>
            </w:r>
          </w:p>
          <w:p w:rsidR="00000000" w:rsidRPr="000417AA" w:rsidP="000417AA">
            <w:pPr>
              <w:pStyle w:val="ListBullet"/>
            </w:pPr>
            <w:r w:rsidRPr="000417AA">
              <w:t>recognising abnormal plant operating conditions using diagnostic techniques</w:t>
            </w:r>
          </w:p>
          <w:p w:rsidR="00000000" w:rsidRPr="000417AA" w:rsidP="000417AA">
            <w:pPr>
              <w:pStyle w:val="ListBullet"/>
            </w:pPr>
            <w:r w:rsidRPr="000417AA">
              <w:t>respond</w:t>
            </w:r>
            <w:r w:rsidRPr="000417AA">
              <w:t>ing to stakeholder feedback</w:t>
            </w:r>
          </w:p>
          <w:p w:rsidR="00000000" w:rsidRPr="000417AA" w:rsidP="000417AA">
            <w:pPr>
              <w:pStyle w:val="ListBullet"/>
            </w:pPr>
            <w:r w:rsidRPr="000417AA">
              <w:t>utilising communication techniques and methods, including recording procedures</w:t>
            </w:r>
          </w:p>
          <w:p w:rsidR="00000000" w:rsidRPr="000417AA" w:rsidP="000417AA">
            <w:pPr>
              <w:pStyle w:val="ListBullet"/>
            </w:pPr>
            <w:r w:rsidRPr="000417AA">
              <w:t>working with and managing the risk management system.</w:t>
            </w:r>
          </w:p>
        </w:tc>
      </w:tr>
    </w:tbl>
    <w:p w:rsidR="00000000" w:rsidRPr="000417AA" w:rsidP="000417AA">
      <w:pPr>
        <w:pStyle w:val="NoPaddingFontSize1"/>
      </w:pPr>
    </w:p>
    <w:p w:rsidR="00000000" w:rsidRPr="000417AA" w:rsidP="000417AA">
      <w:pPr>
        <w:pStyle w:val="AllowPageBreak"/>
      </w:pPr>
    </w:p>
    <w:p w:rsidR="00000000" w:rsidRPr="000417AA" w:rsidP="000417AA">
      <w:pPr>
        <w:pStyle w:val="Heading1"/>
      </w:pPr>
      <w:bookmarkStart w:id="3" w:name="O_1191576"/>
      <w:bookmarkEnd w:id="3"/>
      <w:r w:rsidRPr="000417A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17AA">
            <w:pPr>
              <w:pStyle w:val="BodyText"/>
              <w:rPr>
                <w:lang w:val="en-NZ"/>
              </w:rPr>
            </w:pPr>
            <w:r w:rsidRPr="000417AA">
              <w:t>Evidence required to demonstrate competence in this unit must be relevant to and satisfy all the requirements of the elements and performance criteria and include knowledge of:</w:t>
            </w:r>
          </w:p>
        </w:tc>
      </w:tr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AA" w:rsidP="000417AA">
            <w:pPr>
              <w:pStyle w:val="ListBullet"/>
            </w:pPr>
            <w:r w:rsidRPr="000417AA">
              <w:t>arrangements of power production plant</w:t>
            </w:r>
          </w:p>
          <w:p w:rsidR="00000000" w:rsidRPr="000417AA" w:rsidP="000417AA">
            <w:pPr>
              <w:pStyle w:val="ListBullet"/>
            </w:pPr>
            <w:r w:rsidRPr="000417AA">
              <w:t>communication equipment, techniques an</w:t>
            </w:r>
            <w:r w:rsidRPr="000417AA">
              <w:t>d procedures</w:t>
            </w:r>
          </w:p>
          <w:p w:rsidR="00000000" w:rsidRPr="000417AA" w:rsidP="000417AA">
            <w:pPr>
              <w:pStyle w:val="ListBullet"/>
            </w:pPr>
            <w:r w:rsidRPr="000417AA">
              <w:t>contingency and emergency response plans</w:t>
            </w:r>
          </w:p>
          <w:p w:rsidR="00000000" w:rsidRPr="000417AA" w:rsidP="000417AA">
            <w:pPr>
              <w:pStyle w:val="ListBullet"/>
            </w:pPr>
            <w:r w:rsidRPr="000417AA">
              <w:t>control techniques and methods for crisis events</w:t>
            </w:r>
          </w:p>
          <w:p w:rsidR="00000000" w:rsidRPr="000417AA" w:rsidP="000417AA">
            <w:pPr>
              <w:pStyle w:val="ListBullet"/>
            </w:pPr>
            <w:r w:rsidRPr="000417AA">
              <w:t>manuals</w:t>
            </w:r>
          </w:p>
          <w:p w:rsidR="00000000" w:rsidRPr="000417AA" w:rsidP="000417AA">
            <w:pPr>
              <w:pStyle w:val="ListBullet"/>
            </w:pPr>
            <w:r w:rsidRPr="000417AA">
              <w:t>power generation plant and equipment, location and operating parameters</w:t>
            </w:r>
          </w:p>
          <w:p w:rsidR="00000000" w:rsidRPr="000417AA" w:rsidP="000417AA">
            <w:pPr>
              <w:pStyle w:val="ListBullet"/>
            </w:pPr>
            <w:r w:rsidRPr="000417AA">
              <w:t>power generation plant status</w:t>
            </w:r>
          </w:p>
          <w:p w:rsidR="00000000" w:rsidRPr="000417AA" w:rsidP="000417AA">
            <w:pPr>
              <w:pStyle w:val="ListBullet"/>
            </w:pPr>
            <w:r w:rsidRPr="000417AA">
              <w:t>regulations, legislative requirements, codes of practice, manufacturers’ recommendations and specifications, and environmental requirements</w:t>
            </w:r>
          </w:p>
          <w:p w:rsidR="00000000" w:rsidRPr="000417AA" w:rsidP="000417AA">
            <w:pPr>
              <w:pStyle w:val="ListBullet"/>
            </w:pPr>
            <w:r w:rsidRPr="000417AA">
              <w:t>risk management systems</w:t>
            </w:r>
          </w:p>
          <w:p w:rsidR="00000000" w:rsidRPr="000417AA" w:rsidP="000417AA">
            <w:pPr>
              <w:pStyle w:val="ListBullet"/>
            </w:pPr>
            <w:r w:rsidRPr="000417AA">
              <w:t>risk mitigation processes</w:t>
            </w:r>
          </w:p>
          <w:p w:rsidR="00000000" w:rsidRPr="000417AA" w:rsidP="000417AA">
            <w:pPr>
              <w:pStyle w:val="ListBullet"/>
            </w:pPr>
            <w:r w:rsidRPr="000417AA">
              <w:t>role of external authorities and agencies</w:t>
            </w:r>
          </w:p>
          <w:p w:rsidR="00000000" w:rsidRPr="000417AA" w:rsidP="000417AA">
            <w:pPr>
              <w:pStyle w:val="ListBullet"/>
            </w:pPr>
            <w:r w:rsidRPr="000417AA">
              <w:t xml:space="preserve">stakeholder liaison and </w:t>
            </w:r>
            <w:r w:rsidRPr="000417AA">
              <w:t>feedback</w:t>
            </w:r>
          </w:p>
          <w:p w:rsidR="00000000" w:rsidRPr="000417AA" w:rsidP="000417AA">
            <w:pPr>
              <w:pStyle w:val="ListBullet"/>
            </w:pPr>
            <w:r w:rsidRPr="000417AA">
              <w:t>stakeholder management techniques, including liaising with contractors and clients</w:t>
            </w:r>
          </w:p>
          <w:p w:rsidR="00000000" w:rsidRPr="000417AA" w:rsidP="000417AA">
            <w:pPr>
              <w:pStyle w:val="ListBullet"/>
            </w:pPr>
            <w:r w:rsidRPr="000417AA">
              <w:t>types of crises events</w:t>
            </w:r>
          </w:p>
          <w:p w:rsidR="00000000" w:rsidRPr="000417AA" w:rsidP="000417AA">
            <w:pPr>
              <w:pStyle w:val="ListBullet"/>
            </w:pPr>
            <w:r w:rsidRPr="000417AA">
              <w:t>WHS/OHS requirements, including</w:t>
            </w:r>
          </w:p>
          <w:p w:rsidR="00000000" w:rsidRPr="000417AA" w:rsidP="000417AA">
            <w:pPr>
              <w:pStyle w:val="ListBullet2"/>
            </w:pPr>
            <w:r w:rsidRPr="000417AA">
              <w:t>emergency procedures and techniques</w:t>
            </w:r>
          </w:p>
          <w:p w:rsidR="00000000" w:rsidRPr="000417AA" w:rsidP="000417AA">
            <w:pPr>
              <w:pStyle w:val="ListBullet2"/>
            </w:pPr>
            <w:r w:rsidRPr="000417AA">
              <w:t>safe working practices</w:t>
            </w:r>
          </w:p>
          <w:p w:rsidR="00000000" w:rsidRPr="000417AA" w:rsidP="000417AA">
            <w:pPr>
              <w:pStyle w:val="ListBullet2"/>
            </w:pPr>
            <w:r w:rsidRPr="000417AA">
              <w:t>site safety procedures</w:t>
            </w:r>
          </w:p>
          <w:p w:rsidR="00000000" w:rsidRPr="000417AA" w:rsidP="000417AA">
            <w:pPr>
              <w:pStyle w:val="ListBullet"/>
            </w:pPr>
            <w:r w:rsidRPr="000417AA">
              <w:t>workplace documentation w</w:t>
            </w:r>
            <w:r w:rsidRPr="000417AA">
              <w:t>orkplace policies and procedures.</w:t>
            </w:r>
          </w:p>
        </w:tc>
      </w:tr>
    </w:tbl>
    <w:p w:rsidR="00000000" w:rsidRPr="000417AA" w:rsidP="000417AA">
      <w:pPr>
        <w:pStyle w:val="NoPaddingFontSize1"/>
      </w:pPr>
    </w:p>
    <w:p w:rsidR="00000000" w:rsidRPr="000417AA" w:rsidP="000417AA">
      <w:pPr>
        <w:pStyle w:val="AllowPageBreak"/>
      </w:pPr>
    </w:p>
    <w:p w:rsidR="00000000" w:rsidRPr="000417AA" w:rsidP="000417AA">
      <w:pPr>
        <w:pStyle w:val="Heading1"/>
      </w:pPr>
      <w:bookmarkStart w:id="4" w:name="O_1191577"/>
      <w:bookmarkEnd w:id="4"/>
      <w:r w:rsidRPr="000417A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17A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17AA" w:rsidP="000417AA">
            <w:pPr>
              <w:pStyle w:val="BodyText"/>
            </w:pPr>
            <w:r w:rsidRPr="000417AA">
              <w:t>Assessors must hold credentials specified within the Standards for Registered Training Organisations current at the time of assessment.</w:t>
            </w:r>
          </w:p>
          <w:p w:rsidR="00000000" w:rsidRPr="000417AA" w:rsidP="000417AA">
            <w:pPr>
              <w:pStyle w:val="BodyText"/>
            </w:pPr>
            <w:r w:rsidRPr="000417AA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417AA" w:rsidP="000417AA">
            <w:pPr>
              <w:pStyle w:val="BodyText"/>
            </w:pPr>
            <w:r w:rsidRPr="000417AA">
              <w:t>Assessment must occur in workplace operational</w:t>
            </w:r>
            <w:r w:rsidRPr="000417AA">
              <w:t xml:space="preserve"> situations where it is appropriate to do so; where this is not appropriate, assessment must occur in simulated workplace operational situations that replicate workplace conditions.</w:t>
            </w:r>
          </w:p>
          <w:p w:rsidR="00000000" w:rsidRPr="000417AA" w:rsidP="000417AA">
            <w:pPr>
              <w:pStyle w:val="BodyText"/>
            </w:pPr>
            <w:r w:rsidRPr="000417AA">
              <w:t>Assessment processes and techniques must be appropriate to the language, l</w:t>
            </w:r>
            <w:r w:rsidRPr="000417AA">
              <w:t>iteracy and numeracy requirements of the work being performed and the needs of the candidate.</w:t>
            </w:r>
          </w:p>
          <w:p w:rsidR="00000000" w:rsidRPr="000417AA" w:rsidP="000417AA">
            <w:pPr>
              <w:pStyle w:val="BodyText"/>
            </w:pPr>
            <w:r w:rsidRPr="000417AA">
              <w:t>Resources for assessment must include access to:</w:t>
            </w:r>
          </w:p>
          <w:p w:rsidR="00000000" w:rsidRPr="000417AA" w:rsidP="000417AA">
            <w:pPr>
              <w:pStyle w:val="ListBullet"/>
            </w:pPr>
            <w:r w:rsidRPr="000417AA">
              <w:t>a range of relevant exercises, case studies and/or other simulations</w:t>
            </w:r>
          </w:p>
          <w:p w:rsidR="00000000" w:rsidRPr="000417AA" w:rsidP="000417AA">
            <w:pPr>
              <w:pStyle w:val="ListBullet"/>
            </w:pPr>
            <w:r w:rsidRPr="000417AA">
              <w:t xml:space="preserve">relevant and appropriate materials, tools, </w:t>
            </w:r>
            <w:r w:rsidRPr="000417AA">
              <w:t>equipment and personal protective equipment (PPE) currently used in industry</w:t>
            </w:r>
          </w:p>
          <w:p w:rsidR="00000000" w:rsidRPr="000417AA" w:rsidP="000417AA">
            <w:pPr>
              <w:pStyle w:val="ListBullet"/>
            </w:pPr>
            <w:r w:rsidRPr="000417AA">
              <w:t>applicable documentation, including workplace procedures, equipment specifications, regulations, codes of practice and operation manuals.</w:t>
            </w:r>
          </w:p>
        </w:tc>
      </w:tr>
    </w:tbl>
    <w:p w:rsidR="00000000" w:rsidRPr="000417AA" w:rsidP="000417AA">
      <w:pPr>
        <w:pStyle w:val="NoPaddingFontSize1"/>
      </w:pPr>
    </w:p>
    <w:p w:rsidR="00000000" w:rsidRPr="000417AA" w:rsidP="000417AA">
      <w:pPr>
        <w:pStyle w:val="AllowPageBreak"/>
      </w:pPr>
    </w:p>
    <w:p w:rsidR="00000000" w:rsidRPr="000417AA" w:rsidP="000417AA">
      <w:pPr>
        <w:pStyle w:val="Heading1"/>
      </w:pPr>
      <w:bookmarkStart w:id="5" w:name="O_1191580"/>
      <w:bookmarkEnd w:id="5"/>
      <w:r w:rsidRPr="000417AA">
        <w:t>Links</w:t>
      </w:r>
    </w:p>
    <w:p w:rsidR="00000000" w:rsidRPr="000417AA" w:rsidP="00BB0A1E">
      <w:pPr>
        <w:pStyle w:val="BodyText"/>
      </w:pPr>
      <w:r w:rsidRPr="000417A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"https://vetnet.gov.au/Pages/TrainingDocs.aspx?q=1715b9fa-e7bd-441c-bb8d-cf22c9c825a8" </w:instrText>
      </w:r>
      <w:r>
        <w:fldChar w:fldCharType="separate"/>
      </w:r>
      <w:r w:rsidRPr="00637EC3">
        <w:rPr>
          <w:rStyle w:val="Hyperlink"/>
        </w:rPr>
        <w:t>https://vetnet.gov.au/Pages/TrainingDocs.aspx?q=1715b9fa-e7bd-441c-bb8d-cf22c9c825a8</w:t>
      </w:r>
      <w:r>
        <w:fldChar w:fldCharType="end"/>
      </w:r>
    </w:p>
    <w:p w:rsidR="00000000" w:rsidRPr="000417AA" w:rsidP="000417AA"/>
    <w:sectPr w:rsidSect="000417A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A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AA" w:rsidRPr="00BB0A1E" w:rsidP="00BB0A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A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1E" w:rsidP="000417A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B0A1E" w:rsidP="000417A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BB0A1E" w:rsidP="000417A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A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17AA" w:rsidRPr="00BB0A1E" w:rsidP="00BB0A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7A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B0A1E" w:rsidRPr="002D2AF8" w:rsidP="000417A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UEPOPS053 Manage operational crisis to maintain or restore power system integrity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BB0A1E" w:rsidP="000417A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E01F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9920DC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F0298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17A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17A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17A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17A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17A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17A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17A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17A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17A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17A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17A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17AA"/>
  </w:style>
  <w:style w:type="character" w:customStyle="1" w:styleId="Heading1Char">
    <w:name w:val="Heading 1 Char"/>
    <w:basedOn w:val="DefaultParagraphFont"/>
    <w:link w:val="Heading1"/>
    <w:rsid w:val="000417A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17A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17A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17A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17A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17A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17A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17A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17A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17A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17A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17A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17A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17A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17A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17A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17A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17A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17A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17A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17A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17A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17A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17A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17A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17AA"/>
    <w:rPr>
      <w:b/>
      <w:spacing w:val="0"/>
    </w:rPr>
  </w:style>
  <w:style w:type="paragraph" w:customStyle="1" w:styleId="SuperTitle">
    <w:name w:val="SuperTitle"/>
    <w:basedOn w:val="Title"/>
    <w:rsid w:val="000417A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17A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17A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17A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17A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17A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17A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17A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17A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17A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17A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17A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17AA"/>
    <w:rPr>
      <w:i/>
    </w:rPr>
  </w:style>
  <w:style w:type="paragraph" w:styleId="Caption">
    <w:name w:val="caption"/>
    <w:basedOn w:val="BodyText"/>
    <w:next w:val="Normal"/>
    <w:qFormat/>
    <w:rsid w:val="000417A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17A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17A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17AA"/>
  </w:style>
  <w:style w:type="paragraph" w:styleId="TableofFigures">
    <w:name w:val="table of figures"/>
    <w:basedOn w:val="Normal"/>
    <w:next w:val="Normal"/>
    <w:semiHidden/>
    <w:rsid w:val="000417A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17A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17AA"/>
    <w:rPr>
      <w:rFonts w:ascii="Wingdings" w:hAnsi="Wingdings"/>
    </w:rPr>
  </w:style>
  <w:style w:type="paragraph" w:customStyle="1" w:styleId="TableHeading">
    <w:name w:val="Table Heading"/>
    <w:basedOn w:val="HeadingBase"/>
    <w:rsid w:val="000417A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17AA"/>
    <w:rPr>
      <w:color w:val="0033CC"/>
      <w:u w:val="none"/>
    </w:rPr>
  </w:style>
  <w:style w:type="paragraph" w:customStyle="1" w:styleId="BodyTextRight">
    <w:name w:val="Body Text Right"/>
    <w:basedOn w:val="BodyText"/>
    <w:rsid w:val="000417A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17A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17A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17A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17A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17A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17AA"/>
    <w:rPr>
      <w:sz w:val="32"/>
    </w:rPr>
  </w:style>
  <w:style w:type="paragraph" w:customStyle="1" w:styleId="HeadingProcedure">
    <w:name w:val="Heading Procedure"/>
    <w:basedOn w:val="HeadingBase"/>
    <w:next w:val="Normal"/>
    <w:rsid w:val="000417A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17AA"/>
    <w:pPr>
      <w:spacing w:before="60" w:after="60"/>
    </w:pPr>
  </w:style>
  <w:style w:type="paragraph" w:styleId="ListContinue">
    <w:name w:val="List Continue"/>
    <w:basedOn w:val="List"/>
    <w:rsid w:val="000417AA"/>
    <w:pPr>
      <w:ind w:firstLine="0"/>
    </w:pPr>
  </w:style>
  <w:style w:type="paragraph" w:customStyle="1" w:styleId="ListNote">
    <w:name w:val="List Note"/>
    <w:basedOn w:val="List"/>
    <w:rsid w:val="000417A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17A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17A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17AA"/>
    <w:rPr>
      <w:rFonts w:ascii="Courier New" w:hAnsi="Courier New"/>
    </w:rPr>
  </w:style>
  <w:style w:type="paragraph" w:customStyle="1" w:styleId="NoteBullet">
    <w:name w:val="Note Bullet"/>
    <w:basedOn w:val="Note"/>
    <w:rsid w:val="000417A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17A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17A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17A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17A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17A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17A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17AA"/>
    <w:rPr>
      <w:b/>
      <w:smallCaps/>
    </w:rPr>
  </w:style>
  <w:style w:type="paragraph" w:customStyle="1" w:styleId="TableListNumber">
    <w:name w:val="Table List Number"/>
    <w:basedOn w:val="ListNumber"/>
    <w:rsid w:val="000417A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17A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17AA"/>
    <w:pPr>
      <w:numPr>
        <w:numId w:val="9"/>
      </w:numPr>
    </w:pPr>
  </w:style>
  <w:style w:type="paragraph" w:customStyle="1" w:styleId="ListAlpha2">
    <w:name w:val="List Alpha 2"/>
    <w:basedOn w:val="List2"/>
    <w:rsid w:val="000417AA"/>
    <w:pPr>
      <w:numPr>
        <w:numId w:val="8"/>
      </w:numPr>
    </w:pPr>
  </w:style>
  <w:style w:type="paragraph" w:styleId="List2">
    <w:name w:val="List 2"/>
    <w:basedOn w:val="BodyText"/>
    <w:rsid w:val="000417A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17A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17A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17A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17A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17A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17AA"/>
    <w:pPr>
      <w:numPr>
        <w:numId w:val="4"/>
      </w:numPr>
    </w:pPr>
  </w:style>
  <w:style w:type="paragraph" w:styleId="ListContinue2">
    <w:name w:val="List Continue 2"/>
    <w:basedOn w:val="List2"/>
    <w:rsid w:val="000417AA"/>
    <w:pPr>
      <w:ind w:firstLine="0"/>
    </w:pPr>
  </w:style>
  <w:style w:type="paragraph" w:styleId="ListContinue3">
    <w:name w:val="List Continue 3"/>
    <w:basedOn w:val="List3"/>
    <w:rsid w:val="000417AA"/>
    <w:pPr>
      <w:ind w:left="1021" w:firstLine="0"/>
    </w:pPr>
  </w:style>
  <w:style w:type="paragraph" w:styleId="ListContinue4">
    <w:name w:val="List Continue 4"/>
    <w:basedOn w:val="List4"/>
    <w:rsid w:val="000417AA"/>
    <w:pPr>
      <w:ind w:firstLine="0"/>
    </w:pPr>
  </w:style>
  <w:style w:type="paragraph" w:styleId="ListContinue5">
    <w:name w:val="List Continue 5"/>
    <w:basedOn w:val="List5"/>
    <w:rsid w:val="000417AA"/>
    <w:pPr>
      <w:ind w:firstLine="0"/>
    </w:pPr>
  </w:style>
  <w:style w:type="paragraph" w:styleId="ListNumber3">
    <w:name w:val="List Number 3"/>
    <w:basedOn w:val="List3"/>
    <w:rsid w:val="000417AA"/>
    <w:pPr>
      <w:numPr>
        <w:numId w:val="5"/>
      </w:numPr>
    </w:pPr>
  </w:style>
  <w:style w:type="paragraph" w:styleId="ListNumber4">
    <w:name w:val="List Number 4"/>
    <w:basedOn w:val="List4"/>
    <w:rsid w:val="000417AA"/>
    <w:pPr>
      <w:numPr>
        <w:numId w:val="6"/>
      </w:numPr>
    </w:pPr>
  </w:style>
  <w:style w:type="paragraph" w:styleId="ListNumber5">
    <w:name w:val="List Number 5"/>
    <w:basedOn w:val="List5"/>
    <w:rsid w:val="000417AA"/>
    <w:pPr>
      <w:numPr>
        <w:numId w:val="7"/>
      </w:numPr>
    </w:pPr>
  </w:style>
  <w:style w:type="paragraph" w:styleId="BlockText">
    <w:name w:val="Block Text"/>
    <w:basedOn w:val="Normal"/>
    <w:rsid w:val="000417A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17A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17AA"/>
    <w:rPr>
      <w:sz w:val="16"/>
      <w:vertAlign w:val="superscript"/>
    </w:rPr>
  </w:style>
  <w:style w:type="character" w:customStyle="1" w:styleId="Symbols">
    <w:name w:val="Symbols"/>
    <w:basedOn w:val="DefaultParagraphFont"/>
    <w:rsid w:val="000417AA"/>
    <w:rPr>
      <w:rFonts w:ascii="Symbol" w:hAnsi="Symbol"/>
    </w:rPr>
  </w:style>
  <w:style w:type="character" w:customStyle="1" w:styleId="MenuOptions">
    <w:name w:val="Menu Options"/>
    <w:basedOn w:val="DefaultParagraphFont"/>
    <w:rsid w:val="000417A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17AA"/>
    <w:rPr>
      <w:b/>
    </w:rPr>
  </w:style>
  <w:style w:type="character" w:customStyle="1" w:styleId="Underlined">
    <w:name w:val="Underlined"/>
    <w:basedOn w:val="DefaultParagraphFont"/>
    <w:rsid w:val="000417AA"/>
    <w:rPr>
      <w:u w:val="single"/>
    </w:rPr>
  </w:style>
  <w:style w:type="paragraph" w:customStyle="1" w:styleId="TableBodyTextRight">
    <w:name w:val="Table Body Text Right"/>
    <w:basedOn w:val="TableBodyText"/>
    <w:rsid w:val="000417A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17AA"/>
    <w:rPr>
      <w:sz w:val="18"/>
    </w:rPr>
  </w:style>
  <w:style w:type="paragraph" w:customStyle="1" w:styleId="BodySmallRight">
    <w:name w:val="Body Small Right"/>
    <w:basedOn w:val="BodyTextRight"/>
    <w:rsid w:val="000417AA"/>
    <w:rPr>
      <w:sz w:val="18"/>
      <w:szCs w:val="18"/>
    </w:rPr>
  </w:style>
  <w:style w:type="paragraph" w:customStyle="1" w:styleId="MarginEdition">
    <w:name w:val="Margin Edition"/>
    <w:basedOn w:val="MarginNote"/>
    <w:rsid w:val="000417A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17AA"/>
    <w:rPr>
      <w:sz w:val="2"/>
      <w:szCs w:val="2"/>
    </w:rPr>
  </w:style>
  <w:style w:type="character" w:customStyle="1" w:styleId="Small">
    <w:name w:val="Small"/>
    <w:basedOn w:val="DefaultParagraphFont"/>
    <w:rsid w:val="000417AA"/>
    <w:rPr>
      <w:sz w:val="16"/>
    </w:rPr>
  </w:style>
  <w:style w:type="paragraph" w:customStyle="1" w:styleId="WideTable">
    <w:name w:val="Wide Table"/>
    <w:basedOn w:val="Normal"/>
    <w:rsid w:val="000417A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17AA"/>
  </w:style>
  <w:style w:type="paragraph" w:styleId="Quote">
    <w:name w:val="Quote"/>
    <w:basedOn w:val="Heading1"/>
    <w:link w:val="QuoteChar"/>
    <w:qFormat/>
    <w:rsid w:val="000417A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17A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17AA"/>
    <w:pPr>
      <w:pageBreakBefore/>
    </w:pPr>
  </w:style>
  <w:style w:type="paragraph" w:customStyle="1" w:styleId="Border">
    <w:name w:val="Border"/>
    <w:basedOn w:val="Normal"/>
    <w:qFormat/>
    <w:rsid w:val="000417A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17A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17A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17A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17A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17A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17A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17A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17A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17AA"/>
    <w:rPr>
      <w:u w:val="single"/>
    </w:rPr>
  </w:style>
  <w:style w:type="character" w:customStyle="1" w:styleId="BoldandItalics">
    <w:name w:val="Bold and Italics"/>
    <w:qFormat/>
    <w:rsid w:val="000417AA"/>
    <w:rPr>
      <w:b/>
      <w:i/>
      <w:u w:val="none"/>
    </w:rPr>
  </w:style>
  <w:style w:type="paragraph" w:styleId="BalloonText">
    <w:name w:val="Balloon Text"/>
    <w:basedOn w:val="Normal"/>
    <w:link w:val="BalloonTextChar"/>
    <w:rsid w:val="000417A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17A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17A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17A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17A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17A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17AA"/>
    <w:pPr>
      <w:spacing w:before="0" w:after="0"/>
    </w:pPr>
  </w:style>
  <w:style w:type="paragraph" w:customStyle="1" w:styleId="BodyTextBold">
    <w:name w:val="Body Text Bold"/>
    <w:basedOn w:val="BodyText"/>
    <w:qFormat/>
    <w:rsid w:val="000417AA"/>
    <w:rPr>
      <w:b/>
    </w:rPr>
  </w:style>
  <w:style w:type="character" w:styleId="Hyperlink">
    <w:name w:val="Hyperlink"/>
    <w:basedOn w:val="DefaultParagraphFont"/>
    <w:uiPriority w:val="99"/>
    <w:unhideWhenUsed/>
    <w:rsid w:val="00BB0A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516</Words>
  <Characters>3657</Characters>
  <Application>Microsoft Office Word</Application>
  <DocSecurity>0</DocSecurity>
  <Lines>89</Lines>
  <Paragraphs>67</Paragraphs>
  <ScaleCrop>false</ScaleCrop>
  <Company>Author-it Software Corporation Ltd.</Company>
  <LinksUpToDate>false</LinksUpToDate>
  <CharactersWithSpaces>4106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UEPOPS053 Manage operational crisis to maintain or restore power system integrity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2022-12-13T06:15:00Z</dcterms:created>
  <dcterms:modified xsi:type="dcterms:W3CDTF">2022-12-13T06:15:00Z</dcterms:modified>
</cp:coreProperties>
</file>