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FDC" w:rsidP="00A62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UEPOPS049 Manage critical incidents</w:t>
      </w:r>
      <w:r>
        <w:fldChar w:fldCharType="end"/>
      </w:r>
    </w:p>
    <w:p w:rsidR="00A62FDC" w:rsidP="00A62FDC">
      <w:pPr>
        <w:pStyle w:val="Version"/>
        <w:sectPr w:rsidSect="00C308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8A5" w:rsidP="00C308A5">
      <w:pPr>
        <w:pStyle w:val="SuperHeading"/>
      </w:pPr>
      <w:r w:rsidRPr="00C308A5">
        <w:t>UEPOPS049 Manage critical incidents</w:t>
      </w:r>
    </w:p>
    <w:p w:rsidR="00000000" w:rsidRPr="00C308A5" w:rsidP="00C308A5">
      <w:pPr>
        <w:pStyle w:val="Heading1"/>
      </w:pPr>
      <w:bookmarkStart w:id="1" w:name="O_1191488"/>
      <w:bookmarkEnd w:id="1"/>
      <w:r w:rsidRPr="00C30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2" w:name="O_1191489"/>
      <w:bookmarkEnd w:id="2"/>
      <w:r w:rsidRPr="00C308A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This unit involves the skills and knowledge requi</w:t>
            </w:r>
            <w:r w:rsidRPr="00C308A5">
              <w:t>red to undertake the management of incidents of a critical nature that may impact the operational effectiveness of a power generation facility</w:t>
            </w:r>
            <w:r>
              <w:t>’</w:t>
            </w:r>
            <w:r w:rsidRPr="00C308A5">
              <w:t xml:space="preserve">s plant or system. It may include endangering human life, damaging or destroying property or adversely impacting </w:t>
            </w:r>
            <w:r w:rsidRPr="00C308A5">
              <w:t>the environment.</w:t>
            </w:r>
          </w:p>
          <w:p w:rsidR="00000000" w:rsidRPr="00C308A5" w:rsidP="00C308A5">
            <w:pPr>
              <w:pStyle w:val="BodyText"/>
            </w:pPr>
            <w:r w:rsidRPr="00C308A5">
              <w:t xml:space="preserve">A critical incident refers to an event that may result in a high level of risk, directly or indirectly, to the core operations of a power generation facility. The level of risk is determined using the risk management processes outlined in </w:t>
            </w:r>
            <w:r w:rsidRPr="00C308A5">
              <w:t>the power generation facility</w:t>
            </w:r>
            <w:r>
              <w:t>’</w:t>
            </w:r>
            <w:r w:rsidRPr="00C308A5">
              <w:t>s risk management system.</w:t>
            </w:r>
          </w:p>
          <w:p w:rsidR="00000000" w:rsidRPr="00C308A5" w:rsidP="00C308A5">
            <w:pPr>
              <w:pStyle w:val="BodyText"/>
            </w:pPr>
            <w:r w:rsidRPr="00C308A5">
              <w:t>Competency in this unit requires the ability to identify a crisis, implement contingency and critical incident plans, establish communications, manage critical incident documents and review critical i</w:t>
            </w:r>
            <w:r w:rsidRPr="00C308A5">
              <w:t>ncident response. Individuals will, in general, work as an operator with responsibility for risk management, in a power generation facility.</w:t>
            </w:r>
          </w:p>
          <w:p w:rsidR="00000000" w:rsidRPr="00C308A5" w:rsidP="00C308A5">
            <w:pPr>
              <w:pStyle w:val="BodyText"/>
            </w:pPr>
            <w:r w:rsidRPr="00C308A5">
              <w:t>Power generation plant operators are trained and authorised to isolate, prepare plant and issue permits to work.</w:t>
            </w:r>
          </w:p>
          <w:p w:rsidR="00000000" w:rsidRPr="00C308A5" w:rsidP="00C308A5">
            <w:pPr>
              <w:pStyle w:val="BodyText"/>
            </w:pPr>
            <w:r w:rsidRPr="00C308A5">
              <w:t>No</w:t>
            </w:r>
            <w:r w:rsidRPr="00C308A5">
              <w:t xml:space="preserve"> licensing, legislative or certification requirements apply to this unit at the time of publication.</w:t>
            </w:r>
          </w:p>
          <w:p w:rsidR="00000000" w:rsidRPr="00C308A5" w:rsidP="00C308A5">
            <w:pPr>
              <w:pStyle w:val="BodyText"/>
            </w:pP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3" w:name="O_1191490"/>
      <w:bookmarkEnd w:id="3"/>
      <w:r w:rsidRPr="00C308A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UEPOPS130 Respond to a critical incident</w:t>
            </w:r>
          </w:p>
          <w:p w:rsidR="00000000" w:rsidRPr="00C308A5" w:rsidP="00C308A5">
            <w:pPr>
              <w:pStyle w:val="BodyText"/>
            </w:pPr>
            <w:r w:rsidRPr="00C308A5">
              <w:t>UEPOPS031 Coordinate response to critical incidents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4" w:name="O_1191491"/>
      <w:bookmarkEnd w:id="4"/>
      <w:r w:rsidRPr="00C308A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Operations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5" w:name="O_1191492"/>
      <w:bookmarkEnd w:id="5"/>
      <w:r w:rsidRPr="00C308A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Electricity generation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6" w:name="O_1191493"/>
      <w:bookmarkEnd w:id="6"/>
      <w:r w:rsidRPr="00C308A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PERFORMANCE CRITERIA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Performance criteria describe the performance needed to demonstrate achievement of the element.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Identify critical incident and consequences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 xml:space="preserve">Critical incident and probable implications are identified and analysed in accordance with risk management </w:t>
            </w:r>
            <w:r w:rsidRPr="00C308A5">
              <w:t>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Work health and safety (WHS)/occupational health and safety (OHS) regulations, legislative requirements, codes of practice, manufacturers’ recommendations and specifications, environmental requirements and workplace p</w:t>
            </w:r>
            <w:r w:rsidRPr="00C308A5">
              <w:t>rocedures are identified, applied and monitored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Secondary threats from the critical incident are identified and monitored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Data related to critical incident is evaluated and managed to determine cause consequences and potential responses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Critical incident management team is activated and individual roles</w:t>
            </w:r>
            <w:r w:rsidRPr="00C308A5">
              <w:t xml:space="preserve"> and responsibilities identified and managed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Implement contingency</w:t>
            </w:r>
            <w:r w:rsidRPr="00C308A5">
              <w:t xml:space="preserve"> </w:t>
            </w:r>
            <w:r w:rsidRPr="00C308A5">
              <w:rPr>
                <w:rStyle w:val="SpecialBold"/>
              </w:rPr>
              <w:t>and critical incident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Contingency and critical incident plans are implemented using risk management system doc</w:t>
            </w:r>
            <w:r w:rsidRPr="00C308A5">
              <w:t>umentation in accordance with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Additional resources are identified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Alternate strategies to cater for crisis</w:t>
            </w:r>
            <w:r w:rsidRPr="00C308A5">
              <w:t xml:space="preserve"> variations are managed in consultation with key stakeholders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Establish communications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Communication links with external authorities are established for coordination of resources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Communication with key stakeholders is established to disseminate information in accordanc</w:t>
            </w:r>
            <w:r w:rsidRPr="00C308A5">
              <w:t xml:space="preserve">e with risk </w:t>
            </w:r>
            <w:r w:rsidRPr="00C308A5">
              <w:t>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Supervise</w:t>
            </w:r>
            <w:r w:rsidRPr="00C308A5">
              <w:t xml:space="preserve"> </w:t>
            </w:r>
            <w:r w:rsidRPr="00C308A5">
              <w:rPr>
                <w:rStyle w:val="SpecialBold"/>
              </w:rPr>
              <w:t>critical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 xml:space="preserve">Critical incident response is managed in accordance with risk management system and workplace procedures 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Critical incident events and responses are prioritised, related to risk and the needs of stakeholders, in accordance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Personnel and key stakeholder actions are monitored and managed in accordance with r</w:t>
            </w:r>
            <w:r w:rsidRPr="00C308A5">
              <w:t>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Impact of secondary threats are managed in accordance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Contingency and critical incident plans are actioned and managed in accordance with risk mana</w:t>
            </w:r>
            <w:r w:rsidRPr="00C308A5">
              <w:t>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Additional resources are directed and managed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Restoration strategies are monitored, evaluated and adjusted in accordance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rPr>
                <w:rStyle w:val="SpecialBold"/>
              </w:rPr>
              <w:t>Document and review critical</w:t>
            </w:r>
            <w:r w:rsidRPr="00C308A5">
              <w:t xml:space="preserve"> </w:t>
            </w:r>
            <w:r w:rsidRPr="00C308A5">
              <w:rPr>
                <w:rStyle w:val="SpecialBold"/>
              </w:rPr>
              <w:t>incident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Equipment failure and problems are managed in accordance with risk management s</w:t>
            </w:r>
            <w:r w:rsidRPr="00C308A5">
              <w:t>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Critical incident feedback from key stakeholders is analysed and managed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Critical incident report, with alternative preventative measures, is distributed to relevant personnel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Improvements to critical incident management processes and procedures are manag</w:t>
            </w:r>
            <w:r w:rsidRPr="00C308A5">
              <w:t>ed in accordance with risk management system and workplace procedures</w:t>
            </w:r>
          </w:p>
        </w:tc>
      </w:tr>
      <w:tr w:rsidTr="00C308A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Alternative strategies are identified and analysed, and recommendations are communicated to relevant personnel in accordance with risk management system and workplace procedures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7" w:name="O_1191494"/>
      <w:bookmarkEnd w:id="7"/>
      <w:r w:rsidRPr="00C308A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Foundation skills essential to performance are explicit in the performance criteria of this unit of competency.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8" w:name="O_1191495"/>
      <w:bookmarkEnd w:id="8"/>
      <w:r w:rsidRPr="00C308A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Range is restricted to essential operating conditions and any other variables essential to the work environment.</w:t>
            </w:r>
          </w:p>
          <w:p w:rsidR="00000000" w:rsidRPr="00C308A5" w:rsidP="00C308A5">
            <w:pPr>
              <w:pStyle w:val="BodyText"/>
            </w:pPr>
            <w:r w:rsidRPr="00C308A5">
              <w:t>Non-essential conditions may be found in the UEP Electricity Supply Industry - Generation Sector Training Package Companion Volume Implementati</w:t>
            </w:r>
            <w:r w:rsidRPr="00C308A5">
              <w:t>on Guide.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9" w:name="O_1191496"/>
      <w:bookmarkEnd w:id="9"/>
      <w:r w:rsidRPr="00C308A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This unit replaces and is equivalent to UEPOPS523 Manage critical incidents.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10" w:name="O_1191503"/>
      <w:bookmarkEnd w:id="10"/>
      <w:r w:rsidRPr="00C308A5">
        <w:t>Links</w:t>
      </w:r>
    </w:p>
    <w:p w:rsidR="00000000" w:rsidRPr="00C308A5" w:rsidP="00A62FDC">
      <w:pPr>
        <w:pStyle w:val="BodyText"/>
      </w:pPr>
      <w:r w:rsidRPr="00C30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E59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308A5" w:rsidP="00A62FDC">
      <w:pPr>
        <w:pStyle w:val="BodyText"/>
        <w:sectPr w:rsidSect="00C308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08A5" w:rsidP="00C308A5">
      <w:pPr>
        <w:pStyle w:val="SuperHeading"/>
      </w:pPr>
      <w:r w:rsidRPr="00C308A5">
        <w:t>Assessment Requirements for UEPOPS049 Manage critical incidents</w:t>
      </w:r>
    </w:p>
    <w:p w:rsidR="00000000" w:rsidRPr="00C308A5" w:rsidP="00C308A5">
      <w:pPr>
        <w:pStyle w:val="Heading1"/>
      </w:pPr>
      <w:bookmarkStart w:id="11" w:name="O_1191498"/>
      <w:bookmarkEnd w:id="11"/>
      <w:r w:rsidRPr="00C308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12" w:name="O_1191499"/>
      <w:bookmarkEnd w:id="12"/>
      <w:r w:rsidRPr="00C308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Evidence required to demonstrate competence in this unit must</w:t>
            </w:r>
            <w:r w:rsidRPr="00C308A5">
              <w:t xml:space="preserve"> be relevant to and satisfy all the requirements of the elements and performance criteria on at least two separate occasions and include:</w:t>
            </w:r>
          </w:p>
        </w:tc>
      </w:tr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ListBullet"/>
            </w:pPr>
            <w:r w:rsidRPr="00C308A5">
              <w:t>applying work health and safety (WHS)/occupational health and safety (OHS) requirements, including:</w:t>
            </w:r>
          </w:p>
          <w:p w:rsidR="00000000" w:rsidRPr="00C308A5" w:rsidP="00C308A5">
            <w:pPr>
              <w:pStyle w:val="ListBullet2"/>
            </w:pPr>
            <w:r w:rsidRPr="00C308A5">
              <w:t>emergency proce</w:t>
            </w:r>
            <w:r w:rsidRPr="00C308A5">
              <w:t>dures</w:t>
            </w:r>
          </w:p>
          <w:p w:rsidR="00000000" w:rsidRPr="00C308A5" w:rsidP="00C308A5">
            <w:pPr>
              <w:pStyle w:val="ListBullet2"/>
            </w:pPr>
            <w:r w:rsidRPr="00C308A5">
              <w:t>risk control measures</w:t>
            </w:r>
          </w:p>
          <w:p w:rsidR="00000000" w:rsidRPr="00C308A5" w:rsidP="00C308A5">
            <w:pPr>
              <w:pStyle w:val="ListBullet2"/>
            </w:pPr>
            <w:r w:rsidRPr="00C308A5">
              <w:t>safe working practices</w:t>
            </w:r>
          </w:p>
          <w:p w:rsidR="00000000" w:rsidRPr="00C308A5" w:rsidP="00C308A5">
            <w:pPr>
              <w:pStyle w:val="ListBullet"/>
            </w:pPr>
            <w:r w:rsidRPr="00C308A5">
              <w:t>communicating and liaising with key stakeholders</w:t>
            </w:r>
          </w:p>
          <w:p w:rsidR="00000000" w:rsidRPr="00C308A5" w:rsidP="00C308A5">
            <w:pPr>
              <w:pStyle w:val="ListBullet"/>
            </w:pPr>
            <w:r w:rsidRPr="00C308A5">
              <w:t xml:space="preserve">coordinating operation of system network </w:t>
            </w:r>
          </w:p>
          <w:p w:rsidR="00000000" w:rsidRPr="00C308A5" w:rsidP="00C308A5">
            <w:pPr>
              <w:pStyle w:val="ListBullet"/>
            </w:pPr>
            <w:r w:rsidRPr="00C308A5">
              <w:t>determining contingency and critical incident plans</w:t>
            </w:r>
          </w:p>
          <w:p w:rsidR="00000000" w:rsidRPr="00C308A5" w:rsidP="00C308A5">
            <w:pPr>
              <w:pStyle w:val="ListBullet"/>
            </w:pPr>
            <w:r w:rsidRPr="00C308A5">
              <w:t>documenting and reviewing critical incident and response</w:t>
            </w:r>
          </w:p>
          <w:p w:rsidR="00000000" w:rsidRPr="00C308A5" w:rsidP="00C308A5">
            <w:pPr>
              <w:pStyle w:val="ListBullet"/>
            </w:pPr>
            <w:r w:rsidRPr="00C308A5">
              <w:t>identifying critical incident and potential consequences</w:t>
            </w:r>
          </w:p>
          <w:p w:rsidR="00000000" w:rsidRPr="00C308A5" w:rsidP="00C308A5">
            <w:pPr>
              <w:pStyle w:val="ListBullet"/>
            </w:pPr>
            <w:r w:rsidRPr="00C308A5">
              <w:t>implementing contingency and critical incident plans</w:t>
            </w:r>
          </w:p>
          <w:p w:rsidR="00000000" w:rsidRPr="00C308A5" w:rsidP="00C308A5">
            <w:pPr>
              <w:pStyle w:val="ListBullet"/>
            </w:pPr>
            <w:r w:rsidRPr="00C308A5">
              <w:t>implementing regulations, legislative requirements, codes of practice, manufacturers’ recommendations and specifications, and environmental requir</w:t>
            </w:r>
            <w:r w:rsidRPr="00C308A5">
              <w:t>ements</w:t>
            </w:r>
          </w:p>
          <w:p w:rsidR="00000000" w:rsidRPr="00C308A5" w:rsidP="00C308A5">
            <w:pPr>
              <w:pStyle w:val="ListBullet"/>
            </w:pPr>
            <w:r w:rsidRPr="00C308A5">
              <w:t>instigating communications, including recording procedures</w:t>
            </w:r>
          </w:p>
          <w:p w:rsidR="00000000" w:rsidRPr="00C308A5" w:rsidP="00C308A5">
            <w:pPr>
              <w:pStyle w:val="ListBullet"/>
            </w:pPr>
            <w:r w:rsidRPr="00C308A5">
              <w:t>managing critical incident</w:t>
            </w:r>
          </w:p>
          <w:p w:rsidR="00000000" w:rsidRPr="00C308A5" w:rsidP="00C308A5">
            <w:pPr>
              <w:pStyle w:val="ListBullet"/>
            </w:pPr>
            <w:r w:rsidRPr="00C308A5">
              <w:t>recognising plant status, including abnormal system operating conditions, using data analysis techniques and tools</w:t>
            </w:r>
          </w:p>
          <w:p w:rsidR="00000000" w:rsidRPr="00C308A5" w:rsidP="00C308A5">
            <w:pPr>
              <w:pStyle w:val="ListBullet"/>
            </w:pPr>
            <w:r w:rsidRPr="00C308A5">
              <w:t>supervising emergency situations, including directing and managing personnel</w:t>
            </w:r>
          </w:p>
          <w:p w:rsidR="00000000" w:rsidRPr="00C308A5" w:rsidP="00C308A5">
            <w:pPr>
              <w:pStyle w:val="ListBullet"/>
            </w:pPr>
            <w:r w:rsidRPr="00C308A5">
              <w:t xml:space="preserve">undertaking critical incident planning using diagnostic techniques </w:t>
            </w:r>
          </w:p>
          <w:p w:rsidR="00000000" w:rsidRPr="00C308A5" w:rsidP="00C308A5">
            <w:pPr>
              <w:pStyle w:val="ListBullet"/>
            </w:pPr>
            <w:r w:rsidRPr="00C308A5">
              <w:t>using critical incident policies and procedures</w:t>
            </w:r>
          </w:p>
          <w:p w:rsidR="00000000" w:rsidRPr="00C308A5" w:rsidP="00C308A5">
            <w:pPr>
              <w:pStyle w:val="ListBullet"/>
            </w:pPr>
            <w:r w:rsidRPr="00C308A5">
              <w:t>utilising risk management system</w:t>
            </w:r>
          </w:p>
          <w:p w:rsidR="00000000" w:rsidRPr="00C308A5" w:rsidP="00C308A5">
            <w:pPr>
              <w:pStyle w:val="ListBullet"/>
            </w:pPr>
            <w:r w:rsidRPr="00C308A5">
              <w:t>working with restoration strat</w:t>
            </w:r>
            <w:r w:rsidRPr="00C308A5">
              <w:t>egies.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13" w:name="O_1191500"/>
      <w:bookmarkEnd w:id="13"/>
      <w:r w:rsidRPr="00C308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A5">
            <w:pPr>
              <w:pStyle w:val="BodyText"/>
              <w:rPr>
                <w:lang w:val="en-NZ"/>
              </w:rPr>
            </w:pPr>
            <w:r w:rsidRPr="00C308A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ListBullet"/>
            </w:pPr>
            <w:r w:rsidRPr="00C308A5">
              <w:t>arrangements of power producti</w:t>
            </w:r>
            <w:r w:rsidRPr="00C308A5">
              <w:t>on plant, including plant and equipment, location and operating parameters</w:t>
            </w:r>
          </w:p>
          <w:p w:rsidR="00000000" w:rsidRPr="00C308A5" w:rsidP="00C308A5">
            <w:pPr>
              <w:pStyle w:val="ListBullet"/>
            </w:pPr>
            <w:r w:rsidRPr="00C308A5">
              <w:t>contingency and critical incident plans</w:t>
            </w:r>
          </w:p>
          <w:p w:rsidR="00000000" w:rsidRPr="00C308A5" w:rsidP="00C308A5">
            <w:pPr>
              <w:pStyle w:val="ListBullet"/>
            </w:pPr>
            <w:r w:rsidRPr="00C308A5">
              <w:t>critical incident planning and management</w:t>
            </w:r>
          </w:p>
          <w:p w:rsidR="00000000" w:rsidRPr="00C308A5" w:rsidP="00C308A5">
            <w:pPr>
              <w:pStyle w:val="ListBullet"/>
            </w:pPr>
            <w:r w:rsidRPr="00C308A5">
              <w:t>external critical incident authorities</w:t>
            </w:r>
          </w:p>
          <w:p w:rsidR="00000000" w:rsidRPr="00C308A5" w:rsidP="00C308A5">
            <w:pPr>
              <w:pStyle w:val="ListBullet"/>
            </w:pPr>
            <w:r w:rsidRPr="00C308A5">
              <w:t>plant status, including system network characteristics</w:t>
            </w:r>
          </w:p>
          <w:p w:rsidR="00000000" w:rsidRPr="00C308A5" w:rsidP="00C308A5">
            <w:pPr>
              <w:pStyle w:val="ListBullet"/>
            </w:pPr>
            <w:r w:rsidRPr="00C308A5">
              <w:t>regulations, legislative requirements, codes of practice, manufacturers’ recommendations and specifications, and environmental requirements</w:t>
            </w:r>
          </w:p>
          <w:p w:rsidR="00000000" w:rsidRPr="00C308A5" w:rsidP="00C308A5">
            <w:pPr>
              <w:pStyle w:val="ListBullet"/>
            </w:pPr>
            <w:r w:rsidRPr="00C308A5">
              <w:t xml:space="preserve">restoration strategies </w:t>
            </w:r>
          </w:p>
          <w:p w:rsidR="00000000" w:rsidRPr="00C308A5" w:rsidP="00C308A5">
            <w:pPr>
              <w:pStyle w:val="ListBullet"/>
            </w:pPr>
            <w:r w:rsidRPr="00C308A5">
              <w:t>risk management systems</w:t>
            </w:r>
          </w:p>
          <w:p w:rsidR="00000000" w:rsidRPr="00C308A5" w:rsidP="00C308A5">
            <w:pPr>
              <w:pStyle w:val="ListBullet"/>
            </w:pPr>
            <w:r w:rsidRPr="00C308A5">
              <w:t>risk mitigation processes</w:t>
            </w:r>
          </w:p>
          <w:p w:rsidR="00000000" w:rsidRPr="00C308A5" w:rsidP="00C308A5">
            <w:pPr>
              <w:pStyle w:val="ListBullet"/>
            </w:pPr>
            <w:r w:rsidRPr="00C308A5">
              <w:t>WHS/OHS requirements, including:</w:t>
            </w:r>
          </w:p>
          <w:p w:rsidR="00000000" w:rsidRPr="00C308A5" w:rsidP="00C308A5">
            <w:pPr>
              <w:pStyle w:val="ListBullet2"/>
            </w:pPr>
            <w:r w:rsidRPr="00C308A5">
              <w:t>emergenc</w:t>
            </w:r>
            <w:r w:rsidRPr="00C308A5">
              <w:t>y procedures</w:t>
            </w:r>
          </w:p>
          <w:p w:rsidR="00000000" w:rsidRPr="00C308A5" w:rsidP="00C308A5">
            <w:pPr>
              <w:pStyle w:val="ListBullet2"/>
            </w:pPr>
            <w:r w:rsidRPr="00C308A5">
              <w:t>risk control measures</w:t>
            </w:r>
          </w:p>
          <w:p w:rsidR="00000000" w:rsidRPr="00C308A5" w:rsidP="00C308A5">
            <w:pPr>
              <w:pStyle w:val="ListBullet2"/>
            </w:pPr>
            <w:r w:rsidRPr="00C308A5">
              <w:t xml:space="preserve">safe working practices </w:t>
            </w:r>
          </w:p>
          <w:p w:rsidR="00000000" w:rsidRPr="00C308A5" w:rsidP="00C308A5">
            <w:pPr>
              <w:pStyle w:val="ListBullet"/>
            </w:pPr>
            <w:r w:rsidRPr="00C308A5">
              <w:t>workplace documentation</w:t>
            </w:r>
          </w:p>
          <w:p w:rsidR="00000000" w:rsidRPr="00C308A5" w:rsidP="00C308A5">
            <w:pPr>
              <w:pStyle w:val="ListBullet"/>
            </w:pPr>
            <w:r w:rsidRPr="00C308A5">
              <w:t>workplace policies and procedures.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14" w:name="O_1191501"/>
      <w:bookmarkEnd w:id="14"/>
      <w:r w:rsidRPr="00C308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A5" w:rsidP="00C308A5">
            <w:pPr>
              <w:pStyle w:val="BodyText"/>
            </w:pPr>
            <w:r w:rsidRPr="00C308A5">
              <w:t>Assessors must hold credentials specified within the Standards for Registered Training Organisations current at the time of assessment.</w:t>
            </w:r>
          </w:p>
          <w:p w:rsidR="00000000" w:rsidRPr="00C308A5" w:rsidP="00C308A5">
            <w:pPr>
              <w:pStyle w:val="BodyText"/>
            </w:pPr>
            <w:r w:rsidRPr="00C308A5">
              <w:t>Assessment must satisfy the Principles of Assessment and Rules of Evidence and all regulatory requirements included with</w:t>
            </w:r>
            <w:r w:rsidRPr="00C308A5">
              <w:t>in the Standards for Registered Training Organisations current at the time of assessment.</w:t>
            </w:r>
          </w:p>
          <w:p w:rsidR="00000000" w:rsidRPr="00C308A5" w:rsidP="00C308A5">
            <w:pPr>
              <w:pStyle w:val="BodyText"/>
            </w:pPr>
            <w:r w:rsidRPr="00C308A5">
              <w:t>Assessment must occur in workplace operational situations where it is appropriate to do so; where this is not appropriate, assessment must occur in simulated workplac</w:t>
            </w:r>
            <w:r w:rsidRPr="00C308A5">
              <w:t>e operational situations that replicate workplace conditions.</w:t>
            </w:r>
          </w:p>
          <w:p w:rsidR="00000000" w:rsidRPr="00C308A5" w:rsidP="00C308A5">
            <w:pPr>
              <w:pStyle w:val="BodyText"/>
            </w:pPr>
            <w:r w:rsidRPr="00C308A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308A5" w:rsidP="00C308A5">
            <w:pPr>
              <w:pStyle w:val="BodyText"/>
            </w:pPr>
            <w:r w:rsidRPr="00C308A5">
              <w:t>Resources for assessment m</w:t>
            </w:r>
            <w:r w:rsidRPr="00C308A5">
              <w:t>ust include access to:</w:t>
            </w:r>
          </w:p>
          <w:p w:rsidR="00000000" w:rsidRPr="00C308A5" w:rsidP="00C308A5">
            <w:pPr>
              <w:pStyle w:val="ListBullet"/>
            </w:pPr>
            <w:r w:rsidRPr="00C308A5">
              <w:t>a range of relevant exercises, case studies and/or other simulations</w:t>
            </w:r>
          </w:p>
          <w:p w:rsidR="00000000" w:rsidRPr="00C308A5" w:rsidP="00C308A5">
            <w:pPr>
              <w:pStyle w:val="ListBullet"/>
            </w:pPr>
            <w:r w:rsidRPr="00C308A5">
              <w:t xml:space="preserve">relevant and appropriate materials, tools, equipment and personal protective equipment (PPE) currently used in industry </w:t>
            </w:r>
          </w:p>
          <w:p w:rsidR="00000000" w:rsidRPr="00C308A5" w:rsidP="00C308A5">
            <w:pPr>
              <w:pStyle w:val="ListBullet"/>
            </w:pPr>
            <w:r w:rsidRPr="00C308A5">
              <w:t>applicable documentation, including workpl</w:t>
            </w:r>
            <w:r w:rsidRPr="00C308A5">
              <w:t>ace procedures, equipment specifications, regulations, codes of practice and operation manuals.</w:t>
            </w:r>
          </w:p>
        </w:tc>
      </w:tr>
    </w:tbl>
    <w:p w:rsidR="00000000" w:rsidRPr="00C308A5" w:rsidP="00C308A5">
      <w:pPr>
        <w:pStyle w:val="NoPaddingFontSize1"/>
      </w:pPr>
    </w:p>
    <w:p w:rsidR="00000000" w:rsidRPr="00C308A5" w:rsidP="00C308A5">
      <w:pPr>
        <w:pStyle w:val="AllowPageBreak"/>
      </w:pPr>
    </w:p>
    <w:p w:rsidR="00000000" w:rsidRPr="00C308A5" w:rsidP="00C308A5">
      <w:pPr>
        <w:pStyle w:val="Heading1"/>
      </w:pPr>
      <w:bookmarkStart w:id="15" w:name="O_1191504"/>
      <w:bookmarkEnd w:id="15"/>
      <w:r w:rsidRPr="00C308A5">
        <w:t>Links</w:t>
      </w:r>
    </w:p>
    <w:p w:rsidR="00000000" w:rsidRPr="00C308A5" w:rsidP="00A62FDC">
      <w:pPr>
        <w:pStyle w:val="BodyText"/>
      </w:pPr>
      <w:r w:rsidRPr="00C308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E598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308A5" w:rsidP="00C308A5"/>
    <w:sectPr w:rsidSect="00C308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 w:rsidRPr="00A62FDC" w:rsidP="00A62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DC" w:rsidP="00C30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2FDC" w:rsidP="00C30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62FDC" w:rsidP="00C308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 w:rsidP="00C308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2FDC">
      <w:t>Approved</w:t>
    </w:r>
    <w:r w:rsidR="00A62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2FD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2FDC">
      <w:rPr>
        <w:noProof/>
      </w:rPr>
      <w:t>5</w:t>
    </w:r>
    <w:r>
      <w:rPr>
        <w:noProof/>
      </w:rPr>
      <w:fldChar w:fldCharType="end"/>
    </w:r>
  </w:p>
  <w:p w:rsidR="00C308A5" w:rsidP="00C308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2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2FDC">
      <w:t>Powering Skills Organisation</w:t>
    </w:r>
    <w:r w:rsidR="00A62FDC">
      <w:fldChar w:fldCharType="end"/>
    </w:r>
  </w:p>
  <w:p w:rsidR="00C308A5" w:rsidP="00C308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8A5" w:rsidRPr="00A62FDC" w:rsidP="00A62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DC" w:rsidRPr="002D2AF8" w:rsidP="00C30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UEPOPS049 Manage critical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2FDC" w:rsidP="00C308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A5" w:rsidRPr="002D2AF8" w:rsidP="00C308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2FDC">
      <w:t>UEPOPS049 Manage critical incidents</w:t>
    </w:r>
    <w:r w:rsidR="00A62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2FDC">
      <w:rPr>
        <w:noProof/>
      </w:rPr>
      <w:t>2 March 2025</w:t>
    </w:r>
    <w:r>
      <w:fldChar w:fldCharType="end"/>
    </w:r>
  </w:p>
  <w:p w:rsidR="00C308A5" w:rsidP="00C308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2E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500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BCF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8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8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8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8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8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8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8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8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8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8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8A5"/>
  </w:style>
  <w:style w:type="character" w:customStyle="1" w:styleId="Heading1Char">
    <w:name w:val="Heading 1 Char"/>
    <w:basedOn w:val="DefaultParagraphFont"/>
    <w:link w:val="Heading1"/>
    <w:rsid w:val="00C308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8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8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8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8A5"/>
    <w:rPr>
      <w:b/>
      <w:spacing w:val="0"/>
    </w:rPr>
  </w:style>
  <w:style w:type="paragraph" w:styleId="ListBullet2">
    <w:name w:val="List Bullet 2"/>
    <w:basedOn w:val="List2"/>
    <w:rsid w:val="00C308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8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8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8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8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8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8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8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8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8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8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8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8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8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8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8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8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8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8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8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8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8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8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8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8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8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8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8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8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8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8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8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8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8A5"/>
    <w:rPr>
      <w:i/>
    </w:rPr>
  </w:style>
  <w:style w:type="paragraph" w:styleId="Caption">
    <w:name w:val="caption"/>
    <w:basedOn w:val="BodyText"/>
    <w:next w:val="Normal"/>
    <w:qFormat/>
    <w:rsid w:val="00C308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8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8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8A5"/>
  </w:style>
  <w:style w:type="paragraph" w:styleId="TableofFigures">
    <w:name w:val="table of figures"/>
    <w:basedOn w:val="Normal"/>
    <w:next w:val="Normal"/>
    <w:semiHidden/>
    <w:rsid w:val="00C308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8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08A5"/>
    <w:rPr>
      <w:rFonts w:ascii="Wingdings" w:hAnsi="Wingdings"/>
    </w:rPr>
  </w:style>
  <w:style w:type="paragraph" w:customStyle="1" w:styleId="TableHeading">
    <w:name w:val="Table Heading"/>
    <w:basedOn w:val="HeadingBase"/>
    <w:rsid w:val="00C308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8A5"/>
    <w:rPr>
      <w:color w:val="0033CC"/>
      <w:u w:val="none"/>
    </w:rPr>
  </w:style>
  <w:style w:type="paragraph" w:customStyle="1" w:styleId="BodyTextRight">
    <w:name w:val="Body Text Right"/>
    <w:basedOn w:val="BodyText"/>
    <w:rsid w:val="00C308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8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8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8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8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8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8A5"/>
    <w:rPr>
      <w:sz w:val="32"/>
    </w:rPr>
  </w:style>
  <w:style w:type="paragraph" w:customStyle="1" w:styleId="HeadingProcedure">
    <w:name w:val="Heading Procedure"/>
    <w:basedOn w:val="HeadingBase"/>
    <w:next w:val="Normal"/>
    <w:rsid w:val="00C308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8A5"/>
    <w:pPr>
      <w:spacing w:before="60" w:after="60"/>
    </w:pPr>
  </w:style>
  <w:style w:type="paragraph" w:styleId="ListContinue">
    <w:name w:val="List Continue"/>
    <w:basedOn w:val="List"/>
    <w:rsid w:val="00C308A5"/>
    <w:pPr>
      <w:ind w:firstLine="0"/>
    </w:pPr>
  </w:style>
  <w:style w:type="paragraph" w:customStyle="1" w:styleId="ListNote">
    <w:name w:val="List Note"/>
    <w:basedOn w:val="List"/>
    <w:rsid w:val="00C308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8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8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8A5"/>
    <w:rPr>
      <w:rFonts w:ascii="Courier New" w:hAnsi="Courier New"/>
    </w:rPr>
  </w:style>
  <w:style w:type="paragraph" w:customStyle="1" w:styleId="NoteBullet">
    <w:name w:val="Note Bullet"/>
    <w:basedOn w:val="Note"/>
    <w:rsid w:val="00C308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8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8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8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8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8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8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8A5"/>
    <w:rPr>
      <w:b/>
      <w:smallCaps/>
    </w:rPr>
  </w:style>
  <w:style w:type="paragraph" w:customStyle="1" w:styleId="TableListNumber">
    <w:name w:val="Table List Number"/>
    <w:basedOn w:val="ListNumber"/>
    <w:rsid w:val="00C308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8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8A5"/>
    <w:pPr>
      <w:numPr>
        <w:numId w:val="9"/>
      </w:numPr>
    </w:pPr>
  </w:style>
  <w:style w:type="paragraph" w:customStyle="1" w:styleId="ListAlpha2">
    <w:name w:val="List Alpha 2"/>
    <w:basedOn w:val="List2"/>
    <w:rsid w:val="00C308A5"/>
    <w:pPr>
      <w:numPr>
        <w:numId w:val="8"/>
      </w:numPr>
    </w:pPr>
  </w:style>
  <w:style w:type="paragraph" w:styleId="List2">
    <w:name w:val="List 2"/>
    <w:basedOn w:val="BodyText"/>
    <w:rsid w:val="00C308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8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8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8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8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8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08A5"/>
    <w:pPr>
      <w:numPr>
        <w:numId w:val="4"/>
      </w:numPr>
    </w:pPr>
  </w:style>
  <w:style w:type="paragraph" w:styleId="ListContinue2">
    <w:name w:val="List Continue 2"/>
    <w:basedOn w:val="List2"/>
    <w:rsid w:val="00C308A5"/>
    <w:pPr>
      <w:ind w:firstLine="0"/>
    </w:pPr>
  </w:style>
  <w:style w:type="paragraph" w:styleId="ListContinue3">
    <w:name w:val="List Continue 3"/>
    <w:basedOn w:val="List3"/>
    <w:rsid w:val="00C308A5"/>
    <w:pPr>
      <w:ind w:left="1021" w:firstLine="0"/>
    </w:pPr>
  </w:style>
  <w:style w:type="paragraph" w:styleId="ListContinue4">
    <w:name w:val="List Continue 4"/>
    <w:basedOn w:val="List4"/>
    <w:rsid w:val="00C308A5"/>
    <w:pPr>
      <w:ind w:firstLine="0"/>
    </w:pPr>
  </w:style>
  <w:style w:type="paragraph" w:styleId="ListContinue5">
    <w:name w:val="List Continue 5"/>
    <w:basedOn w:val="List5"/>
    <w:rsid w:val="00C308A5"/>
    <w:pPr>
      <w:ind w:firstLine="0"/>
    </w:pPr>
  </w:style>
  <w:style w:type="paragraph" w:styleId="ListNumber3">
    <w:name w:val="List Number 3"/>
    <w:basedOn w:val="List3"/>
    <w:rsid w:val="00C308A5"/>
    <w:pPr>
      <w:numPr>
        <w:numId w:val="5"/>
      </w:numPr>
    </w:pPr>
  </w:style>
  <w:style w:type="paragraph" w:styleId="ListNumber4">
    <w:name w:val="List Number 4"/>
    <w:basedOn w:val="List4"/>
    <w:rsid w:val="00C308A5"/>
    <w:pPr>
      <w:numPr>
        <w:numId w:val="6"/>
      </w:numPr>
    </w:pPr>
  </w:style>
  <w:style w:type="paragraph" w:styleId="ListNumber5">
    <w:name w:val="List Number 5"/>
    <w:basedOn w:val="List5"/>
    <w:rsid w:val="00C308A5"/>
    <w:pPr>
      <w:numPr>
        <w:numId w:val="7"/>
      </w:numPr>
    </w:pPr>
  </w:style>
  <w:style w:type="paragraph" w:styleId="BlockText">
    <w:name w:val="Block Text"/>
    <w:basedOn w:val="Normal"/>
    <w:rsid w:val="00C308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8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8A5"/>
    <w:rPr>
      <w:sz w:val="16"/>
      <w:vertAlign w:val="superscript"/>
    </w:rPr>
  </w:style>
  <w:style w:type="character" w:customStyle="1" w:styleId="Symbols">
    <w:name w:val="Symbols"/>
    <w:basedOn w:val="DefaultParagraphFont"/>
    <w:rsid w:val="00C308A5"/>
    <w:rPr>
      <w:rFonts w:ascii="Symbol" w:hAnsi="Symbol"/>
    </w:rPr>
  </w:style>
  <w:style w:type="character" w:customStyle="1" w:styleId="MenuOptions">
    <w:name w:val="Menu Options"/>
    <w:basedOn w:val="DefaultParagraphFont"/>
    <w:rsid w:val="00C308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8A5"/>
    <w:rPr>
      <w:b/>
    </w:rPr>
  </w:style>
  <w:style w:type="character" w:customStyle="1" w:styleId="Underlined">
    <w:name w:val="Underlined"/>
    <w:basedOn w:val="DefaultParagraphFont"/>
    <w:rsid w:val="00C308A5"/>
    <w:rPr>
      <w:u w:val="single"/>
    </w:rPr>
  </w:style>
  <w:style w:type="paragraph" w:customStyle="1" w:styleId="TableBodyTextRight">
    <w:name w:val="Table Body Text Right"/>
    <w:basedOn w:val="TableBodyText"/>
    <w:rsid w:val="00C308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8A5"/>
    <w:rPr>
      <w:sz w:val="18"/>
    </w:rPr>
  </w:style>
  <w:style w:type="paragraph" w:customStyle="1" w:styleId="BodySmallRight">
    <w:name w:val="Body Small Right"/>
    <w:basedOn w:val="BodyTextRight"/>
    <w:rsid w:val="00C308A5"/>
    <w:rPr>
      <w:sz w:val="18"/>
      <w:szCs w:val="18"/>
    </w:rPr>
  </w:style>
  <w:style w:type="paragraph" w:customStyle="1" w:styleId="MarginEdition">
    <w:name w:val="Margin Edition"/>
    <w:basedOn w:val="MarginNote"/>
    <w:rsid w:val="00C308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8A5"/>
    <w:rPr>
      <w:sz w:val="2"/>
      <w:szCs w:val="2"/>
    </w:rPr>
  </w:style>
  <w:style w:type="character" w:customStyle="1" w:styleId="Small">
    <w:name w:val="Small"/>
    <w:basedOn w:val="DefaultParagraphFont"/>
    <w:rsid w:val="00C308A5"/>
    <w:rPr>
      <w:sz w:val="16"/>
    </w:rPr>
  </w:style>
  <w:style w:type="paragraph" w:customStyle="1" w:styleId="WideTable">
    <w:name w:val="Wide Table"/>
    <w:basedOn w:val="Normal"/>
    <w:rsid w:val="00C308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8A5"/>
  </w:style>
  <w:style w:type="paragraph" w:styleId="Quote">
    <w:name w:val="Quote"/>
    <w:basedOn w:val="Heading1"/>
    <w:link w:val="QuoteChar"/>
    <w:qFormat/>
    <w:rsid w:val="00C308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8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8A5"/>
    <w:pPr>
      <w:pageBreakBefore/>
    </w:pPr>
  </w:style>
  <w:style w:type="paragraph" w:customStyle="1" w:styleId="Border">
    <w:name w:val="Border"/>
    <w:basedOn w:val="Normal"/>
    <w:qFormat/>
    <w:rsid w:val="00C308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8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8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8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8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8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8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8A5"/>
    <w:rPr>
      <w:u w:val="single"/>
    </w:rPr>
  </w:style>
  <w:style w:type="character" w:customStyle="1" w:styleId="BoldandItalics">
    <w:name w:val="Bold and Italics"/>
    <w:qFormat/>
    <w:rsid w:val="00C308A5"/>
    <w:rPr>
      <w:b/>
      <w:i/>
      <w:u w:val="none"/>
    </w:rPr>
  </w:style>
  <w:style w:type="paragraph" w:styleId="BalloonText">
    <w:name w:val="Balloon Text"/>
    <w:basedOn w:val="Normal"/>
    <w:link w:val="BalloonTextChar"/>
    <w:rsid w:val="00C30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8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8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8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8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8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8A5"/>
    <w:pPr>
      <w:spacing w:before="0" w:after="0"/>
    </w:pPr>
  </w:style>
  <w:style w:type="paragraph" w:customStyle="1" w:styleId="BodyTextBold">
    <w:name w:val="Body Text Bold"/>
    <w:basedOn w:val="BodyText"/>
    <w:qFormat/>
    <w:rsid w:val="00C308A5"/>
    <w:rPr>
      <w:b/>
    </w:rPr>
  </w:style>
  <w:style w:type="character" w:styleId="Hyperlink">
    <w:name w:val="Hyperlink"/>
    <w:basedOn w:val="DefaultParagraphFont"/>
    <w:uiPriority w:val="99"/>
    <w:unhideWhenUsed/>
    <w:rsid w:val="00A62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8788</Characters>
  <Application>Microsoft Office Word</Application>
  <DocSecurity>0</DocSecurity>
  <Lines>303</Lines>
  <Paragraphs>162</Paragraphs>
  <ScaleCrop>false</ScaleCrop>
  <Company>Author-it Software Corporation Ltd.</Company>
  <LinksUpToDate>false</LinksUpToDate>
  <CharactersWithSpaces>9926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UEPOPS049 Manage critical incidents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