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BC5" w:rsidP="00625BC5">
      <w:pPr>
        <w:pStyle w:val="Title"/>
      </w:pPr>
      <w:r>
        <w:fldChar w:fldCharType="begin"/>
      </w:r>
      <w:r>
        <w:instrText xml:space="preserve"> TITLE   \* MERGEFORMAT </w:instrText>
      </w:r>
      <w:r>
        <w:fldChar w:fldCharType="separate"/>
      </w:r>
      <w:r>
        <w:t>UEPOPS040 Facilitate the use of contingency plans for power generation facilities</w:t>
      </w:r>
      <w:r>
        <w:fldChar w:fldCharType="end"/>
      </w:r>
    </w:p>
    <w:p w:rsidR="00625BC5" w:rsidP="00625BC5">
      <w:pPr>
        <w:pStyle w:val="Version"/>
        <w:sectPr w:rsidSect="008619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91F" w:rsidP="0086191F">
      <w:pPr>
        <w:pStyle w:val="SuperHeading"/>
      </w:pPr>
      <w:r w:rsidRPr="0086191F">
        <w:t>UEPOPS040 Facilitate the use of contingency plans for power generation facilities</w:t>
      </w:r>
    </w:p>
    <w:p w:rsidR="00000000" w:rsidRPr="0086191F" w:rsidP="0086191F">
      <w:pPr>
        <w:pStyle w:val="Heading1"/>
      </w:pPr>
      <w:bookmarkStart w:id="1" w:name="O_1190801"/>
      <w:bookmarkEnd w:id="1"/>
      <w:r w:rsidRPr="0086191F">
        <w:t>Modification History</w:t>
      </w:r>
    </w:p>
    <w:tbl>
      <w:tblPr>
        <w:tblW w:w="9497" w:type="dxa"/>
        <w:tblLayout w:type="fixed"/>
        <w:tblCellMar>
          <w:left w:w="62" w:type="dxa"/>
          <w:right w:w="62" w:type="dxa"/>
        </w:tblCellMar>
        <w:tblLook w:val="0000"/>
      </w:tblPr>
      <w:tblGrid>
        <w:gridCol w:w="9497"/>
      </w:tblGrid>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t>Release 1. This is the first release of this unit of competency in the UEP Electricity Supply Industry - Generation Sector Training Package Release 2.0.</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2" w:name="O_1190802"/>
      <w:bookmarkEnd w:id="2"/>
      <w:r w:rsidRPr="0086191F">
        <w:t>Application</w:t>
      </w:r>
    </w:p>
    <w:tbl>
      <w:tblPr>
        <w:tblW w:w="9497" w:type="dxa"/>
        <w:tblLayout w:type="fixed"/>
        <w:tblCellMar>
          <w:left w:w="62" w:type="dxa"/>
          <w:right w:w="62" w:type="dxa"/>
        </w:tblCellMar>
        <w:tblLook w:val="0000"/>
      </w:tblPr>
      <w:tblGrid>
        <w:gridCol w:w="9497"/>
      </w:tblGrid>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t>This unit involves the skills and knowledge required to facilitate the</w:t>
            </w:r>
            <w:r w:rsidRPr="0086191F">
              <w:t xml:space="preserve"> use of contingency plans that are developed to support the integrity of power generation facilities. </w:t>
            </w:r>
          </w:p>
          <w:p w:rsidR="00000000" w:rsidRPr="0086191F" w:rsidP="0086191F">
            <w:pPr>
              <w:pStyle w:val="BodyText"/>
            </w:pPr>
            <w:r w:rsidRPr="0086191F">
              <w:t xml:space="preserve">A contingency plan is a course of action designed by a power generation facility to respond to potentially disruptive situations. </w:t>
            </w:r>
          </w:p>
          <w:p w:rsidR="00000000" w:rsidRPr="0086191F" w:rsidP="0086191F">
            <w:pPr>
              <w:pStyle w:val="BodyText"/>
            </w:pPr>
            <w:r w:rsidRPr="0086191F">
              <w:t>Competency in this uni</w:t>
            </w:r>
            <w:r w:rsidRPr="0086191F">
              <w:t xml:space="preserve">t requires the ability to identify contingencies, identify preferred contingency plans and complete all documentation. Individuals will, in general, work as an operator with responsibility for contingency planning or risk management, in a power generation </w:t>
            </w:r>
            <w:r w:rsidRPr="0086191F">
              <w:t xml:space="preserve">facility. </w:t>
            </w:r>
          </w:p>
          <w:p w:rsidR="00000000" w:rsidRPr="0086191F" w:rsidP="0086191F">
            <w:pPr>
              <w:pStyle w:val="BodyText"/>
            </w:pPr>
            <w:r w:rsidRPr="0086191F">
              <w:t>Power generation plant operators are trained and authorised to isolate, prepare plant and issue permits to work.</w:t>
            </w:r>
          </w:p>
          <w:p w:rsidR="00000000" w:rsidRPr="0086191F" w:rsidP="0086191F">
            <w:pPr>
              <w:pStyle w:val="BodyText"/>
            </w:pPr>
            <w:r w:rsidRPr="0086191F">
              <w:t>No licensing, legislative or certification requirements apply to this unit at the time of publication.</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3" w:name="O_1190803"/>
      <w:bookmarkEnd w:id="3"/>
      <w:r w:rsidRPr="0086191F">
        <w:t>Pre-requ</w:t>
      </w:r>
      <w:r w:rsidRPr="0086191F">
        <w:t>isite Unit</w:t>
      </w:r>
    </w:p>
    <w:tbl>
      <w:tblPr>
        <w:tblW w:w="9497" w:type="dxa"/>
        <w:tblLayout w:type="fixed"/>
        <w:tblCellMar>
          <w:left w:w="62" w:type="dxa"/>
          <w:right w:w="62" w:type="dxa"/>
        </w:tblCellMar>
        <w:tblLook w:val="0000"/>
      </w:tblPr>
      <w:tblGrid>
        <w:gridCol w:w="9497"/>
      </w:tblGrid>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t>There are no prerequisite units</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4" w:name="O_1190804"/>
      <w:bookmarkEnd w:id="4"/>
      <w:r w:rsidRPr="0086191F">
        <w:t>Competency Field</w:t>
      </w:r>
    </w:p>
    <w:tbl>
      <w:tblPr>
        <w:tblW w:w="9497" w:type="dxa"/>
        <w:tblLayout w:type="fixed"/>
        <w:tblCellMar>
          <w:left w:w="62" w:type="dxa"/>
          <w:right w:w="62" w:type="dxa"/>
        </w:tblCellMar>
        <w:tblLook w:val="0000"/>
      </w:tblPr>
      <w:tblGrid>
        <w:gridCol w:w="9497"/>
      </w:tblGrid>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t>Operations</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5" w:name="O_1190805"/>
      <w:bookmarkEnd w:id="5"/>
      <w:r w:rsidRPr="0086191F">
        <w:t>Unit Sector</w:t>
      </w:r>
    </w:p>
    <w:tbl>
      <w:tblPr>
        <w:tblW w:w="9497" w:type="dxa"/>
        <w:tblLayout w:type="fixed"/>
        <w:tblCellMar>
          <w:left w:w="62" w:type="dxa"/>
          <w:right w:w="62" w:type="dxa"/>
        </w:tblCellMar>
        <w:tblLook w:val="0000"/>
      </w:tblPr>
      <w:tblGrid>
        <w:gridCol w:w="9497"/>
      </w:tblGrid>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t>Electricity generation</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6" w:name="O_1190806"/>
      <w:bookmarkEnd w:id="6"/>
      <w:r w:rsidRPr="0086191F">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6191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rPr>
                <w:rStyle w:val="SpecialBold"/>
              </w:rPr>
              <w:t>PERFORMANCE CRITERIA</w:t>
            </w:r>
          </w:p>
        </w:tc>
      </w:tr>
      <w:tr w:rsidTr="0086191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t>Performance criteria describe the performance needed to demonstrate achievement of the element.</w:t>
            </w:r>
          </w:p>
        </w:tc>
      </w:tr>
      <w:tr w:rsidTr="0086191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rPr>
                <w:rStyle w:val="SpecialBold"/>
              </w:rPr>
              <w:t>Identify contingencies</w:t>
            </w:r>
          </w:p>
        </w:tc>
        <w:tc>
          <w:tcPr>
            <w:tcW w:w="702"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t>Work health and safety (WHS)/occupational health and safety (OHS) regulations, legislative requirements, codes of practice, manufacturers’ recommendations and specifications, environmental requirements and workplace procedures are identified, applied and m</w:t>
            </w:r>
            <w:r w:rsidRPr="0086191F">
              <w:t>onitored</w:t>
            </w:r>
          </w:p>
        </w:tc>
      </w:tr>
      <w:tr w:rsidTr="0086191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19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t>Impact of risks is assessed and evaluated from the risk management system and discussed with relevant personnel and stakeholders in accordance with workplace procedures</w:t>
            </w:r>
          </w:p>
        </w:tc>
      </w:tr>
      <w:tr w:rsidTr="0086191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rPr>
                <w:rStyle w:val="SpecialBold"/>
              </w:rPr>
              <w:t>Identify contingency plan processes</w:t>
            </w:r>
          </w:p>
        </w:tc>
        <w:tc>
          <w:tcPr>
            <w:tcW w:w="702"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t xml:space="preserve">Contingency plan processes are identified and applied in accordance with workplace procedures </w:t>
            </w:r>
          </w:p>
        </w:tc>
      </w:tr>
      <w:tr w:rsidTr="0086191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19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t xml:space="preserve">Roles and responsibilities for the contingency plan are identified in accordance with workplace procedures </w:t>
            </w:r>
          </w:p>
        </w:tc>
      </w:tr>
      <w:tr w:rsidTr="0086191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t>Power generating</w:t>
            </w:r>
            <w:r w:rsidRPr="0086191F">
              <w:t xml:space="preserve"> plant problems, movements and status are reported in accordance with contingency plan and workplace procedures</w:t>
            </w:r>
          </w:p>
        </w:tc>
      </w:tr>
      <w:tr w:rsidTr="0086191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191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t>Documentation is updated in accordance with workplace procedures</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7" w:name="O_1190807"/>
      <w:bookmarkEnd w:id="7"/>
      <w:r w:rsidRPr="0086191F">
        <w:t>Foundation Skills</w:t>
      </w:r>
    </w:p>
    <w:tbl>
      <w:tblPr>
        <w:tblW w:w="9497" w:type="dxa"/>
        <w:tblLayout w:type="fixed"/>
        <w:tblCellMar>
          <w:left w:w="62" w:type="dxa"/>
          <w:right w:w="62" w:type="dxa"/>
        </w:tblCellMar>
        <w:tblLook w:val="0000"/>
      </w:tblPr>
      <w:tblGrid>
        <w:gridCol w:w="9497"/>
      </w:tblGrid>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t>Foundation skills essential to performance are explicit in the performance criteria of this unit of competency.</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8" w:name="O_1190808"/>
      <w:bookmarkEnd w:id="8"/>
      <w:r w:rsidRPr="0086191F">
        <w:t>Range of Conditions</w:t>
      </w:r>
    </w:p>
    <w:tbl>
      <w:tblPr>
        <w:tblW w:w="9497" w:type="dxa"/>
        <w:tblLayout w:type="fixed"/>
        <w:tblCellMar>
          <w:left w:w="62" w:type="dxa"/>
          <w:right w:w="62" w:type="dxa"/>
        </w:tblCellMar>
        <w:tblLook w:val="0000"/>
      </w:tblPr>
      <w:tblGrid>
        <w:gridCol w:w="9497"/>
      </w:tblGrid>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t>Range is restricted to essential operati</w:t>
            </w:r>
            <w:r w:rsidRPr="0086191F">
              <w:t>ng conditions and any other variables essential to the work environment.</w:t>
            </w:r>
          </w:p>
          <w:p w:rsidR="00000000" w:rsidRPr="0086191F" w:rsidP="0086191F">
            <w:pPr>
              <w:pStyle w:val="BodyText"/>
            </w:pPr>
            <w:r w:rsidRPr="0086191F">
              <w:t>Non-essential conditions may be found in the UEP Electricity Supply Industry - Generation Sector Training Package Companion Volume Implementation Guide.</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9" w:name="O_1190809"/>
      <w:bookmarkEnd w:id="9"/>
      <w:r w:rsidRPr="0086191F">
        <w:t>Unit Mapp</w:t>
      </w:r>
      <w:r w:rsidRPr="0086191F">
        <w:t>ing Information</w:t>
      </w:r>
    </w:p>
    <w:tbl>
      <w:tblPr>
        <w:tblW w:w="9497" w:type="dxa"/>
        <w:tblLayout w:type="fixed"/>
        <w:tblCellMar>
          <w:left w:w="62" w:type="dxa"/>
          <w:right w:w="62" w:type="dxa"/>
        </w:tblCellMar>
        <w:tblLook w:val="0000"/>
      </w:tblPr>
      <w:tblGrid>
        <w:gridCol w:w="9497"/>
      </w:tblGrid>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t>This unit replaces and is equivalent to UEPOPS370 Facilitate the use of contingency plans for power generation facilities.</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10" w:name="O_1190816"/>
      <w:bookmarkEnd w:id="10"/>
      <w:r w:rsidRPr="0086191F">
        <w:t>Links</w:t>
      </w:r>
    </w:p>
    <w:p w:rsidR="00000000" w:rsidRPr="0086191F" w:rsidP="00625BC5">
      <w:pPr>
        <w:pStyle w:val="BodyText"/>
      </w:pPr>
      <w:r w:rsidRPr="0086191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A4ACE">
        <w:rPr>
          <w:rStyle w:val="Hyperlink"/>
        </w:rPr>
        <w:t>https://vetnet.gov.au/Pages/TrainingDocs.aspx?q=1715b9fa-e7bd-441c-bb8d-cf22c9c825a8</w:t>
      </w:r>
      <w:r>
        <w:fldChar w:fldCharType="end"/>
      </w:r>
    </w:p>
    <w:p w:rsidR="00000000" w:rsidRPr="0086191F" w:rsidP="00625BC5">
      <w:pPr>
        <w:pStyle w:val="BodyText"/>
        <w:sectPr w:rsidSect="0086191F">
          <w:headerReference w:type="default" r:id="rId10"/>
          <w:footerReference w:type="default" r:id="rId11"/>
          <w:pgSz w:w="11908" w:h="16833"/>
          <w:pgMar w:top="1702" w:right="1418" w:bottom="1702" w:left="1418" w:header="992" w:footer="992" w:gutter="0"/>
          <w:cols w:space="720"/>
          <w:noEndnote/>
          <w:docGrid w:linePitch="299"/>
        </w:sectPr>
      </w:pPr>
    </w:p>
    <w:p w:rsidR="00000000" w:rsidRPr="0086191F" w:rsidP="0086191F">
      <w:pPr>
        <w:pStyle w:val="SuperHeading"/>
      </w:pPr>
      <w:r w:rsidRPr="0086191F">
        <w:t>Assessment Requirements for UEPOPS040 Facilitate the use of contingency plans for power generation facilities</w:t>
      </w:r>
    </w:p>
    <w:p w:rsidR="00000000" w:rsidRPr="0086191F" w:rsidP="0086191F">
      <w:pPr>
        <w:pStyle w:val="Heading1"/>
      </w:pPr>
      <w:bookmarkStart w:id="11" w:name="O_1190811"/>
      <w:bookmarkEnd w:id="11"/>
      <w:r w:rsidRPr="0086191F">
        <w:t>Modification History</w:t>
      </w:r>
    </w:p>
    <w:tbl>
      <w:tblPr>
        <w:tblW w:w="9497" w:type="dxa"/>
        <w:tblLayout w:type="fixed"/>
        <w:tblCellMar>
          <w:left w:w="62" w:type="dxa"/>
          <w:right w:w="62" w:type="dxa"/>
        </w:tblCellMar>
        <w:tblLook w:val="0000"/>
      </w:tblPr>
      <w:tblGrid>
        <w:gridCol w:w="9497"/>
      </w:tblGrid>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t>Release 1. This is the first release of this unit of competency in the UEP Electricity Supply Industry - Generation Sector Training Package Release 2.0.</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12" w:name="O_1190812"/>
      <w:bookmarkEnd w:id="12"/>
      <w:r w:rsidRPr="0086191F">
        <w:t>Performance Evidence</w:t>
      </w:r>
    </w:p>
    <w:tbl>
      <w:tblPr>
        <w:tblW w:w="9497" w:type="dxa"/>
        <w:tblLayout w:type="fixed"/>
        <w:tblCellMar>
          <w:left w:w="62" w:type="dxa"/>
          <w:right w:w="62" w:type="dxa"/>
        </w:tblCellMar>
        <w:tblLook w:val="0000"/>
      </w:tblPr>
      <w:tblGrid>
        <w:gridCol w:w="9497"/>
      </w:tblGrid>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t>Evidence required to demonstrate competence in this unit must</w:t>
            </w:r>
            <w:r w:rsidRPr="0086191F">
              <w:t xml:space="preserve"> be relevant to and satisfy all the requirements of the elements and performance criteria on at least two separate occasions and include: </w:t>
            </w:r>
          </w:p>
        </w:tc>
      </w:tr>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91F" w:rsidP="0086191F">
            <w:pPr>
              <w:pStyle w:val="ListBullet"/>
            </w:pPr>
            <w:r w:rsidRPr="0086191F">
              <w:t>applying work health and safety (WHS)/occupational health and safety (OHS) requirements, including:</w:t>
            </w:r>
          </w:p>
          <w:p w:rsidR="00000000" w:rsidRPr="0086191F" w:rsidP="0086191F">
            <w:pPr>
              <w:pStyle w:val="ListBullet2"/>
            </w:pPr>
            <w:r w:rsidRPr="0086191F">
              <w:t>emergency proc</w:t>
            </w:r>
            <w:r w:rsidRPr="0086191F">
              <w:t>edures</w:t>
            </w:r>
          </w:p>
          <w:p w:rsidR="00000000" w:rsidRPr="0086191F" w:rsidP="0086191F">
            <w:pPr>
              <w:pStyle w:val="ListBullet2"/>
            </w:pPr>
            <w:r w:rsidRPr="0086191F">
              <w:t>risk control measures</w:t>
            </w:r>
          </w:p>
          <w:p w:rsidR="00000000" w:rsidRPr="0086191F" w:rsidP="0086191F">
            <w:pPr>
              <w:pStyle w:val="ListBullet2"/>
            </w:pPr>
            <w:r w:rsidRPr="0086191F">
              <w:t>safe working practices</w:t>
            </w:r>
          </w:p>
          <w:p w:rsidR="00000000" w:rsidRPr="0086191F" w:rsidP="0086191F">
            <w:pPr>
              <w:pStyle w:val="ListBullet"/>
            </w:pPr>
            <w:r w:rsidRPr="0086191F">
              <w:t>communicating with personnel and stakeholders</w:t>
            </w:r>
          </w:p>
          <w:p w:rsidR="00000000" w:rsidRPr="0086191F" w:rsidP="0086191F">
            <w:pPr>
              <w:pStyle w:val="ListBullet"/>
            </w:pPr>
            <w:r w:rsidRPr="0086191F">
              <w:t xml:space="preserve">completing documentation </w:t>
            </w:r>
          </w:p>
          <w:p w:rsidR="00000000" w:rsidRPr="0086191F" w:rsidP="0086191F">
            <w:pPr>
              <w:pStyle w:val="ListBullet"/>
            </w:pPr>
            <w:r w:rsidRPr="0086191F">
              <w:t>identifying potential contingencies to support the integrity of power generation facilities</w:t>
            </w:r>
          </w:p>
          <w:p w:rsidR="00000000" w:rsidRPr="0086191F" w:rsidP="0086191F">
            <w:pPr>
              <w:pStyle w:val="ListBullet"/>
            </w:pPr>
            <w:r w:rsidRPr="0086191F">
              <w:t xml:space="preserve">implementing regulations, legislative requirements, codes of practice, manufacturers’ recommendations and specifications, and environmental requirements </w:t>
            </w:r>
          </w:p>
          <w:p w:rsidR="00000000" w:rsidRPr="0086191F" w:rsidP="0086191F">
            <w:pPr>
              <w:pStyle w:val="ListBullet"/>
            </w:pPr>
            <w:r w:rsidRPr="0086191F">
              <w:t>recognising and using contingency plan processes.</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13" w:name="O_1190813"/>
      <w:bookmarkEnd w:id="13"/>
      <w:r w:rsidRPr="0086191F">
        <w:t>Knowledge Evidence</w:t>
      </w:r>
    </w:p>
    <w:tbl>
      <w:tblPr>
        <w:tblW w:w="9497" w:type="dxa"/>
        <w:tblLayout w:type="fixed"/>
        <w:tblCellMar>
          <w:left w:w="62" w:type="dxa"/>
          <w:right w:w="62" w:type="dxa"/>
        </w:tblCellMar>
        <w:tblLook w:val="0000"/>
      </w:tblPr>
      <w:tblGrid>
        <w:gridCol w:w="9497"/>
      </w:tblGrid>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191F">
            <w:pPr>
              <w:pStyle w:val="BodyText"/>
              <w:rPr>
                <w:lang w:val="en-NZ"/>
              </w:rPr>
            </w:pPr>
            <w:r w:rsidRPr="0086191F">
              <w:t xml:space="preserve">Evidence required to demonstrate competence in this unit must be relevant to and satisfy all the requirements of the elements and performance criteria and include knowledge of: </w:t>
            </w:r>
          </w:p>
        </w:tc>
      </w:tr>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91F" w:rsidP="0086191F">
            <w:pPr>
              <w:pStyle w:val="ListBullet"/>
            </w:pPr>
            <w:r w:rsidRPr="0086191F">
              <w:t>application of contingency plans</w:t>
            </w:r>
          </w:p>
          <w:p w:rsidR="00000000" w:rsidRPr="0086191F" w:rsidP="0086191F">
            <w:pPr>
              <w:pStyle w:val="ListBullet"/>
            </w:pPr>
            <w:r w:rsidRPr="0086191F">
              <w:t>arrangements of power production plant</w:t>
            </w:r>
          </w:p>
          <w:p w:rsidR="00000000" w:rsidRPr="0086191F" w:rsidP="0086191F">
            <w:pPr>
              <w:pStyle w:val="ListBullet"/>
            </w:pPr>
            <w:r w:rsidRPr="0086191F">
              <w:t>iden</w:t>
            </w:r>
            <w:r w:rsidRPr="0086191F">
              <w:t xml:space="preserve">tification of contingency plan processes </w:t>
            </w:r>
          </w:p>
          <w:p w:rsidR="00000000" w:rsidRPr="0086191F" w:rsidP="0086191F">
            <w:pPr>
              <w:pStyle w:val="ListBullet"/>
            </w:pPr>
            <w:r w:rsidRPr="0086191F">
              <w:t>power generating plant and equipment, location and operating parameters</w:t>
            </w:r>
          </w:p>
          <w:p w:rsidR="00000000" w:rsidRPr="0086191F" w:rsidP="0086191F">
            <w:pPr>
              <w:pStyle w:val="ListBullet"/>
            </w:pPr>
            <w:r w:rsidRPr="0086191F">
              <w:t>regulations, legislative requirements, codes of practice, manufacturers’ recommendations and specifications, and environmental requirements</w:t>
            </w:r>
          </w:p>
          <w:p w:rsidR="00000000" w:rsidRPr="0086191F" w:rsidP="0086191F">
            <w:pPr>
              <w:pStyle w:val="ListBullet"/>
            </w:pPr>
            <w:r w:rsidRPr="0086191F">
              <w:t>WH</w:t>
            </w:r>
            <w:r w:rsidRPr="0086191F">
              <w:t>S/OHS requirements, including:</w:t>
            </w:r>
          </w:p>
          <w:p w:rsidR="00000000" w:rsidRPr="0086191F" w:rsidP="0086191F">
            <w:pPr>
              <w:pStyle w:val="ListBullet2"/>
            </w:pPr>
            <w:r w:rsidRPr="0086191F">
              <w:t>emergency procedures</w:t>
            </w:r>
          </w:p>
          <w:p w:rsidR="00000000" w:rsidRPr="0086191F" w:rsidP="0086191F">
            <w:pPr>
              <w:pStyle w:val="ListBullet2"/>
            </w:pPr>
            <w:r w:rsidRPr="0086191F">
              <w:t>risk control measures</w:t>
            </w:r>
          </w:p>
          <w:p w:rsidR="00000000" w:rsidRPr="0086191F" w:rsidP="0086191F">
            <w:pPr>
              <w:pStyle w:val="ListBullet2"/>
            </w:pPr>
            <w:r w:rsidRPr="0086191F">
              <w:t>safe working practices</w:t>
            </w:r>
          </w:p>
          <w:p w:rsidR="00000000" w:rsidRPr="0086191F" w:rsidP="0086191F">
            <w:pPr>
              <w:pStyle w:val="ListBullet"/>
            </w:pPr>
            <w:r w:rsidRPr="0086191F">
              <w:t>workplace documentation</w:t>
            </w:r>
          </w:p>
          <w:p w:rsidR="00000000" w:rsidRPr="0086191F" w:rsidP="0086191F">
            <w:pPr>
              <w:pStyle w:val="ListBullet"/>
            </w:pPr>
            <w:r w:rsidRPr="0086191F">
              <w:t>workplace policies and procedures.</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14" w:name="O_1190814"/>
      <w:bookmarkEnd w:id="14"/>
      <w:r w:rsidRPr="0086191F">
        <w:t>Assessment Conditions</w:t>
      </w:r>
    </w:p>
    <w:tbl>
      <w:tblPr>
        <w:tblW w:w="9497" w:type="dxa"/>
        <w:tblLayout w:type="fixed"/>
        <w:tblCellMar>
          <w:left w:w="62" w:type="dxa"/>
          <w:right w:w="62" w:type="dxa"/>
        </w:tblCellMar>
        <w:tblLook w:val="0000"/>
      </w:tblPr>
      <w:tblGrid>
        <w:gridCol w:w="9497"/>
      </w:tblGrid>
      <w:tr w:rsidTr="00861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91F" w:rsidP="0086191F">
            <w:pPr>
              <w:pStyle w:val="BodyText"/>
            </w:pPr>
            <w:r w:rsidRPr="0086191F">
              <w:t xml:space="preserve">Assessors must hold credentials specified within the Standards for Registered Training Organisations current at the time of assessment. </w:t>
            </w:r>
          </w:p>
          <w:p w:rsidR="00000000" w:rsidRPr="0086191F" w:rsidP="0086191F">
            <w:pPr>
              <w:pStyle w:val="BodyText"/>
            </w:pPr>
            <w:r w:rsidRPr="0086191F">
              <w:t>Assessment must satisfy the Principles of Assessment and Rules of Evidence and all regulatory requirements included wit</w:t>
            </w:r>
            <w:r w:rsidRPr="0086191F">
              <w:t>hin the Standards for Registered Training Organisations current at the time of assessment.</w:t>
            </w:r>
          </w:p>
          <w:p w:rsidR="00000000" w:rsidRPr="0086191F" w:rsidP="0086191F">
            <w:pPr>
              <w:pStyle w:val="BodyText"/>
            </w:pPr>
            <w:r w:rsidRPr="0086191F">
              <w:t>Assessment must occur in workplace operational situations where it is appropriate to do so; where this is not appropriate, assessment must occur in simulated workpla</w:t>
            </w:r>
            <w:r w:rsidRPr="0086191F">
              <w:t>ce operational situations that replicate workplace conditions.</w:t>
            </w:r>
          </w:p>
          <w:p w:rsidR="00000000" w:rsidRPr="0086191F" w:rsidP="0086191F">
            <w:pPr>
              <w:pStyle w:val="BodyText"/>
            </w:pPr>
            <w:r w:rsidRPr="0086191F">
              <w:t>Assessment processes and techniques must be appropriate to the language, literacy and numeracy requirements of the work being performed and the needs of the candidate.</w:t>
            </w:r>
          </w:p>
          <w:p w:rsidR="00000000" w:rsidRPr="0086191F" w:rsidP="0086191F">
            <w:pPr>
              <w:pStyle w:val="BodyText"/>
            </w:pPr>
            <w:r w:rsidRPr="0086191F">
              <w:t xml:space="preserve">Resources for assessment </w:t>
            </w:r>
            <w:r w:rsidRPr="0086191F">
              <w:t>must include access to:</w:t>
            </w:r>
          </w:p>
          <w:p w:rsidR="00000000" w:rsidRPr="0086191F" w:rsidP="0086191F">
            <w:pPr>
              <w:pStyle w:val="ListBullet"/>
            </w:pPr>
            <w:r w:rsidRPr="0086191F">
              <w:t>a range of relevant exercises, case studies and/or other simulations</w:t>
            </w:r>
          </w:p>
          <w:p w:rsidR="00000000" w:rsidRPr="0086191F" w:rsidP="0086191F">
            <w:pPr>
              <w:pStyle w:val="ListBullet"/>
            </w:pPr>
            <w:r w:rsidRPr="0086191F">
              <w:t xml:space="preserve">relevant and appropriate materials, tools, equipment and personal protective equipment (PPE) currently used in industry </w:t>
            </w:r>
          </w:p>
          <w:p w:rsidR="00000000" w:rsidRPr="0086191F" w:rsidP="0086191F">
            <w:pPr>
              <w:pStyle w:val="ListBullet"/>
            </w:pPr>
            <w:r w:rsidRPr="0086191F">
              <w:t>applicable documentation, including workp</w:t>
            </w:r>
            <w:r w:rsidRPr="0086191F">
              <w:t>lace procedures, equipment specifications, regulations, codes of practice and operation manuals.</w:t>
            </w:r>
          </w:p>
        </w:tc>
      </w:tr>
    </w:tbl>
    <w:p w:rsidR="00000000" w:rsidRPr="0086191F" w:rsidP="0086191F">
      <w:pPr>
        <w:pStyle w:val="NoPaddingFontSize1"/>
      </w:pPr>
    </w:p>
    <w:p w:rsidR="00000000" w:rsidRPr="0086191F" w:rsidP="0086191F">
      <w:pPr>
        <w:pStyle w:val="AllowPageBreak"/>
      </w:pPr>
    </w:p>
    <w:p w:rsidR="00000000" w:rsidRPr="0086191F" w:rsidP="0086191F">
      <w:pPr>
        <w:pStyle w:val="Heading1"/>
      </w:pPr>
      <w:bookmarkStart w:id="15" w:name="O_1190817"/>
      <w:bookmarkEnd w:id="15"/>
      <w:r w:rsidRPr="0086191F">
        <w:t>Links</w:t>
      </w:r>
    </w:p>
    <w:p w:rsidR="00000000" w:rsidRPr="0086191F" w:rsidP="00625BC5">
      <w:pPr>
        <w:pStyle w:val="BodyText"/>
      </w:pPr>
      <w:r w:rsidRPr="0086191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A4ACE">
        <w:rPr>
          <w:rStyle w:val="Hyperlink"/>
        </w:rPr>
        <w:t>https://vetnet.gov.au/Pages/TrainingDocs.aspx?q=1715b9fa-e7bd-441c-bb8d-cf22c9c825a8</w:t>
      </w:r>
      <w:r>
        <w:fldChar w:fldCharType="end"/>
      </w:r>
    </w:p>
    <w:p w:rsidR="00000000" w:rsidRPr="0086191F" w:rsidP="0086191F"/>
    <w:sectPr w:rsidSect="008619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F" w:rsidRPr="00625BC5" w:rsidP="00625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C5" w:rsidP="00861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5BC5" w:rsidP="008619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25BC5" w:rsidP="008619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F" w:rsidP="0086191F">
    <w:pPr>
      <w:pStyle w:val="Footer"/>
      <w:framePr w:wrap="around"/>
    </w:pPr>
    <w:r>
      <w:fldChar w:fldCharType="begin"/>
    </w:r>
    <w:r>
      <w:instrText xml:space="preserve"> DOCPROPERTY  Subject  \* MERGEFORMAT </w:instrText>
    </w:r>
    <w:r>
      <w:fldChar w:fldCharType="separate"/>
    </w:r>
    <w:r w:rsidR="00625BC5">
      <w:t>Approved</w:t>
    </w:r>
    <w:r w:rsidR="00625BC5">
      <w:fldChar w:fldCharType="end"/>
    </w:r>
    <w:r>
      <w:tab/>
      <w:t xml:space="preserve">Page </w:t>
    </w:r>
    <w:r>
      <w:fldChar w:fldCharType="begin"/>
    </w:r>
    <w:r>
      <w:instrText xml:space="preserve"> PAGE  \* Arabic  \* MERGEFORMAT </w:instrText>
    </w:r>
    <w:r>
      <w:fldChar w:fldCharType="separate"/>
    </w:r>
    <w:r w:rsidR="00625B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5BC5">
      <w:rPr>
        <w:noProof/>
      </w:rPr>
      <w:t>4</w:t>
    </w:r>
    <w:r>
      <w:rPr>
        <w:noProof/>
      </w:rPr>
      <w:fldChar w:fldCharType="end"/>
    </w:r>
  </w:p>
  <w:p w:rsidR="0086191F" w:rsidP="0086191F">
    <w:pPr>
      <w:pStyle w:val="Footer"/>
      <w:framePr w:wrap="around"/>
    </w:pPr>
    <w:r>
      <w:t xml:space="preserve">© Commonwealth of Australia, </w:t>
    </w:r>
    <w:r>
      <w:fldChar w:fldCharType="begin"/>
    </w:r>
    <w:r>
      <w:instrText xml:space="preserve"> DATE  \@ "yyyy"  \* MERGEFORMAT </w:instrText>
    </w:r>
    <w:r>
      <w:fldChar w:fldCharType="separate"/>
    </w:r>
    <w:r w:rsidR="00625BC5">
      <w:rPr>
        <w:noProof/>
      </w:rPr>
      <w:t>2025</w:t>
    </w:r>
    <w:r>
      <w:fldChar w:fldCharType="end"/>
    </w:r>
    <w:r>
      <w:tab/>
    </w:r>
    <w:r>
      <w:fldChar w:fldCharType="begin"/>
    </w:r>
    <w:r>
      <w:instrText xml:space="preserve"> DOCPROPERTY  Author  \* MERGEFORMAT </w:instrText>
    </w:r>
    <w:r>
      <w:fldChar w:fldCharType="separate"/>
    </w:r>
    <w:r w:rsidR="00625BC5">
      <w:t>Powering Skills Organisation</w:t>
    </w:r>
    <w:r w:rsidR="00625BC5">
      <w:fldChar w:fldCharType="end"/>
    </w:r>
  </w:p>
  <w:p w:rsidR="0086191F" w:rsidP="008619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91F" w:rsidRPr="00625BC5" w:rsidP="00625B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C5" w:rsidRPr="002D2AF8" w:rsidP="0086191F">
    <w:pPr>
      <w:pStyle w:val="Header"/>
      <w:framePr w:wrap="around"/>
    </w:pPr>
    <w:r>
      <w:fldChar w:fldCharType="begin"/>
    </w:r>
    <w:r>
      <w:instrText xml:space="preserve"> TITLE   \* MERGEFORMAT </w:instrText>
    </w:r>
    <w:r>
      <w:fldChar w:fldCharType="separate"/>
    </w:r>
    <w:r>
      <w:t>UEPOPS040 Facilitate the use of contingency plans for power generation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5BC5" w:rsidP="008619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F" w:rsidRPr="002D2AF8" w:rsidP="0086191F">
    <w:pPr>
      <w:pStyle w:val="Header"/>
      <w:framePr w:wrap="around"/>
    </w:pPr>
    <w:r>
      <w:fldChar w:fldCharType="begin"/>
    </w:r>
    <w:r>
      <w:instrText xml:space="preserve"> TITLE   \* MERGEFORMAT </w:instrText>
    </w:r>
    <w:r>
      <w:fldChar w:fldCharType="separate"/>
    </w:r>
    <w:r w:rsidR="00625BC5">
      <w:t>UEPOPS040 Facilitate the use of contingency plans for power generation facilities</w:t>
    </w:r>
    <w:r w:rsidR="00625BC5">
      <w:fldChar w:fldCharType="end"/>
    </w:r>
    <w:r>
      <w:tab/>
      <w:t xml:space="preserve">Date this document was generated: </w:t>
    </w:r>
    <w:r>
      <w:fldChar w:fldCharType="begin"/>
    </w:r>
    <w:r>
      <w:instrText xml:space="preserve"> CREATEDATE  \@ "d MMMM yyyy"  \* MERGEFORMAT </w:instrText>
    </w:r>
    <w:r>
      <w:fldChar w:fldCharType="separate"/>
    </w:r>
    <w:r w:rsidR="00625BC5">
      <w:rPr>
        <w:noProof/>
      </w:rPr>
      <w:t>2 March 2025</w:t>
    </w:r>
    <w:r>
      <w:fldChar w:fldCharType="end"/>
    </w:r>
  </w:p>
  <w:p w:rsidR="0086191F" w:rsidP="008619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6C3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E63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E8D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9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91F"/>
    <w:pPr>
      <w:spacing w:before="360" w:after="60"/>
      <w:outlineLvl w:val="0"/>
    </w:pPr>
    <w:rPr>
      <w:sz w:val="32"/>
    </w:rPr>
  </w:style>
  <w:style w:type="paragraph" w:styleId="Heading2">
    <w:name w:val="heading 2"/>
    <w:basedOn w:val="HeadingBase"/>
    <w:next w:val="BodyText"/>
    <w:link w:val="Heading2Char"/>
    <w:qFormat/>
    <w:rsid w:val="0086191F"/>
    <w:pPr>
      <w:keepLines/>
      <w:spacing w:before="240" w:after="120"/>
      <w:outlineLvl w:val="1"/>
    </w:pPr>
    <w:rPr>
      <w:sz w:val="28"/>
      <w:szCs w:val="40"/>
    </w:rPr>
  </w:style>
  <w:style w:type="paragraph" w:styleId="Heading3">
    <w:name w:val="heading 3"/>
    <w:basedOn w:val="HeadingBase"/>
    <w:next w:val="BodyText"/>
    <w:link w:val="Heading3Char"/>
    <w:qFormat/>
    <w:rsid w:val="0086191F"/>
    <w:pPr>
      <w:spacing w:before="180" w:after="120"/>
      <w:outlineLvl w:val="2"/>
    </w:pPr>
    <w:rPr>
      <w:spacing w:val="-10"/>
      <w:kern w:val="32"/>
    </w:rPr>
  </w:style>
  <w:style w:type="paragraph" w:styleId="Heading4">
    <w:name w:val="heading 4"/>
    <w:basedOn w:val="HeadingBase"/>
    <w:next w:val="BodyText"/>
    <w:link w:val="Heading4Char"/>
    <w:qFormat/>
    <w:rsid w:val="0086191F"/>
    <w:pPr>
      <w:spacing w:before="160" w:after="120"/>
      <w:outlineLvl w:val="3"/>
    </w:pPr>
    <w:rPr>
      <w:sz w:val="22"/>
    </w:rPr>
  </w:style>
  <w:style w:type="paragraph" w:styleId="Heading5">
    <w:name w:val="heading 5"/>
    <w:basedOn w:val="HeadingBase"/>
    <w:next w:val="Normal"/>
    <w:link w:val="Heading5Char"/>
    <w:qFormat/>
    <w:rsid w:val="0086191F"/>
    <w:pPr>
      <w:spacing w:before="80"/>
      <w:outlineLvl w:val="4"/>
    </w:pPr>
    <w:rPr>
      <w:color w:val="918585"/>
      <w:sz w:val="20"/>
    </w:rPr>
  </w:style>
  <w:style w:type="paragraph" w:styleId="Heading6">
    <w:name w:val="heading 6"/>
    <w:basedOn w:val="HeadingBase"/>
    <w:next w:val="Normal"/>
    <w:link w:val="Heading6Char"/>
    <w:qFormat/>
    <w:rsid w:val="0086191F"/>
    <w:pPr>
      <w:spacing w:before="60"/>
      <w:outlineLvl w:val="5"/>
    </w:pPr>
    <w:rPr>
      <w:color w:val="918585"/>
      <w:sz w:val="20"/>
    </w:rPr>
  </w:style>
  <w:style w:type="paragraph" w:styleId="Heading7">
    <w:name w:val="heading 7"/>
    <w:basedOn w:val="Normal"/>
    <w:next w:val="Normal"/>
    <w:link w:val="Heading7Char"/>
    <w:qFormat/>
    <w:rsid w:val="0086191F"/>
    <w:pPr>
      <w:ind w:left="720"/>
      <w:outlineLvl w:val="6"/>
    </w:pPr>
    <w:rPr>
      <w:i/>
    </w:rPr>
  </w:style>
  <w:style w:type="paragraph" w:styleId="Heading8">
    <w:name w:val="heading 8"/>
    <w:basedOn w:val="Normal"/>
    <w:next w:val="Normal"/>
    <w:link w:val="Heading8Char"/>
    <w:qFormat/>
    <w:rsid w:val="0086191F"/>
    <w:pPr>
      <w:ind w:left="720"/>
      <w:outlineLvl w:val="7"/>
    </w:pPr>
    <w:rPr>
      <w:i/>
    </w:rPr>
  </w:style>
  <w:style w:type="paragraph" w:styleId="Heading9">
    <w:name w:val="heading 9"/>
    <w:basedOn w:val="Normal"/>
    <w:next w:val="Normal"/>
    <w:link w:val="Heading9Char"/>
    <w:qFormat/>
    <w:rsid w:val="0086191F"/>
    <w:pPr>
      <w:ind w:left="720"/>
      <w:outlineLvl w:val="8"/>
    </w:pPr>
    <w:rPr>
      <w:i/>
    </w:rPr>
  </w:style>
  <w:style w:type="character" w:default="1" w:styleId="DefaultParagraphFont">
    <w:name w:val="Default Paragraph Font"/>
    <w:uiPriority w:val="1"/>
    <w:unhideWhenUsed/>
    <w:rsid w:val="00861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91F"/>
  </w:style>
  <w:style w:type="character" w:customStyle="1" w:styleId="Heading1Char">
    <w:name w:val="Heading 1 Char"/>
    <w:basedOn w:val="DefaultParagraphFont"/>
    <w:link w:val="Heading1"/>
    <w:rsid w:val="0086191F"/>
    <w:rPr>
      <w:rFonts w:ascii="Times New Roman" w:eastAsia="Times New Roman" w:hAnsi="Times New Roman" w:cs="Times New Roman"/>
      <w:b/>
      <w:sz w:val="32"/>
      <w:szCs w:val="20"/>
      <w:lang w:eastAsia="en-US"/>
    </w:rPr>
  </w:style>
  <w:style w:type="paragraph" w:styleId="BodyText">
    <w:name w:val="Body Text"/>
    <w:basedOn w:val="Normal"/>
    <w:link w:val="BodyTextChar"/>
    <w:rsid w:val="008619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91F"/>
    <w:rPr>
      <w:rFonts w:ascii="Times New Roman" w:eastAsia="Times New Roman" w:hAnsi="Times New Roman" w:cs="Times New Roman"/>
      <w:sz w:val="24"/>
      <w:lang w:eastAsia="en-US"/>
    </w:rPr>
  </w:style>
  <w:style w:type="paragraph" w:styleId="ListBullet">
    <w:name w:val="List Bullet"/>
    <w:basedOn w:val="List"/>
    <w:rsid w:val="0086191F"/>
    <w:pPr>
      <w:numPr>
        <w:numId w:val="12"/>
      </w:numPr>
      <w:tabs>
        <w:tab w:val="clear" w:pos="340"/>
      </w:tabs>
      <w:spacing w:before="40" w:after="40"/>
    </w:pPr>
  </w:style>
  <w:style w:type="character" w:customStyle="1" w:styleId="SpecialBold">
    <w:name w:val="Special Bold"/>
    <w:basedOn w:val="DefaultParagraphFont"/>
    <w:rsid w:val="0086191F"/>
    <w:rPr>
      <w:b/>
      <w:spacing w:val="0"/>
    </w:rPr>
  </w:style>
  <w:style w:type="paragraph" w:styleId="ListBullet2">
    <w:name w:val="List Bullet 2"/>
    <w:basedOn w:val="List2"/>
    <w:rsid w:val="0086191F"/>
    <w:pPr>
      <w:numPr>
        <w:numId w:val="13"/>
      </w:numPr>
      <w:tabs>
        <w:tab w:val="clear" w:pos="680"/>
      </w:tabs>
    </w:pPr>
  </w:style>
  <w:style w:type="paragraph" w:customStyle="1" w:styleId="SuperHeading">
    <w:name w:val="SuperHeading"/>
    <w:basedOn w:val="Normal"/>
    <w:rsid w:val="0086191F"/>
    <w:pPr>
      <w:spacing w:before="240" w:after="120"/>
      <w:outlineLvl w:val="0"/>
    </w:pPr>
    <w:rPr>
      <w:rFonts w:ascii="Times New Roman" w:hAnsi="Times New Roman"/>
      <w:b/>
      <w:sz w:val="32"/>
    </w:rPr>
  </w:style>
  <w:style w:type="paragraph" w:customStyle="1" w:styleId="AllowPageBreak">
    <w:name w:val="AllowPageBreak"/>
    <w:rsid w:val="008619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1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9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9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91F"/>
    <w:rPr>
      <w:rFonts w:ascii="Courier New" w:eastAsia="Times New Roman" w:hAnsi="Courier New" w:cs="Times New Roman"/>
      <w:i/>
      <w:szCs w:val="20"/>
      <w:lang w:eastAsia="en-US"/>
    </w:rPr>
  </w:style>
  <w:style w:type="paragraph" w:customStyle="1" w:styleId="HeadingBase">
    <w:name w:val="Heading Base"/>
    <w:rsid w:val="00861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91F"/>
    <w:pPr>
      <w:tabs>
        <w:tab w:val="right" w:leader="dot" w:pos="9072"/>
      </w:tabs>
      <w:ind w:left="567"/>
    </w:pPr>
    <w:rPr>
      <w:szCs w:val="22"/>
    </w:rPr>
  </w:style>
  <w:style w:type="paragraph" w:customStyle="1" w:styleId="TOCBase">
    <w:name w:val="TOC Base"/>
    <w:rsid w:val="00861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91F"/>
    <w:pPr>
      <w:tabs>
        <w:tab w:val="right" w:leader="dot" w:pos="9072"/>
      </w:tabs>
      <w:spacing w:before="40" w:after="40"/>
      <w:ind w:left="284"/>
    </w:pPr>
    <w:rPr>
      <w:rFonts w:ascii="Times New Roman" w:hAnsi="Times New Roman"/>
    </w:rPr>
  </w:style>
  <w:style w:type="paragraph" w:styleId="TOC1">
    <w:name w:val="toc 1"/>
    <w:basedOn w:val="TOCBase"/>
    <w:next w:val="Normal"/>
    <w:rsid w:val="008619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91F"/>
    <w:rPr>
      <w:rFonts w:ascii="Times New Roman" w:eastAsia="Times New Roman" w:hAnsi="Times New Roman" w:cs="Times New Roman"/>
      <w:sz w:val="16"/>
      <w:lang w:eastAsia="en-US"/>
    </w:rPr>
  </w:style>
  <w:style w:type="paragraph" w:styleId="Title">
    <w:name w:val="Title"/>
    <w:basedOn w:val="HeadingBase"/>
    <w:link w:val="TitleChar"/>
    <w:qFormat/>
    <w:rsid w:val="0086191F"/>
    <w:pPr>
      <w:spacing w:before="5040"/>
      <w:jc w:val="center"/>
    </w:pPr>
    <w:rPr>
      <w:sz w:val="48"/>
      <w:szCs w:val="72"/>
      <w:lang w:val="en-US"/>
    </w:rPr>
  </w:style>
  <w:style w:type="character" w:customStyle="1" w:styleId="TitleChar">
    <w:name w:val="Title Char"/>
    <w:basedOn w:val="DefaultParagraphFont"/>
    <w:link w:val="Title"/>
    <w:rsid w:val="00861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91F"/>
    <w:pPr>
      <w:tabs>
        <w:tab w:val="left" w:pos="3600"/>
        <w:tab w:val="left" w:pos="3958"/>
      </w:tabs>
    </w:pPr>
  </w:style>
  <w:style w:type="paragraph" w:styleId="List">
    <w:name w:val="List"/>
    <w:basedOn w:val="BodyText"/>
    <w:next w:val="BodyText"/>
    <w:rsid w:val="0086191F"/>
    <w:pPr>
      <w:tabs>
        <w:tab w:val="left" w:pos="340"/>
      </w:tabs>
      <w:spacing w:before="60" w:after="60"/>
      <w:ind w:left="340" w:hanging="340"/>
    </w:pPr>
  </w:style>
  <w:style w:type="paragraph" w:customStyle="1" w:styleId="Note">
    <w:name w:val="Note"/>
    <w:basedOn w:val="BodyText"/>
    <w:rsid w:val="00861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91F"/>
    <w:pPr>
      <w:framePr w:wrap="auto" w:hAnchor="text" w:y="6049"/>
    </w:pPr>
    <w:rPr>
      <w:color w:val="000000"/>
      <w:sz w:val="40"/>
    </w:rPr>
  </w:style>
  <w:style w:type="paragraph" w:customStyle="1" w:styleId="TOCTitle">
    <w:name w:val="TOCTitle"/>
    <w:basedOn w:val="Heading1"/>
    <w:rsid w:val="0086191F"/>
    <w:pPr>
      <w:spacing w:after="240"/>
      <w:jc w:val="center"/>
      <w:outlineLvl w:val="9"/>
    </w:pPr>
    <w:rPr>
      <w:caps/>
    </w:rPr>
  </w:style>
  <w:style w:type="paragraph" w:customStyle="1" w:styleId="Version">
    <w:name w:val="Version"/>
    <w:rsid w:val="008619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91F"/>
    <w:pPr>
      <w:keepNext w:val="0"/>
      <w:tabs>
        <w:tab w:val="right" w:pos="4176"/>
      </w:tabs>
      <w:ind w:left="198" w:hanging="198"/>
    </w:pPr>
    <w:rPr>
      <w:rFonts w:ascii="Garamond" w:hAnsi="Garamond"/>
    </w:rPr>
  </w:style>
  <w:style w:type="paragraph" w:styleId="IndexHeading">
    <w:name w:val="index heading"/>
    <w:basedOn w:val="Normal"/>
    <w:next w:val="Index1"/>
    <w:semiHidden/>
    <w:rsid w:val="0086191F"/>
    <w:pPr>
      <w:spacing w:before="120" w:after="120"/>
    </w:pPr>
    <w:rPr>
      <w:rFonts w:ascii="Arial" w:hAnsi="Arial"/>
      <w:b/>
      <w:color w:val="918585"/>
      <w:sz w:val="24"/>
    </w:rPr>
  </w:style>
  <w:style w:type="paragraph" w:styleId="Header">
    <w:name w:val="header"/>
    <w:basedOn w:val="Normal"/>
    <w:link w:val="HeaderChar"/>
    <w:rsid w:val="00861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91F"/>
    <w:rPr>
      <w:rFonts w:ascii="Times New Roman" w:eastAsia="Times New Roman" w:hAnsi="Times New Roman" w:cs="Times New Roman"/>
      <w:sz w:val="16"/>
      <w:szCs w:val="20"/>
      <w:lang w:val="en-GB" w:eastAsia="en-US"/>
    </w:rPr>
  </w:style>
  <w:style w:type="paragraph" w:customStyle="1" w:styleId="Chapter">
    <w:name w:val="Chapter"/>
    <w:basedOn w:val="Normal"/>
    <w:rsid w:val="0086191F"/>
    <w:pPr>
      <w:spacing w:before="240"/>
    </w:pPr>
    <w:rPr>
      <w:rFonts w:ascii="Times New Roman" w:hAnsi="Times New Roman"/>
      <w:smallCaps/>
      <w:spacing w:val="80"/>
      <w:sz w:val="28"/>
    </w:rPr>
  </w:style>
  <w:style w:type="paragraph" w:customStyle="1" w:styleId="InChapter">
    <w:name w:val="InChapter"/>
    <w:basedOn w:val="Heading3"/>
    <w:rsid w:val="0086191F"/>
    <w:pPr>
      <w:spacing w:after="240"/>
      <w:outlineLvl w:val="9"/>
    </w:pPr>
    <w:rPr>
      <w:noProof/>
    </w:rPr>
  </w:style>
  <w:style w:type="paragraph" w:styleId="Index2">
    <w:name w:val="index 2"/>
    <w:basedOn w:val="Normal"/>
    <w:next w:val="Normal"/>
    <w:semiHidden/>
    <w:rsid w:val="0086191F"/>
    <w:pPr>
      <w:tabs>
        <w:tab w:val="right" w:pos="4176"/>
      </w:tabs>
      <w:ind w:left="568" w:hanging="284"/>
    </w:pPr>
    <w:rPr>
      <w:rFonts w:ascii="Garamond" w:hAnsi="Garamond"/>
    </w:rPr>
  </w:style>
  <w:style w:type="paragraph" w:customStyle="1" w:styleId="Byline">
    <w:name w:val="Byline"/>
    <w:rsid w:val="00861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91F"/>
    <w:pPr>
      <w:tabs>
        <w:tab w:val="clear" w:pos="3600"/>
        <w:tab w:val="clear" w:pos="3958"/>
      </w:tabs>
      <w:jc w:val="right"/>
    </w:pPr>
  </w:style>
  <w:style w:type="character" w:styleId="Emphasis">
    <w:name w:val="Emphasis"/>
    <w:basedOn w:val="DefaultParagraphFont"/>
    <w:qFormat/>
    <w:rsid w:val="0086191F"/>
    <w:rPr>
      <w:i/>
    </w:rPr>
  </w:style>
  <w:style w:type="paragraph" w:styleId="Caption">
    <w:name w:val="caption"/>
    <w:basedOn w:val="BodyText"/>
    <w:next w:val="Normal"/>
    <w:qFormat/>
    <w:rsid w:val="0086191F"/>
    <w:pPr>
      <w:framePr w:w="2268" w:hSpace="181" w:vSpace="181" w:wrap="around" w:vAnchor="text" w:hAnchor="page" w:x="1135" w:y="285" w:anchorLock="1"/>
    </w:pPr>
    <w:rPr>
      <w:i/>
    </w:rPr>
  </w:style>
  <w:style w:type="paragraph" w:customStyle="1" w:styleId="MiniTOCTitle">
    <w:name w:val="MiniTOCTitle"/>
    <w:basedOn w:val="Heading4"/>
    <w:rsid w:val="0086191F"/>
    <w:pPr>
      <w:spacing w:before="240"/>
      <w:outlineLvl w:val="9"/>
    </w:pPr>
    <w:rPr>
      <w:noProof/>
      <w:sz w:val="24"/>
    </w:rPr>
  </w:style>
  <w:style w:type="paragraph" w:customStyle="1" w:styleId="MiniTOCItem">
    <w:name w:val="MiniTOCItem"/>
    <w:basedOn w:val="ListBullet"/>
    <w:rsid w:val="0086191F"/>
    <w:pPr>
      <w:numPr>
        <w:numId w:val="0"/>
      </w:numPr>
      <w:tabs>
        <w:tab w:val="right" w:leader="dot" w:pos="6521"/>
      </w:tabs>
      <w:spacing w:before="0" w:after="0"/>
    </w:pPr>
  </w:style>
  <w:style w:type="paragraph" w:customStyle="1" w:styleId="TOFTitle">
    <w:name w:val="TOFTitle"/>
    <w:basedOn w:val="TOCTitle"/>
    <w:rsid w:val="0086191F"/>
  </w:style>
  <w:style w:type="paragraph" w:styleId="TableofFigures">
    <w:name w:val="table of figures"/>
    <w:basedOn w:val="Normal"/>
    <w:next w:val="Normal"/>
    <w:semiHidden/>
    <w:rsid w:val="0086191F"/>
    <w:pPr>
      <w:tabs>
        <w:tab w:val="right" w:leader="dot" w:pos="9072"/>
      </w:tabs>
      <w:ind w:left="970" w:hanging="403"/>
    </w:pPr>
    <w:rPr>
      <w:rFonts w:ascii="Times New Roman" w:hAnsi="Times New Roman"/>
      <w:b/>
    </w:rPr>
  </w:style>
  <w:style w:type="paragraph" w:styleId="ListNumber">
    <w:name w:val="List Number"/>
    <w:basedOn w:val="List"/>
    <w:rsid w:val="0086191F"/>
    <w:pPr>
      <w:numPr>
        <w:numId w:val="15"/>
      </w:numPr>
      <w:tabs>
        <w:tab w:val="clear" w:pos="340"/>
      </w:tabs>
    </w:pPr>
  </w:style>
  <w:style w:type="character" w:customStyle="1" w:styleId="WingdingSymbols">
    <w:name w:val="Wingding Symbols"/>
    <w:rsid w:val="0086191F"/>
    <w:rPr>
      <w:rFonts w:ascii="Wingdings" w:hAnsi="Wingdings"/>
    </w:rPr>
  </w:style>
  <w:style w:type="paragraph" w:customStyle="1" w:styleId="TableHeading">
    <w:name w:val="Table Heading"/>
    <w:basedOn w:val="HeadingBase"/>
    <w:rsid w:val="0086191F"/>
    <w:pPr>
      <w:keepLines/>
      <w:pBdr>
        <w:bottom w:val="single" w:sz="6" w:space="1" w:color="918585"/>
      </w:pBdr>
      <w:spacing w:before="240"/>
    </w:pPr>
  </w:style>
  <w:style w:type="character" w:customStyle="1" w:styleId="HotSpot">
    <w:name w:val="HotSpot"/>
    <w:rsid w:val="0086191F"/>
    <w:rPr>
      <w:color w:val="0033CC"/>
      <w:u w:val="none"/>
    </w:rPr>
  </w:style>
  <w:style w:type="paragraph" w:customStyle="1" w:styleId="BodyTextRight">
    <w:name w:val="Body Text Right"/>
    <w:basedOn w:val="BodyText"/>
    <w:rsid w:val="0086191F"/>
    <w:pPr>
      <w:spacing w:before="0" w:after="0"/>
      <w:jc w:val="right"/>
    </w:pPr>
  </w:style>
  <w:style w:type="paragraph" w:styleId="Index3">
    <w:name w:val="index 3"/>
    <w:basedOn w:val="ListNumber2"/>
    <w:next w:val="Normal"/>
    <w:semiHidden/>
    <w:rsid w:val="0086191F"/>
    <w:pPr>
      <w:numPr>
        <w:numId w:val="0"/>
      </w:numPr>
      <w:tabs>
        <w:tab w:val="right" w:leader="dot" w:pos="4176"/>
      </w:tabs>
    </w:pPr>
  </w:style>
  <w:style w:type="paragraph" w:styleId="ListNumber2">
    <w:name w:val="List Number 2"/>
    <w:basedOn w:val="List2"/>
    <w:rsid w:val="0086191F"/>
    <w:pPr>
      <w:numPr>
        <w:numId w:val="10"/>
      </w:numPr>
      <w:tabs>
        <w:tab w:val="clear" w:pos="1060"/>
      </w:tabs>
    </w:pPr>
  </w:style>
  <w:style w:type="paragraph" w:customStyle="1" w:styleId="MarginNote">
    <w:name w:val="Margin Note"/>
    <w:basedOn w:val="BodyText"/>
    <w:rsid w:val="00861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9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91F"/>
    <w:rPr>
      <w:sz w:val="32"/>
    </w:rPr>
  </w:style>
  <w:style w:type="paragraph" w:customStyle="1" w:styleId="HeadingProcedure">
    <w:name w:val="Heading Procedure"/>
    <w:basedOn w:val="HeadingBase"/>
    <w:next w:val="Normal"/>
    <w:rsid w:val="0086191F"/>
    <w:pPr>
      <w:tabs>
        <w:tab w:val="left" w:pos="0"/>
      </w:tabs>
      <w:spacing w:before="120" w:after="60"/>
    </w:pPr>
    <w:rPr>
      <w:i/>
      <w:color w:val="918585"/>
      <w:sz w:val="22"/>
    </w:rPr>
  </w:style>
  <w:style w:type="paragraph" w:customStyle="1" w:styleId="TableBodyText">
    <w:name w:val="Table Body Text"/>
    <w:basedOn w:val="BodyText"/>
    <w:rsid w:val="0086191F"/>
    <w:pPr>
      <w:spacing w:before="60" w:after="60"/>
    </w:pPr>
  </w:style>
  <w:style w:type="paragraph" w:styleId="ListContinue">
    <w:name w:val="List Continue"/>
    <w:basedOn w:val="List"/>
    <w:rsid w:val="0086191F"/>
    <w:pPr>
      <w:ind w:firstLine="0"/>
    </w:pPr>
  </w:style>
  <w:style w:type="paragraph" w:customStyle="1" w:styleId="ListNote">
    <w:name w:val="List Note"/>
    <w:basedOn w:val="List"/>
    <w:rsid w:val="0086191F"/>
    <w:pPr>
      <w:pBdr>
        <w:top w:val="single" w:sz="6" w:space="2" w:color="918585"/>
        <w:bottom w:val="single" w:sz="6" w:space="2" w:color="918585"/>
      </w:pBdr>
      <w:tabs>
        <w:tab w:val="left" w:pos="1021"/>
      </w:tabs>
      <w:ind w:firstLine="0"/>
    </w:pPr>
  </w:style>
  <w:style w:type="paragraph" w:customStyle="1" w:styleId="Warning">
    <w:name w:val="Warning"/>
    <w:basedOn w:val="BodyText"/>
    <w:rsid w:val="0086191F"/>
    <w:pPr>
      <w:shd w:val="clear" w:color="auto" w:fill="D9D9D9"/>
      <w:tabs>
        <w:tab w:val="left" w:pos="992"/>
      </w:tabs>
      <w:ind w:left="119" w:right="119"/>
    </w:pPr>
    <w:rPr>
      <w:sz w:val="20"/>
    </w:rPr>
  </w:style>
  <w:style w:type="paragraph" w:customStyle="1" w:styleId="MarginIcons">
    <w:name w:val="Margin Icons"/>
    <w:basedOn w:val="BodyText"/>
    <w:rsid w:val="00861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91F"/>
    <w:rPr>
      <w:rFonts w:ascii="Courier New" w:hAnsi="Courier New"/>
    </w:rPr>
  </w:style>
  <w:style w:type="paragraph" w:customStyle="1" w:styleId="NoteBullet">
    <w:name w:val="Note Bullet"/>
    <w:basedOn w:val="Note"/>
    <w:rsid w:val="0086191F"/>
    <w:pPr>
      <w:tabs>
        <w:tab w:val="clear" w:pos="680"/>
      </w:tabs>
      <w:spacing w:before="60" w:after="60"/>
    </w:pPr>
  </w:style>
  <w:style w:type="paragraph" w:customStyle="1" w:styleId="SubHeading2">
    <w:name w:val="SubHeading2"/>
    <w:basedOn w:val="HeadingBase"/>
    <w:rsid w:val="0086191F"/>
    <w:pPr>
      <w:spacing w:before="240" w:after="60"/>
    </w:pPr>
    <w:rPr>
      <w:sz w:val="20"/>
    </w:rPr>
  </w:style>
  <w:style w:type="paragraph" w:customStyle="1" w:styleId="SubHeading1">
    <w:name w:val="SubHeading1"/>
    <w:basedOn w:val="HeadingBase"/>
    <w:rsid w:val="0086191F"/>
    <w:pPr>
      <w:spacing w:before="240" w:after="60"/>
    </w:pPr>
    <w:rPr>
      <w:color w:val="918585"/>
      <w:sz w:val="22"/>
    </w:rPr>
  </w:style>
  <w:style w:type="paragraph" w:customStyle="1" w:styleId="SideHeading">
    <w:name w:val="Side Heading"/>
    <w:basedOn w:val="HeadingBase"/>
    <w:rsid w:val="00861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91F"/>
    <w:pPr>
      <w:tabs>
        <w:tab w:val="num" w:pos="360"/>
      </w:tabs>
    </w:pPr>
  </w:style>
  <w:style w:type="paragraph" w:styleId="PlainText">
    <w:name w:val="Plain Text"/>
    <w:basedOn w:val="Normal"/>
    <w:link w:val="PlainTextChar"/>
    <w:rsid w:val="0086191F"/>
    <w:rPr>
      <w:sz w:val="20"/>
    </w:rPr>
  </w:style>
  <w:style w:type="character" w:customStyle="1" w:styleId="PlainTextChar">
    <w:name w:val="Plain Text Char"/>
    <w:basedOn w:val="DefaultParagraphFont"/>
    <w:link w:val="PlainText"/>
    <w:rsid w:val="0086191F"/>
    <w:rPr>
      <w:rFonts w:ascii="Courier New" w:eastAsia="Times New Roman" w:hAnsi="Courier New" w:cs="Times New Roman"/>
      <w:sz w:val="20"/>
      <w:szCs w:val="20"/>
      <w:lang w:eastAsia="en-US"/>
    </w:rPr>
  </w:style>
  <w:style w:type="character" w:customStyle="1" w:styleId="MenuOption">
    <w:name w:val="Menu Option"/>
    <w:basedOn w:val="DefaultParagraphFont"/>
    <w:rsid w:val="0086191F"/>
    <w:rPr>
      <w:b/>
      <w:smallCaps/>
    </w:rPr>
  </w:style>
  <w:style w:type="paragraph" w:customStyle="1" w:styleId="TableListNumber">
    <w:name w:val="Table List Number"/>
    <w:basedOn w:val="ListNumber"/>
    <w:rsid w:val="0086191F"/>
    <w:pPr>
      <w:numPr>
        <w:numId w:val="0"/>
      </w:numPr>
    </w:pPr>
  </w:style>
  <w:style w:type="paragraph" w:styleId="TOC4">
    <w:name w:val="toc 4"/>
    <w:basedOn w:val="TOCBase"/>
    <w:next w:val="Normal"/>
    <w:semiHidden/>
    <w:rsid w:val="0086191F"/>
    <w:pPr>
      <w:tabs>
        <w:tab w:val="right" w:leader="dot" w:pos="9071"/>
      </w:tabs>
      <w:ind w:left="1701"/>
    </w:pPr>
  </w:style>
  <w:style w:type="paragraph" w:customStyle="1" w:styleId="ListAlpha">
    <w:name w:val="List Alpha"/>
    <w:basedOn w:val="List"/>
    <w:rsid w:val="0086191F"/>
    <w:pPr>
      <w:numPr>
        <w:numId w:val="9"/>
      </w:numPr>
    </w:pPr>
  </w:style>
  <w:style w:type="paragraph" w:customStyle="1" w:styleId="ListAlpha2">
    <w:name w:val="List Alpha 2"/>
    <w:basedOn w:val="List2"/>
    <w:rsid w:val="0086191F"/>
    <w:pPr>
      <w:numPr>
        <w:numId w:val="8"/>
      </w:numPr>
    </w:pPr>
  </w:style>
  <w:style w:type="paragraph" w:styleId="List2">
    <w:name w:val="List 2"/>
    <w:basedOn w:val="BodyText"/>
    <w:rsid w:val="0086191F"/>
    <w:pPr>
      <w:tabs>
        <w:tab w:val="left" w:pos="680"/>
      </w:tabs>
      <w:spacing w:before="60" w:after="60"/>
      <w:ind w:left="680" w:hanging="340"/>
    </w:pPr>
  </w:style>
  <w:style w:type="paragraph" w:styleId="List3">
    <w:name w:val="List 3"/>
    <w:basedOn w:val="BodyText"/>
    <w:rsid w:val="0086191F"/>
    <w:pPr>
      <w:tabs>
        <w:tab w:val="left" w:pos="1021"/>
      </w:tabs>
      <w:spacing w:before="60" w:after="60"/>
      <w:ind w:left="1020" w:hanging="340"/>
    </w:pPr>
  </w:style>
  <w:style w:type="paragraph" w:styleId="List4">
    <w:name w:val="List 4"/>
    <w:basedOn w:val="BodyText"/>
    <w:rsid w:val="0086191F"/>
    <w:pPr>
      <w:tabs>
        <w:tab w:val="left" w:pos="1361"/>
      </w:tabs>
      <w:spacing w:before="60" w:after="60"/>
      <w:ind w:left="1361" w:hanging="340"/>
    </w:pPr>
  </w:style>
  <w:style w:type="paragraph" w:styleId="List5">
    <w:name w:val="List 5"/>
    <w:basedOn w:val="BodyText"/>
    <w:rsid w:val="0086191F"/>
    <w:pPr>
      <w:tabs>
        <w:tab w:val="left" w:pos="1701"/>
      </w:tabs>
      <w:spacing w:before="60" w:after="60"/>
      <w:ind w:left="1701" w:hanging="340"/>
    </w:pPr>
  </w:style>
  <w:style w:type="paragraph" w:styleId="ListBullet3">
    <w:name w:val="List Bullet 3"/>
    <w:basedOn w:val="List3"/>
    <w:rsid w:val="0086191F"/>
    <w:pPr>
      <w:numPr>
        <w:numId w:val="14"/>
      </w:numPr>
      <w:tabs>
        <w:tab w:val="clear" w:pos="1021"/>
      </w:tabs>
      <w:ind w:left="1037" w:hanging="357"/>
    </w:pPr>
  </w:style>
  <w:style w:type="paragraph" w:styleId="ListBullet4">
    <w:name w:val="List Bullet 4"/>
    <w:basedOn w:val="List4"/>
    <w:rsid w:val="0086191F"/>
    <w:pPr>
      <w:numPr>
        <w:numId w:val="3"/>
      </w:numPr>
      <w:tabs>
        <w:tab w:val="clear" w:pos="1361"/>
      </w:tabs>
    </w:pPr>
  </w:style>
  <w:style w:type="paragraph" w:styleId="ListBullet5">
    <w:name w:val="List Bullet 5"/>
    <w:basedOn w:val="List5"/>
    <w:rsid w:val="0086191F"/>
    <w:pPr>
      <w:numPr>
        <w:numId w:val="4"/>
      </w:numPr>
    </w:pPr>
  </w:style>
  <w:style w:type="paragraph" w:styleId="ListContinue2">
    <w:name w:val="List Continue 2"/>
    <w:basedOn w:val="List2"/>
    <w:rsid w:val="0086191F"/>
    <w:pPr>
      <w:ind w:firstLine="0"/>
    </w:pPr>
  </w:style>
  <w:style w:type="paragraph" w:styleId="ListContinue3">
    <w:name w:val="List Continue 3"/>
    <w:basedOn w:val="List3"/>
    <w:rsid w:val="0086191F"/>
    <w:pPr>
      <w:ind w:left="1021" w:firstLine="0"/>
    </w:pPr>
  </w:style>
  <w:style w:type="paragraph" w:styleId="ListContinue4">
    <w:name w:val="List Continue 4"/>
    <w:basedOn w:val="List4"/>
    <w:rsid w:val="0086191F"/>
    <w:pPr>
      <w:ind w:firstLine="0"/>
    </w:pPr>
  </w:style>
  <w:style w:type="paragraph" w:styleId="ListContinue5">
    <w:name w:val="List Continue 5"/>
    <w:basedOn w:val="List5"/>
    <w:rsid w:val="0086191F"/>
    <w:pPr>
      <w:ind w:firstLine="0"/>
    </w:pPr>
  </w:style>
  <w:style w:type="paragraph" w:styleId="ListNumber3">
    <w:name w:val="List Number 3"/>
    <w:basedOn w:val="List3"/>
    <w:rsid w:val="0086191F"/>
    <w:pPr>
      <w:numPr>
        <w:numId w:val="5"/>
      </w:numPr>
    </w:pPr>
  </w:style>
  <w:style w:type="paragraph" w:styleId="ListNumber4">
    <w:name w:val="List Number 4"/>
    <w:basedOn w:val="List4"/>
    <w:rsid w:val="0086191F"/>
    <w:pPr>
      <w:numPr>
        <w:numId w:val="6"/>
      </w:numPr>
    </w:pPr>
  </w:style>
  <w:style w:type="paragraph" w:styleId="ListNumber5">
    <w:name w:val="List Number 5"/>
    <w:basedOn w:val="List5"/>
    <w:rsid w:val="0086191F"/>
    <w:pPr>
      <w:numPr>
        <w:numId w:val="7"/>
      </w:numPr>
    </w:pPr>
  </w:style>
  <w:style w:type="paragraph" w:styleId="BlockText">
    <w:name w:val="Block Text"/>
    <w:basedOn w:val="Normal"/>
    <w:rsid w:val="0086191F"/>
    <w:pPr>
      <w:spacing w:after="120"/>
      <w:ind w:left="1440" w:right="1440"/>
    </w:pPr>
  </w:style>
  <w:style w:type="character" w:customStyle="1" w:styleId="Subscript">
    <w:name w:val="Subscript"/>
    <w:basedOn w:val="DefaultParagraphFont"/>
    <w:rsid w:val="0086191F"/>
    <w:rPr>
      <w:sz w:val="16"/>
      <w:vertAlign w:val="subscript"/>
    </w:rPr>
  </w:style>
  <w:style w:type="character" w:customStyle="1" w:styleId="Superscript">
    <w:name w:val="Superscript"/>
    <w:basedOn w:val="DefaultParagraphFont"/>
    <w:rsid w:val="0086191F"/>
    <w:rPr>
      <w:sz w:val="16"/>
      <w:vertAlign w:val="superscript"/>
    </w:rPr>
  </w:style>
  <w:style w:type="character" w:customStyle="1" w:styleId="Symbols">
    <w:name w:val="Symbols"/>
    <w:basedOn w:val="DefaultParagraphFont"/>
    <w:rsid w:val="0086191F"/>
    <w:rPr>
      <w:rFonts w:ascii="Symbol" w:hAnsi="Symbol"/>
    </w:rPr>
  </w:style>
  <w:style w:type="character" w:customStyle="1" w:styleId="MenuOptions">
    <w:name w:val="Menu Options"/>
    <w:basedOn w:val="DefaultParagraphFont"/>
    <w:rsid w:val="0086191F"/>
    <w:rPr>
      <w:rFonts w:ascii="Arial Narrow" w:hAnsi="Arial Narrow"/>
      <w:smallCaps/>
    </w:rPr>
  </w:style>
  <w:style w:type="character" w:customStyle="1" w:styleId="Buttons">
    <w:name w:val="Buttons"/>
    <w:basedOn w:val="DefaultParagraphFont"/>
    <w:rsid w:val="0086191F"/>
    <w:rPr>
      <w:b/>
    </w:rPr>
  </w:style>
  <w:style w:type="character" w:customStyle="1" w:styleId="Underlined">
    <w:name w:val="Underlined"/>
    <w:basedOn w:val="DefaultParagraphFont"/>
    <w:rsid w:val="0086191F"/>
    <w:rPr>
      <w:u w:val="single"/>
    </w:rPr>
  </w:style>
  <w:style w:type="paragraph" w:customStyle="1" w:styleId="TableBodyTextRight">
    <w:name w:val="Table Body Text Right"/>
    <w:basedOn w:val="TableBodyText"/>
    <w:rsid w:val="0086191F"/>
    <w:pPr>
      <w:widowControl w:val="0"/>
      <w:autoSpaceDE w:val="0"/>
      <w:autoSpaceDN w:val="0"/>
      <w:adjustRightInd w:val="0"/>
      <w:jc w:val="right"/>
    </w:pPr>
    <w:rPr>
      <w:rFonts w:cs="Arial"/>
      <w:szCs w:val="18"/>
    </w:rPr>
  </w:style>
  <w:style w:type="paragraph" w:customStyle="1" w:styleId="CopyrightText">
    <w:name w:val="Copyright Text"/>
    <w:basedOn w:val="BodyText"/>
    <w:rsid w:val="0086191F"/>
    <w:rPr>
      <w:sz w:val="18"/>
    </w:rPr>
  </w:style>
  <w:style w:type="paragraph" w:customStyle="1" w:styleId="BodySmallRight">
    <w:name w:val="Body Small Right"/>
    <w:basedOn w:val="BodyTextRight"/>
    <w:rsid w:val="0086191F"/>
    <w:rPr>
      <w:sz w:val="18"/>
      <w:szCs w:val="18"/>
    </w:rPr>
  </w:style>
  <w:style w:type="paragraph" w:customStyle="1" w:styleId="MarginEdition">
    <w:name w:val="Margin Edition"/>
    <w:basedOn w:val="MarginNote"/>
    <w:rsid w:val="0086191F"/>
    <w:pPr>
      <w:spacing w:before="0" w:after="0"/>
    </w:pPr>
    <w:rPr>
      <w:rFonts w:ascii="Times New Roman" w:hAnsi="Times New Roman"/>
      <w:color w:val="999999"/>
    </w:rPr>
  </w:style>
  <w:style w:type="paragraph" w:customStyle="1" w:styleId="Spacer">
    <w:name w:val="Spacer"/>
    <w:basedOn w:val="Normal"/>
    <w:rsid w:val="0086191F"/>
    <w:rPr>
      <w:sz w:val="2"/>
      <w:szCs w:val="2"/>
    </w:rPr>
  </w:style>
  <w:style w:type="character" w:customStyle="1" w:styleId="Small">
    <w:name w:val="Small"/>
    <w:basedOn w:val="DefaultParagraphFont"/>
    <w:rsid w:val="0086191F"/>
    <w:rPr>
      <w:sz w:val="16"/>
    </w:rPr>
  </w:style>
  <w:style w:type="paragraph" w:customStyle="1" w:styleId="WideTable">
    <w:name w:val="Wide Table"/>
    <w:basedOn w:val="Normal"/>
    <w:rsid w:val="0086191F"/>
    <w:pPr>
      <w:ind w:left="-1418"/>
    </w:pPr>
    <w:rPr>
      <w:sz w:val="2"/>
      <w:szCs w:val="2"/>
    </w:rPr>
  </w:style>
  <w:style w:type="character" w:styleId="PageNumber">
    <w:name w:val="page number"/>
    <w:basedOn w:val="DefaultParagraphFont"/>
    <w:rsid w:val="0086191F"/>
  </w:style>
  <w:style w:type="paragraph" w:styleId="Quote">
    <w:name w:val="Quote"/>
    <w:basedOn w:val="Heading1"/>
    <w:link w:val="QuoteChar"/>
    <w:qFormat/>
    <w:rsid w:val="0086191F"/>
    <w:rPr>
      <w:b w:val="0"/>
      <w:sz w:val="72"/>
      <w:szCs w:val="72"/>
      <w:lang w:val="en-NZ"/>
    </w:rPr>
  </w:style>
  <w:style w:type="character" w:customStyle="1" w:styleId="QuoteChar">
    <w:name w:val="Quote Char"/>
    <w:basedOn w:val="DefaultParagraphFont"/>
    <w:link w:val="Quote"/>
    <w:rsid w:val="00861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91F"/>
    <w:pPr>
      <w:pageBreakBefore/>
    </w:pPr>
  </w:style>
  <w:style w:type="paragraph" w:customStyle="1" w:styleId="Border">
    <w:name w:val="Border"/>
    <w:basedOn w:val="Normal"/>
    <w:qFormat/>
    <w:rsid w:val="00861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91F"/>
    <w:rPr>
      <w:b/>
      <w:bCs/>
      <w:i/>
      <w:iCs/>
      <w:color w:val="auto"/>
    </w:rPr>
  </w:style>
  <w:style w:type="paragraph" w:styleId="IntenseQuote">
    <w:name w:val="Intense Quote"/>
    <w:basedOn w:val="Normal"/>
    <w:next w:val="Normal"/>
    <w:link w:val="IntenseQuoteChar"/>
    <w:uiPriority w:val="30"/>
    <w:qFormat/>
    <w:rsid w:val="00861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9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91F"/>
    <w:rPr>
      <w:smallCaps/>
      <w:color w:val="auto"/>
      <w:u w:val="single"/>
    </w:rPr>
  </w:style>
  <w:style w:type="character" w:styleId="IntenseReference">
    <w:name w:val="Intense Reference"/>
    <w:basedOn w:val="DefaultParagraphFont"/>
    <w:uiPriority w:val="32"/>
    <w:qFormat/>
    <w:rsid w:val="0086191F"/>
    <w:rPr>
      <w:b/>
      <w:bCs/>
      <w:smallCaps/>
      <w:color w:val="auto"/>
      <w:spacing w:val="5"/>
      <w:u w:val="single"/>
    </w:rPr>
  </w:style>
  <w:style w:type="paragraph" w:customStyle="1" w:styleId="2ColumnHeading">
    <w:name w:val="2Column Heading"/>
    <w:basedOn w:val="BodyText"/>
    <w:qFormat/>
    <w:rsid w:val="0086191F"/>
    <w:pPr>
      <w:spacing w:after="60"/>
      <w:ind w:left="-2268"/>
    </w:pPr>
    <w:rPr>
      <w:b/>
    </w:rPr>
  </w:style>
  <w:style w:type="paragraph" w:customStyle="1" w:styleId="Heading1TOC">
    <w:name w:val="Heading1 TOC"/>
    <w:basedOn w:val="Normal"/>
    <w:qFormat/>
    <w:rsid w:val="0086191F"/>
    <w:pPr>
      <w:spacing w:before="240" w:after="120"/>
    </w:pPr>
    <w:rPr>
      <w:rFonts w:ascii="Times New Roman" w:hAnsi="Times New Roman"/>
      <w:b/>
      <w:sz w:val="32"/>
    </w:rPr>
  </w:style>
  <w:style w:type="paragraph" w:customStyle="1" w:styleId="Heading2TOC">
    <w:name w:val="Heading2 TOC"/>
    <w:basedOn w:val="Normal"/>
    <w:qFormat/>
    <w:rsid w:val="0086191F"/>
    <w:pPr>
      <w:spacing w:before="240" w:after="60"/>
    </w:pPr>
    <w:rPr>
      <w:rFonts w:ascii="Times New Roman" w:hAnsi="Times New Roman"/>
      <w:b/>
      <w:sz w:val="28"/>
    </w:rPr>
  </w:style>
  <w:style w:type="character" w:customStyle="1" w:styleId="Underline">
    <w:name w:val="Underline"/>
    <w:basedOn w:val="DefaultParagraphFont"/>
    <w:qFormat/>
    <w:rsid w:val="0086191F"/>
    <w:rPr>
      <w:u w:val="single"/>
    </w:rPr>
  </w:style>
  <w:style w:type="character" w:customStyle="1" w:styleId="BoldandItalics">
    <w:name w:val="Bold and Italics"/>
    <w:qFormat/>
    <w:rsid w:val="0086191F"/>
    <w:rPr>
      <w:b/>
      <w:i/>
      <w:u w:val="none"/>
    </w:rPr>
  </w:style>
  <w:style w:type="paragraph" w:styleId="BalloonText">
    <w:name w:val="Balloon Text"/>
    <w:basedOn w:val="Normal"/>
    <w:link w:val="BalloonTextChar"/>
    <w:rsid w:val="0086191F"/>
    <w:rPr>
      <w:rFonts w:ascii="Tahoma" w:hAnsi="Tahoma" w:cs="Tahoma"/>
      <w:sz w:val="16"/>
      <w:szCs w:val="16"/>
    </w:rPr>
  </w:style>
  <w:style w:type="character" w:customStyle="1" w:styleId="BalloonTextChar">
    <w:name w:val="Balloon Text Char"/>
    <w:basedOn w:val="DefaultParagraphFont"/>
    <w:link w:val="BalloonText"/>
    <w:rsid w:val="008619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9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9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91F"/>
    <w:rPr>
      <w:b/>
      <w:color w:val="660033"/>
      <w:spacing w:val="0"/>
    </w:rPr>
  </w:style>
  <w:style w:type="paragraph" w:customStyle="1" w:styleId="Nameditemlist">
    <w:name w:val="Named item list"/>
    <w:basedOn w:val="BodyText"/>
    <w:qFormat/>
    <w:rsid w:val="0086191F"/>
    <w:pPr>
      <w:tabs>
        <w:tab w:val="left" w:pos="2835"/>
      </w:tabs>
      <w:ind w:left="2835" w:hanging="2835"/>
    </w:pPr>
  </w:style>
  <w:style w:type="paragraph" w:customStyle="1" w:styleId="BodyTextnopadding">
    <w:name w:val="Body Text no padding"/>
    <w:basedOn w:val="BodyText"/>
    <w:qFormat/>
    <w:rsid w:val="0086191F"/>
    <w:pPr>
      <w:spacing w:before="0" w:after="0"/>
    </w:pPr>
  </w:style>
  <w:style w:type="paragraph" w:customStyle="1" w:styleId="BodyTextBold">
    <w:name w:val="Body Text Bold"/>
    <w:basedOn w:val="BodyText"/>
    <w:qFormat/>
    <w:rsid w:val="0086191F"/>
    <w:rPr>
      <w:b/>
    </w:rPr>
  </w:style>
  <w:style w:type="character" w:styleId="Hyperlink">
    <w:name w:val="Hyperlink"/>
    <w:basedOn w:val="DefaultParagraphFont"/>
    <w:uiPriority w:val="99"/>
    <w:unhideWhenUsed/>
    <w:rsid w:val="00625B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5655</Characters>
  <Application>Microsoft Office Word</Application>
  <DocSecurity>0</DocSecurity>
  <Lines>182</Lines>
  <Paragraphs>104</Paragraphs>
  <ScaleCrop>false</ScaleCrop>
  <Company>Author-it Software Corporation Ltd.</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UEPOPS040 Facilitate the use of contingency plans for power generation facilities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