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466" w:rsidP="00A72466">
      <w:pPr>
        <w:pStyle w:val="Title"/>
      </w:pPr>
      <w:r>
        <w:fldChar w:fldCharType="begin"/>
      </w:r>
      <w:r>
        <w:instrText xml:space="preserve"> TITLE   \* MERGEFORMAT </w:instrText>
      </w:r>
      <w:r>
        <w:fldChar w:fldCharType="separate"/>
      </w:r>
      <w:r>
        <w:t>UEPOPS039 Evaluate scheduling of generation plant</w:t>
      </w:r>
      <w:r>
        <w:fldChar w:fldCharType="end"/>
      </w:r>
    </w:p>
    <w:p w:rsidR="00A72466" w:rsidP="00A72466">
      <w:pPr>
        <w:pStyle w:val="Version"/>
        <w:sectPr w:rsidSect="00E31A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A1C" w:rsidP="00E31A1C">
      <w:pPr>
        <w:pStyle w:val="SuperHeading"/>
      </w:pPr>
      <w:r w:rsidRPr="00E31A1C">
        <w:t>UEPOPS039 Evaluate scheduling of generation plant</w:t>
      </w:r>
    </w:p>
    <w:p w:rsidR="00000000" w:rsidRPr="00E31A1C" w:rsidP="00E31A1C">
      <w:pPr>
        <w:pStyle w:val="Heading1"/>
      </w:pPr>
      <w:bookmarkStart w:id="1" w:name="O_1190782"/>
      <w:bookmarkEnd w:id="1"/>
      <w:r w:rsidRPr="00E31A1C">
        <w:t>Modification History</w:t>
      </w:r>
    </w:p>
    <w:tbl>
      <w:tblPr>
        <w:tblW w:w="9497" w:type="dxa"/>
        <w:tblLayout w:type="fixed"/>
        <w:tblCellMar>
          <w:left w:w="62" w:type="dxa"/>
          <w:right w:w="62" w:type="dxa"/>
        </w:tblCellMar>
        <w:tblLook w:val="0000"/>
      </w:tblPr>
      <w:tblGrid>
        <w:gridCol w:w="9497"/>
      </w:tblGrid>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t>Release 1. This is the first release of this unit of competency in the UEP Electricity Supply Industry - Generation Sector Training Package Release 2.0.</w:t>
            </w:r>
          </w:p>
        </w:tc>
      </w:tr>
    </w:tbl>
    <w:p w:rsidR="00000000" w:rsidRPr="00E31A1C" w:rsidP="00E31A1C">
      <w:pPr>
        <w:pStyle w:val="NoPaddingFontSize1"/>
      </w:pPr>
    </w:p>
    <w:p w:rsidR="00000000" w:rsidRPr="00E31A1C" w:rsidP="00E31A1C">
      <w:pPr>
        <w:pStyle w:val="AllowPageBreak"/>
      </w:pPr>
    </w:p>
    <w:p w:rsidR="00000000" w:rsidRPr="00E31A1C" w:rsidP="00E31A1C">
      <w:pPr>
        <w:pStyle w:val="Heading1"/>
      </w:pPr>
      <w:bookmarkStart w:id="2" w:name="O_1190783"/>
      <w:bookmarkEnd w:id="2"/>
      <w:r w:rsidRPr="00E31A1C">
        <w:t>Application</w:t>
      </w:r>
    </w:p>
    <w:tbl>
      <w:tblPr>
        <w:tblW w:w="9497" w:type="dxa"/>
        <w:tblLayout w:type="fixed"/>
        <w:tblCellMar>
          <w:left w:w="62" w:type="dxa"/>
          <w:right w:w="62" w:type="dxa"/>
        </w:tblCellMar>
        <w:tblLook w:val="0000"/>
      </w:tblPr>
      <w:tblGrid>
        <w:gridCol w:w="9497"/>
      </w:tblGrid>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t>This unit involves the skills and knowle</w:t>
            </w:r>
            <w:r w:rsidRPr="00E31A1C">
              <w:t>dge required to undertake the evaluation of a power generation plant schedule to meet forecast demand.</w:t>
            </w:r>
          </w:p>
          <w:p w:rsidR="00000000" w:rsidRPr="00E31A1C" w:rsidP="00E31A1C">
            <w:pPr>
              <w:pStyle w:val="BodyText"/>
            </w:pPr>
            <w:r w:rsidRPr="00E31A1C">
              <w:t>Scheduling is the process of arranging and optimising the use of generating plant and personnel in a power generation facility. Scheduling can have a maj</w:t>
            </w:r>
            <w:r w:rsidRPr="00E31A1C">
              <w:t>or impact on the productivity and costs of a power generation facility.</w:t>
            </w:r>
          </w:p>
          <w:p w:rsidR="00000000" w:rsidRPr="00E31A1C" w:rsidP="00E31A1C">
            <w:pPr>
              <w:pStyle w:val="BodyText"/>
            </w:pPr>
            <w:r w:rsidRPr="00E31A1C">
              <w:t>Competency in this unit requires the ability to</w:t>
            </w:r>
            <w:r w:rsidRPr="00E31A1C">
              <w:rPr>
                <w:rStyle w:val="SpecialBold"/>
              </w:rPr>
              <w:t xml:space="preserve"> </w:t>
            </w:r>
            <w:r w:rsidRPr="00E31A1C">
              <w:t>analyse load profile,</w:t>
            </w:r>
            <w:r w:rsidRPr="00E31A1C">
              <w:rPr>
                <w:rStyle w:val="SpecialBold"/>
              </w:rPr>
              <w:t xml:space="preserve"> </w:t>
            </w:r>
            <w:r w:rsidRPr="00E31A1C">
              <w:t>evaluate power generation unit availability and capability, evaluate power generation unit schedule</w:t>
            </w:r>
            <w:r w:rsidRPr="00E31A1C">
              <w:rPr>
                <w:rStyle w:val="SpecialBold"/>
              </w:rPr>
              <w:t xml:space="preserve"> </w:t>
            </w:r>
            <w:r w:rsidRPr="00E31A1C">
              <w:t>and complete d</w:t>
            </w:r>
            <w:r w:rsidRPr="00E31A1C">
              <w:t>ocumentation. Individuals will, in general, work as an operator with responsibility for scheduling in a power generation facility.</w:t>
            </w:r>
          </w:p>
          <w:p w:rsidR="00000000" w:rsidRPr="00E31A1C" w:rsidP="00E31A1C">
            <w:pPr>
              <w:pStyle w:val="BodyText"/>
            </w:pPr>
            <w:r w:rsidRPr="00E31A1C">
              <w:t>Power generation plant operators are trained and authorised to isolate, prepare plant and issue permits to work.</w:t>
            </w:r>
          </w:p>
          <w:p w:rsidR="00000000" w:rsidRPr="00E31A1C" w:rsidP="00E31A1C">
            <w:pPr>
              <w:pStyle w:val="BodyText"/>
            </w:pPr>
            <w:r w:rsidRPr="00E31A1C">
              <w:t>No licensing</w:t>
            </w:r>
            <w:r w:rsidRPr="00E31A1C">
              <w:t>, legislative or certification requirements apply to this unit at the time of publication.</w:t>
            </w:r>
          </w:p>
          <w:p w:rsidR="00000000" w:rsidRPr="00E31A1C" w:rsidP="00E31A1C">
            <w:pPr>
              <w:pStyle w:val="BodyText"/>
            </w:pPr>
          </w:p>
        </w:tc>
      </w:tr>
    </w:tbl>
    <w:p w:rsidR="00000000" w:rsidRPr="00E31A1C" w:rsidP="00E31A1C">
      <w:pPr>
        <w:pStyle w:val="NoPaddingFontSize1"/>
      </w:pPr>
    </w:p>
    <w:p w:rsidR="00000000" w:rsidRPr="00E31A1C" w:rsidP="00E31A1C">
      <w:pPr>
        <w:pStyle w:val="AllowPageBreak"/>
      </w:pPr>
    </w:p>
    <w:p w:rsidR="00000000" w:rsidRPr="00E31A1C" w:rsidP="00E31A1C">
      <w:pPr>
        <w:pStyle w:val="Heading1"/>
      </w:pPr>
      <w:bookmarkStart w:id="3" w:name="O_1190784"/>
      <w:bookmarkEnd w:id="3"/>
      <w:r w:rsidRPr="00E31A1C">
        <w:t>Pre-requisite Unit</w:t>
      </w:r>
    </w:p>
    <w:tbl>
      <w:tblPr>
        <w:tblW w:w="9497" w:type="dxa"/>
        <w:tblLayout w:type="fixed"/>
        <w:tblCellMar>
          <w:left w:w="62" w:type="dxa"/>
          <w:right w:w="62" w:type="dxa"/>
        </w:tblCellMar>
        <w:tblLook w:val="0000"/>
      </w:tblPr>
      <w:tblGrid>
        <w:gridCol w:w="9497"/>
      </w:tblGrid>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t>UEPOPS132 Schedule generation</w:t>
            </w:r>
          </w:p>
        </w:tc>
      </w:tr>
    </w:tbl>
    <w:p w:rsidR="00000000" w:rsidRPr="00E31A1C" w:rsidP="00E31A1C">
      <w:pPr>
        <w:pStyle w:val="NoPaddingFontSize1"/>
      </w:pPr>
    </w:p>
    <w:p w:rsidR="00000000" w:rsidRPr="00E31A1C" w:rsidP="00E31A1C">
      <w:pPr>
        <w:pStyle w:val="AllowPageBreak"/>
      </w:pPr>
    </w:p>
    <w:p w:rsidR="00000000" w:rsidRPr="00E31A1C" w:rsidP="00E31A1C">
      <w:pPr>
        <w:pStyle w:val="Heading1"/>
      </w:pPr>
      <w:bookmarkStart w:id="4" w:name="O_1190785"/>
      <w:bookmarkEnd w:id="4"/>
      <w:r w:rsidRPr="00E31A1C">
        <w:t>Competency Field</w:t>
      </w:r>
    </w:p>
    <w:tbl>
      <w:tblPr>
        <w:tblW w:w="9497" w:type="dxa"/>
        <w:tblLayout w:type="fixed"/>
        <w:tblCellMar>
          <w:left w:w="62" w:type="dxa"/>
          <w:right w:w="62" w:type="dxa"/>
        </w:tblCellMar>
        <w:tblLook w:val="0000"/>
      </w:tblPr>
      <w:tblGrid>
        <w:gridCol w:w="9497"/>
      </w:tblGrid>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t>Operations</w:t>
            </w:r>
          </w:p>
        </w:tc>
      </w:tr>
    </w:tbl>
    <w:p w:rsidR="00000000" w:rsidRPr="00E31A1C" w:rsidP="00E31A1C">
      <w:pPr>
        <w:pStyle w:val="NoPaddingFontSize1"/>
      </w:pPr>
    </w:p>
    <w:p w:rsidR="00000000" w:rsidRPr="00E31A1C" w:rsidP="00E31A1C">
      <w:pPr>
        <w:pStyle w:val="AllowPageBreak"/>
      </w:pPr>
    </w:p>
    <w:p w:rsidR="00000000" w:rsidRPr="00E31A1C" w:rsidP="00E31A1C">
      <w:pPr>
        <w:pStyle w:val="Heading1"/>
      </w:pPr>
      <w:bookmarkStart w:id="5" w:name="O_1190786"/>
      <w:bookmarkEnd w:id="5"/>
      <w:r w:rsidRPr="00E31A1C">
        <w:t>Unit Sector</w:t>
      </w:r>
    </w:p>
    <w:tbl>
      <w:tblPr>
        <w:tblW w:w="9497" w:type="dxa"/>
        <w:tblLayout w:type="fixed"/>
        <w:tblCellMar>
          <w:left w:w="62" w:type="dxa"/>
          <w:right w:w="62" w:type="dxa"/>
        </w:tblCellMar>
        <w:tblLook w:val="0000"/>
      </w:tblPr>
      <w:tblGrid>
        <w:gridCol w:w="9497"/>
      </w:tblGrid>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t>Electricity generation</w:t>
            </w:r>
          </w:p>
        </w:tc>
      </w:tr>
    </w:tbl>
    <w:p w:rsidR="00000000" w:rsidRPr="00E31A1C" w:rsidP="00E31A1C">
      <w:pPr>
        <w:pStyle w:val="NoPaddingFontSize1"/>
      </w:pPr>
    </w:p>
    <w:p w:rsidR="00000000" w:rsidRPr="00E31A1C" w:rsidP="00E31A1C">
      <w:pPr>
        <w:pStyle w:val="AllowPageBreak"/>
      </w:pPr>
    </w:p>
    <w:p w:rsidR="00000000" w:rsidRPr="00E31A1C" w:rsidP="00E31A1C">
      <w:pPr>
        <w:pStyle w:val="Heading1"/>
      </w:pPr>
      <w:bookmarkStart w:id="6" w:name="O_1190787"/>
      <w:bookmarkEnd w:id="6"/>
      <w:r w:rsidRPr="00E31A1C">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31A1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PERFORMANCE CRITERIA</w:t>
            </w:r>
          </w:p>
        </w:tc>
      </w:tr>
      <w:tr w:rsidTr="00E31A1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 xml:space="preserve">Elements describe the essential </w:t>
            </w:r>
            <w:r w:rsidRPr="00E31A1C">
              <w:t>outcomes.</w:t>
            </w:r>
          </w:p>
        </w:tc>
        <w:tc>
          <w:tcPr>
            <w:tcW w:w="6330" w:type="dxa"/>
            <w:gridSpan w:val="2"/>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 xml:space="preserve">Performance criteria describe the performance needed to </w:t>
            </w:r>
            <w:r w:rsidRPr="00E31A1C">
              <w:t>demonstrate achievement of the element.</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rPr>
                <w:rStyle w:val="SpecialBold"/>
              </w:rPr>
              <w:t>Analyse load profile</w:t>
            </w: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 xml:space="preserve">Information on variables which have the potential to affect power generation demand and load are analysed in accordance with workplace procedures </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Work health and safety (WHS)/occupational health and safety (OHS) regulations</w:t>
            </w:r>
            <w:r w:rsidRPr="00E31A1C">
              <w:t xml:space="preserve">, legislative requirements, codes of practice, manufacturers’ recommendations and specifications, environmental requirements and workplace procedures are identified, applied and monitored </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 xml:space="preserve">Power generation forecasts are produced in accordance with workplace procedures </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Power generation forecasts are evaluated against real time trends, and adjustments are made in accordance with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rPr>
                <w:rStyle w:val="SpecialBold"/>
              </w:rPr>
              <w:t>Evaluate unit availability and ca</w:t>
            </w:r>
            <w:r w:rsidRPr="00E31A1C">
              <w:rPr>
                <w:rStyle w:val="SpecialBold"/>
              </w:rPr>
              <w:t>pability</w:t>
            </w: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Power generation unit status is analysed to maintain the integrity of scheduling plans in accordance with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Information on power generation unit status is processed and recorded to enable the identification of proble</w:t>
            </w:r>
            <w:r w:rsidRPr="00E31A1C">
              <w:t>ms in accordance with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Relationships are maintained with remote and independent power generators in accordance with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rPr>
                <w:rStyle w:val="SpecialBold"/>
              </w:rPr>
              <w:t>Evaluate generation unit schedules</w:t>
            </w: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Base load generation schedules are analysed in line with contractual obligations in accordance with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Peak load generation schedules are analysed to meet power generation system demand to maintain adequate spinning reserve capabil</w:t>
            </w:r>
            <w:r w:rsidRPr="00E31A1C">
              <w:t>ity in accordance with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Schedule is evaluated to confirm power generation units are operating in accordance with fuel strategies framework and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Megawatts and megavar spinning reserve criteria are contin</w:t>
            </w:r>
            <w:r w:rsidRPr="00E31A1C">
              <w:t xml:space="preserve">uously evaluated in accordance with workplace procedures </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Power generation system security criteria are analysed continuously in accordance with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Quality of supply is analysed continuously in accordance with legislative requirements and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Power generation plant maintenance commitments are analysed when setting priorities for committing power generation units in accordance w</w:t>
            </w:r>
            <w:r w:rsidRPr="00E31A1C">
              <w:t>ith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Schedule is produced with sufficient lead time to allow power generation plant movements to occur in accordance with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3.9</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Power generation plant problems are assessed for impact on unit commitment and scheduling requirements in accordance with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3.10</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Power generation plant testing is incorporated into priorities for committing power generation units in a</w:t>
            </w:r>
            <w:r w:rsidRPr="00E31A1C">
              <w:t>ccordance with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Scheduling information is recorded in accordance with workplace procedures</w:t>
            </w:r>
          </w:p>
        </w:tc>
      </w:tr>
      <w:tr w:rsidTr="00E31A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1A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t>Key stakeholders are informed of scheduling evaluation outcomes in accordance with workplace procedures</w:t>
            </w:r>
          </w:p>
        </w:tc>
      </w:tr>
    </w:tbl>
    <w:p w:rsidR="00000000" w:rsidRPr="00E31A1C" w:rsidP="00E31A1C">
      <w:pPr>
        <w:pStyle w:val="NoPaddingFontSize1"/>
      </w:pPr>
    </w:p>
    <w:p w:rsidR="00000000" w:rsidRPr="00E31A1C" w:rsidP="00E31A1C">
      <w:pPr>
        <w:pStyle w:val="AllowPageBreak"/>
      </w:pPr>
    </w:p>
    <w:p w:rsidR="00000000" w:rsidRPr="00E31A1C" w:rsidP="00E31A1C">
      <w:pPr>
        <w:pStyle w:val="Heading1"/>
      </w:pPr>
      <w:bookmarkStart w:id="7" w:name="O_1190788"/>
      <w:bookmarkEnd w:id="7"/>
      <w:r w:rsidRPr="00E31A1C">
        <w:t>Foundation Skills</w:t>
      </w:r>
    </w:p>
    <w:tbl>
      <w:tblPr>
        <w:tblW w:w="9497" w:type="dxa"/>
        <w:tblLayout w:type="fixed"/>
        <w:tblCellMar>
          <w:left w:w="62" w:type="dxa"/>
          <w:right w:w="62" w:type="dxa"/>
        </w:tblCellMar>
        <w:tblLook w:val="0000"/>
      </w:tblPr>
      <w:tblGrid>
        <w:gridCol w:w="9497"/>
      </w:tblGrid>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t>Foundation skills essential to performance are explicit in the performance criteria of this unit of competency.</w:t>
            </w:r>
          </w:p>
        </w:tc>
      </w:tr>
    </w:tbl>
    <w:p w:rsidR="00000000" w:rsidRPr="00E31A1C" w:rsidP="00E31A1C">
      <w:pPr>
        <w:pStyle w:val="NoPaddingFontSize1"/>
      </w:pPr>
    </w:p>
    <w:p w:rsidR="00000000" w:rsidRPr="00E31A1C" w:rsidP="00E31A1C">
      <w:pPr>
        <w:pStyle w:val="AllowPageBreak"/>
      </w:pPr>
    </w:p>
    <w:p w:rsidR="00000000" w:rsidRPr="00E31A1C" w:rsidP="00E31A1C">
      <w:pPr>
        <w:pStyle w:val="Heading1"/>
      </w:pPr>
      <w:bookmarkStart w:id="8" w:name="O_1190789"/>
      <w:bookmarkEnd w:id="8"/>
      <w:r w:rsidRPr="00E31A1C">
        <w:t>Range of Conditions</w:t>
      </w:r>
    </w:p>
    <w:tbl>
      <w:tblPr>
        <w:tblW w:w="9497" w:type="dxa"/>
        <w:tblLayout w:type="fixed"/>
        <w:tblCellMar>
          <w:left w:w="62" w:type="dxa"/>
          <w:right w:w="62" w:type="dxa"/>
        </w:tblCellMar>
        <w:tblLook w:val="0000"/>
      </w:tblPr>
      <w:tblGrid>
        <w:gridCol w:w="9497"/>
      </w:tblGrid>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t>Range is restricted to essential operating conditions and any other</w:t>
            </w:r>
            <w:r w:rsidRPr="00E31A1C">
              <w:t xml:space="preserve"> variables essential to the work environment.</w:t>
            </w:r>
          </w:p>
          <w:p w:rsidR="00000000" w:rsidRPr="00E31A1C" w:rsidP="00E31A1C">
            <w:pPr>
              <w:pStyle w:val="BodyText"/>
            </w:pPr>
            <w:r w:rsidRPr="00E31A1C">
              <w:t>Non-essential conditions may be found in the UEP Electricity Supply Industry - Generation Sector Training Package Companion Volume Implementation Guide.</w:t>
            </w:r>
          </w:p>
        </w:tc>
      </w:tr>
    </w:tbl>
    <w:p w:rsidR="00000000" w:rsidRPr="00E31A1C" w:rsidP="00E31A1C">
      <w:pPr>
        <w:pStyle w:val="NoPaddingFontSize1"/>
      </w:pPr>
    </w:p>
    <w:p w:rsidR="00000000" w:rsidRPr="00E31A1C" w:rsidP="00E31A1C">
      <w:pPr>
        <w:pStyle w:val="AllowPageBreak"/>
      </w:pPr>
    </w:p>
    <w:p w:rsidR="00000000" w:rsidRPr="00E31A1C" w:rsidP="00E31A1C">
      <w:pPr>
        <w:pStyle w:val="Heading1"/>
      </w:pPr>
      <w:bookmarkStart w:id="9" w:name="O_1190790"/>
      <w:bookmarkEnd w:id="9"/>
      <w:r w:rsidRPr="00E31A1C">
        <w:t>Unit Mapping Information</w:t>
      </w:r>
    </w:p>
    <w:tbl>
      <w:tblPr>
        <w:tblW w:w="9497" w:type="dxa"/>
        <w:tblLayout w:type="fixed"/>
        <w:tblCellMar>
          <w:left w:w="62" w:type="dxa"/>
          <w:right w:w="62" w:type="dxa"/>
        </w:tblCellMar>
        <w:tblLook w:val="0000"/>
      </w:tblPr>
      <w:tblGrid>
        <w:gridCol w:w="9497"/>
      </w:tblGrid>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t>This unit r</w:t>
            </w:r>
            <w:r w:rsidRPr="00E31A1C">
              <w:t>eplaces and is equivalent to UEPOPS524 Evaluate scheduling of generation plant.</w:t>
            </w:r>
          </w:p>
        </w:tc>
      </w:tr>
    </w:tbl>
    <w:p w:rsidR="00000000" w:rsidRPr="00E31A1C" w:rsidP="00E31A1C">
      <w:pPr>
        <w:pStyle w:val="NoPaddingFontSize1"/>
      </w:pPr>
    </w:p>
    <w:p w:rsidR="00000000" w:rsidRPr="00E31A1C" w:rsidP="00E31A1C">
      <w:pPr>
        <w:pStyle w:val="AllowPageBreak"/>
      </w:pPr>
    </w:p>
    <w:p w:rsidR="00000000" w:rsidRPr="00E31A1C" w:rsidP="00E31A1C">
      <w:pPr>
        <w:pStyle w:val="Heading1"/>
      </w:pPr>
      <w:bookmarkStart w:id="10" w:name="O_1190797"/>
      <w:bookmarkEnd w:id="10"/>
      <w:r w:rsidRPr="00E31A1C">
        <w:t>Links</w:t>
      </w:r>
    </w:p>
    <w:p w:rsidR="00000000" w:rsidRPr="00E31A1C" w:rsidP="00A72466">
      <w:pPr>
        <w:pStyle w:val="BodyText"/>
      </w:pPr>
      <w:r w:rsidRPr="00E31A1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27CEF">
        <w:rPr>
          <w:rStyle w:val="Hyperlink"/>
        </w:rPr>
        <w:t>https://vetnet.gov.au/Pages/TrainingDocs.aspx?q=1715b9fa-e7bd-441c-bb8d-cf22c9c825a8</w:t>
      </w:r>
      <w:r>
        <w:fldChar w:fldCharType="end"/>
      </w:r>
    </w:p>
    <w:p w:rsidR="00000000" w:rsidRPr="00E31A1C" w:rsidP="00A72466">
      <w:pPr>
        <w:pStyle w:val="BodyText"/>
        <w:sectPr w:rsidSect="00E31A1C">
          <w:headerReference w:type="default" r:id="rId10"/>
          <w:footerReference w:type="default" r:id="rId11"/>
          <w:pgSz w:w="11908" w:h="16833"/>
          <w:pgMar w:top="1702" w:right="1418" w:bottom="1702" w:left="1418" w:header="992" w:footer="992" w:gutter="0"/>
          <w:cols w:space="720"/>
          <w:noEndnote/>
          <w:docGrid w:linePitch="299"/>
        </w:sectPr>
      </w:pPr>
    </w:p>
    <w:p w:rsidR="00000000" w:rsidRPr="00E31A1C" w:rsidP="00E31A1C">
      <w:pPr>
        <w:pStyle w:val="SuperHeading"/>
      </w:pPr>
      <w:r w:rsidRPr="00E31A1C">
        <w:t>Assessment Requirements for UEPOPS039 Evaluate scheduling of generation plant</w:t>
      </w:r>
    </w:p>
    <w:p w:rsidR="00000000" w:rsidRPr="00E31A1C" w:rsidP="00E31A1C">
      <w:pPr>
        <w:pStyle w:val="Heading1"/>
      </w:pPr>
      <w:bookmarkStart w:id="11" w:name="O_1190792"/>
      <w:bookmarkEnd w:id="11"/>
      <w:r w:rsidRPr="00E31A1C">
        <w:t>Modification History</w:t>
      </w:r>
    </w:p>
    <w:tbl>
      <w:tblPr>
        <w:tblW w:w="9497" w:type="dxa"/>
        <w:tblLayout w:type="fixed"/>
        <w:tblCellMar>
          <w:left w:w="62" w:type="dxa"/>
          <w:right w:w="62" w:type="dxa"/>
        </w:tblCellMar>
        <w:tblLook w:val="0000"/>
      </w:tblPr>
      <w:tblGrid>
        <w:gridCol w:w="9497"/>
      </w:tblGrid>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t>Release 1. This is the first release of this unit of competency in the UEP Electricity Supply Industry - Generation Sector Training Package Release 2.0.</w:t>
            </w:r>
          </w:p>
        </w:tc>
      </w:tr>
    </w:tbl>
    <w:p w:rsidR="00000000" w:rsidRPr="00E31A1C" w:rsidP="00E31A1C">
      <w:pPr>
        <w:pStyle w:val="NoPaddingFontSize1"/>
      </w:pPr>
    </w:p>
    <w:p w:rsidR="00000000" w:rsidRPr="00E31A1C" w:rsidP="00E31A1C">
      <w:pPr>
        <w:pStyle w:val="AllowPageBreak"/>
      </w:pPr>
    </w:p>
    <w:p w:rsidR="00000000" w:rsidRPr="00E31A1C" w:rsidP="00E31A1C">
      <w:pPr>
        <w:pStyle w:val="Heading1"/>
      </w:pPr>
      <w:bookmarkStart w:id="12" w:name="O_1190793"/>
      <w:bookmarkEnd w:id="12"/>
      <w:r w:rsidRPr="00E31A1C">
        <w:t>Performance Evidence</w:t>
      </w:r>
    </w:p>
    <w:tbl>
      <w:tblPr>
        <w:tblW w:w="9497" w:type="dxa"/>
        <w:tblLayout w:type="fixed"/>
        <w:tblCellMar>
          <w:left w:w="62" w:type="dxa"/>
          <w:right w:w="62" w:type="dxa"/>
        </w:tblCellMar>
        <w:tblLook w:val="0000"/>
      </w:tblPr>
      <w:tblGrid>
        <w:gridCol w:w="9497"/>
      </w:tblGrid>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 xml:space="preserve">Evidence required to demonstrate competence in this unit must be relevant to and satisfy all the requirements of the elements and performance criteria on at least two separate occasions and include: </w:t>
            </w:r>
          </w:p>
        </w:tc>
      </w:tr>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1C" w:rsidP="00E31A1C">
            <w:pPr>
              <w:pStyle w:val="ListBullet"/>
            </w:pPr>
            <w:r w:rsidRPr="00E31A1C">
              <w:t>analysing and forecasting load profile</w:t>
            </w:r>
          </w:p>
          <w:p w:rsidR="00000000" w:rsidRPr="00E31A1C" w:rsidP="00E31A1C">
            <w:pPr>
              <w:pStyle w:val="ListBullet"/>
            </w:pPr>
            <w:r w:rsidRPr="00E31A1C">
              <w:t>applying work h</w:t>
            </w:r>
            <w:r w:rsidRPr="00E31A1C">
              <w:t>ealth and safety (WHS)/occupational health and safety (OHS) requirements, including:</w:t>
            </w:r>
          </w:p>
          <w:p w:rsidR="00000000" w:rsidRPr="00E31A1C" w:rsidP="00E31A1C">
            <w:pPr>
              <w:pStyle w:val="ListBullet2"/>
            </w:pPr>
            <w:r w:rsidRPr="00E31A1C">
              <w:t>emergency procedures and techniques</w:t>
            </w:r>
          </w:p>
          <w:p w:rsidR="00000000" w:rsidRPr="00E31A1C" w:rsidP="00E31A1C">
            <w:pPr>
              <w:pStyle w:val="ListBullet2"/>
            </w:pPr>
            <w:r w:rsidRPr="00E31A1C">
              <w:t>risk control measures</w:t>
            </w:r>
          </w:p>
          <w:p w:rsidR="00000000" w:rsidRPr="00E31A1C" w:rsidP="00E31A1C">
            <w:pPr>
              <w:pStyle w:val="ListBullet2"/>
            </w:pPr>
            <w:r w:rsidRPr="00E31A1C">
              <w:t>safe working practices and procedures.</w:t>
            </w:r>
          </w:p>
          <w:p w:rsidR="00000000" w:rsidRPr="00E31A1C" w:rsidP="00E31A1C">
            <w:pPr>
              <w:pStyle w:val="ListBullet"/>
            </w:pPr>
            <w:r w:rsidRPr="00E31A1C">
              <w:t>assessing power generation unit availability and capability</w:t>
            </w:r>
          </w:p>
          <w:p w:rsidR="00000000" w:rsidRPr="00E31A1C" w:rsidP="00E31A1C">
            <w:pPr>
              <w:pStyle w:val="ListBullet"/>
            </w:pPr>
            <w:r w:rsidRPr="00E31A1C">
              <w:t>communicating with stakeholders</w:t>
            </w:r>
          </w:p>
          <w:p w:rsidR="00000000" w:rsidRPr="00E31A1C" w:rsidP="00E31A1C">
            <w:pPr>
              <w:pStyle w:val="ListBullet"/>
            </w:pPr>
            <w:r w:rsidRPr="00E31A1C">
              <w:t>completing documentation using recording procedures</w:t>
            </w:r>
          </w:p>
          <w:p w:rsidR="00000000" w:rsidRPr="00E31A1C" w:rsidP="00E31A1C">
            <w:pPr>
              <w:pStyle w:val="ListBullet"/>
            </w:pPr>
            <w:r w:rsidRPr="00E31A1C">
              <w:t>evaluating power generation unit schedules</w:t>
            </w:r>
          </w:p>
          <w:p w:rsidR="00000000" w:rsidRPr="00E31A1C" w:rsidP="00E31A1C">
            <w:pPr>
              <w:pStyle w:val="ListBullet"/>
            </w:pPr>
            <w:r w:rsidRPr="00E31A1C">
              <w:t>evaluating scheduling of power generating units for efficiency using data analysis techniques and tools</w:t>
            </w:r>
          </w:p>
          <w:p w:rsidR="00000000" w:rsidRPr="00E31A1C" w:rsidP="00E31A1C">
            <w:pPr>
              <w:pStyle w:val="ListBullet"/>
            </w:pPr>
            <w:r w:rsidRPr="00E31A1C">
              <w:t>identifying power generat</w:t>
            </w:r>
            <w:r w:rsidRPr="00E31A1C">
              <w:t>ion unit status</w:t>
            </w:r>
          </w:p>
          <w:p w:rsidR="00000000" w:rsidRPr="00E31A1C" w:rsidP="00E31A1C">
            <w:pPr>
              <w:pStyle w:val="ListBullet"/>
            </w:pPr>
            <w:r w:rsidRPr="00E31A1C">
              <w:t>implementing regulations, legislative requirements, codes of practice, manufacturers’ recommendations and specifications, and environmental requirements</w:t>
            </w:r>
          </w:p>
          <w:p w:rsidR="00000000" w:rsidRPr="00E31A1C" w:rsidP="00E31A1C">
            <w:pPr>
              <w:pStyle w:val="ListBullet"/>
            </w:pPr>
            <w:r w:rsidRPr="00E31A1C">
              <w:t>preparing and implementing power generation schedules</w:t>
            </w:r>
          </w:p>
          <w:p w:rsidR="00000000" w:rsidRPr="00E31A1C" w:rsidP="00E31A1C">
            <w:pPr>
              <w:pStyle w:val="ListBullet"/>
            </w:pPr>
            <w:r w:rsidRPr="00E31A1C">
              <w:t>scheduling power generation plant</w:t>
            </w:r>
            <w:r w:rsidRPr="00E31A1C">
              <w:t xml:space="preserve"> to meet demand</w:t>
            </w:r>
          </w:p>
          <w:p w:rsidR="00000000" w:rsidRPr="00E31A1C" w:rsidP="00E31A1C">
            <w:pPr>
              <w:pStyle w:val="ListBullet"/>
            </w:pPr>
            <w:r w:rsidRPr="00E31A1C">
              <w:t>using manuals</w:t>
            </w:r>
          </w:p>
          <w:p w:rsidR="00000000" w:rsidRPr="00E31A1C" w:rsidP="00E31A1C">
            <w:pPr>
              <w:pStyle w:val="ListBullet"/>
            </w:pPr>
            <w:r w:rsidRPr="00E31A1C">
              <w:t>utilising fuel strategies.</w:t>
            </w:r>
          </w:p>
        </w:tc>
      </w:tr>
    </w:tbl>
    <w:p w:rsidR="00000000" w:rsidRPr="00E31A1C" w:rsidP="00E31A1C">
      <w:pPr>
        <w:pStyle w:val="NoPaddingFontSize1"/>
      </w:pPr>
    </w:p>
    <w:p w:rsidR="00000000" w:rsidRPr="00E31A1C" w:rsidP="00E31A1C">
      <w:pPr>
        <w:pStyle w:val="AllowPageBreak"/>
      </w:pPr>
    </w:p>
    <w:p w:rsidR="00000000" w:rsidRPr="00E31A1C" w:rsidP="00E31A1C">
      <w:pPr>
        <w:pStyle w:val="Heading1"/>
      </w:pPr>
      <w:bookmarkStart w:id="13" w:name="O_1190794"/>
      <w:bookmarkEnd w:id="13"/>
      <w:r w:rsidRPr="00E31A1C">
        <w:t>Knowledge Evidence</w:t>
      </w:r>
    </w:p>
    <w:tbl>
      <w:tblPr>
        <w:tblW w:w="9497" w:type="dxa"/>
        <w:tblLayout w:type="fixed"/>
        <w:tblCellMar>
          <w:left w:w="62" w:type="dxa"/>
          <w:right w:w="62" w:type="dxa"/>
        </w:tblCellMar>
        <w:tblLook w:val="0000"/>
      </w:tblPr>
      <w:tblGrid>
        <w:gridCol w:w="9497"/>
      </w:tblGrid>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1A1C">
            <w:pPr>
              <w:pStyle w:val="BodyText"/>
              <w:rPr>
                <w:lang w:val="en-NZ"/>
              </w:rPr>
            </w:pPr>
            <w:r w:rsidRPr="00E31A1C">
              <w:t xml:space="preserve">Evidence required to demonstrate competence in this unit must be relevant to and satisfy all the requirements of the elements and performance criteria and </w:t>
            </w:r>
            <w:r w:rsidRPr="00E31A1C">
              <w:t xml:space="preserve">include knowledge of: </w:t>
            </w:r>
          </w:p>
        </w:tc>
      </w:tr>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1C" w:rsidP="00E31A1C">
            <w:pPr>
              <w:pStyle w:val="ListBullet"/>
            </w:pPr>
            <w:r w:rsidRPr="00E31A1C">
              <w:t>arrangements of power production plant</w:t>
            </w:r>
          </w:p>
          <w:p w:rsidR="00000000" w:rsidRPr="00E31A1C" w:rsidP="00E31A1C">
            <w:pPr>
              <w:pStyle w:val="ListBullet"/>
            </w:pPr>
            <w:r w:rsidRPr="00E31A1C">
              <w:t>evaluation techniques and tools</w:t>
            </w:r>
          </w:p>
          <w:p w:rsidR="00000000" w:rsidRPr="00E31A1C" w:rsidP="00E31A1C">
            <w:pPr>
              <w:pStyle w:val="ListBullet"/>
            </w:pPr>
            <w:r w:rsidRPr="00E31A1C">
              <w:t>framework for fuel strategies</w:t>
            </w:r>
          </w:p>
          <w:p w:rsidR="00000000" w:rsidRPr="00E31A1C" w:rsidP="00E31A1C">
            <w:pPr>
              <w:pStyle w:val="ListBullet"/>
            </w:pPr>
            <w:r w:rsidRPr="00E31A1C">
              <w:t>identification of power generation unit status</w:t>
            </w:r>
          </w:p>
          <w:p w:rsidR="00000000" w:rsidRPr="00E31A1C" w:rsidP="00E31A1C">
            <w:pPr>
              <w:pStyle w:val="ListBullet"/>
            </w:pPr>
            <w:r w:rsidRPr="00E31A1C">
              <w:t>load profile forecasts</w:t>
            </w:r>
          </w:p>
          <w:p w:rsidR="00000000" w:rsidRPr="00E31A1C" w:rsidP="00E31A1C">
            <w:pPr>
              <w:pStyle w:val="ListBullet"/>
            </w:pPr>
            <w:r w:rsidRPr="00E31A1C">
              <w:t>manuals</w:t>
            </w:r>
          </w:p>
          <w:p w:rsidR="00000000" w:rsidRPr="00E31A1C" w:rsidP="00E31A1C">
            <w:pPr>
              <w:pStyle w:val="ListBullet"/>
            </w:pPr>
            <w:r w:rsidRPr="00E31A1C">
              <w:t>operation and load characteristics of power generation plant</w:t>
            </w:r>
          </w:p>
          <w:p w:rsidR="00000000" w:rsidRPr="00E31A1C" w:rsidP="00E31A1C">
            <w:pPr>
              <w:pStyle w:val="ListBullet"/>
            </w:pPr>
            <w:r w:rsidRPr="00E31A1C">
              <w:t>power generation plant and equipment, location and operating parameters</w:t>
            </w:r>
          </w:p>
          <w:p w:rsidR="00000000" w:rsidRPr="00E31A1C" w:rsidP="00E31A1C">
            <w:pPr>
              <w:pStyle w:val="ListBullet"/>
            </w:pPr>
            <w:r w:rsidRPr="00E31A1C">
              <w:t>power generation schedule implementation</w:t>
            </w:r>
          </w:p>
          <w:p w:rsidR="00000000" w:rsidRPr="00E31A1C" w:rsidP="00E31A1C">
            <w:pPr>
              <w:pStyle w:val="ListBullet"/>
            </w:pPr>
            <w:r w:rsidRPr="00E31A1C">
              <w:t>power generation schedules, including peak load generation schedules</w:t>
            </w:r>
          </w:p>
          <w:p w:rsidR="00000000" w:rsidRPr="00E31A1C" w:rsidP="00E31A1C">
            <w:pPr>
              <w:pStyle w:val="ListBullet"/>
            </w:pPr>
            <w:r w:rsidRPr="00E31A1C">
              <w:t xml:space="preserve">regulations, </w:t>
            </w:r>
            <w:r w:rsidRPr="00E31A1C">
              <w:t>legislative requirements, codes of practice, manufacturers’ recommendations and specifications, and environmental requirements</w:t>
            </w:r>
          </w:p>
          <w:p w:rsidR="00000000" w:rsidRPr="00E31A1C" w:rsidP="00E31A1C">
            <w:pPr>
              <w:pStyle w:val="ListBullet"/>
            </w:pPr>
            <w:r w:rsidRPr="00E31A1C">
              <w:t>stakeholder liaison</w:t>
            </w:r>
          </w:p>
          <w:p w:rsidR="00000000" w:rsidRPr="00E31A1C" w:rsidP="00E31A1C">
            <w:pPr>
              <w:pStyle w:val="ListBullet"/>
            </w:pPr>
            <w:r w:rsidRPr="00E31A1C">
              <w:t>WHS/OHS requirements, including:</w:t>
            </w:r>
          </w:p>
          <w:p w:rsidR="00000000" w:rsidRPr="00E31A1C" w:rsidP="00E31A1C">
            <w:pPr>
              <w:pStyle w:val="ListBullet2"/>
            </w:pPr>
            <w:r w:rsidRPr="00E31A1C">
              <w:t>emergency procedures and techniques</w:t>
            </w:r>
          </w:p>
          <w:p w:rsidR="00000000" w:rsidRPr="00E31A1C" w:rsidP="00E31A1C">
            <w:pPr>
              <w:pStyle w:val="ListBullet2"/>
            </w:pPr>
            <w:r w:rsidRPr="00E31A1C">
              <w:t>risk control measures</w:t>
            </w:r>
          </w:p>
          <w:p w:rsidR="00000000" w:rsidRPr="00E31A1C" w:rsidP="00E31A1C">
            <w:pPr>
              <w:pStyle w:val="ListBullet2"/>
            </w:pPr>
            <w:r w:rsidRPr="00E31A1C">
              <w:t>safe working prac</w:t>
            </w:r>
            <w:r w:rsidRPr="00E31A1C">
              <w:t>tices and procedures.</w:t>
            </w:r>
          </w:p>
          <w:p w:rsidR="00000000" w:rsidRPr="00E31A1C" w:rsidP="00E31A1C">
            <w:pPr>
              <w:pStyle w:val="ListBullet"/>
            </w:pPr>
            <w:r w:rsidRPr="00E31A1C">
              <w:t>workplace documentation</w:t>
            </w:r>
          </w:p>
          <w:p w:rsidR="00000000" w:rsidRPr="00E31A1C" w:rsidP="00E31A1C">
            <w:pPr>
              <w:pStyle w:val="ListBullet"/>
            </w:pPr>
            <w:r w:rsidRPr="00E31A1C">
              <w:t>workplace policies and procedures.</w:t>
            </w:r>
          </w:p>
        </w:tc>
      </w:tr>
    </w:tbl>
    <w:p w:rsidR="00000000" w:rsidRPr="00E31A1C" w:rsidP="00E31A1C">
      <w:pPr>
        <w:pStyle w:val="NoPaddingFontSize1"/>
      </w:pPr>
    </w:p>
    <w:p w:rsidR="00000000" w:rsidRPr="00E31A1C" w:rsidP="00E31A1C">
      <w:pPr>
        <w:pStyle w:val="AllowPageBreak"/>
      </w:pPr>
    </w:p>
    <w:p w:rsidR="00000000" w:rsidRPr="00E31A1C" w:rsidP="00E31A1C">
      <w:pPr>
        <w:pStyle w:val="Heading1"/>
      </w:pPr>
      <w:bookmarkStart w:id="14" w:name="O_1190795"/>
      <w:bookmarkEnd w:id="14"/>
      <w:r w:rsidRPr="00E31A1C">
        <w:t>Assessment Conditions</w:t>
      </w:r>
    </w:p>
    <w:tbl>
      <w:tblPr>
        <w:tblW w:w="9497" w:type="dxa"/>
        <w:tblLayout w:type="fixed"/>
        <w:tblCellMar>
          <w:left w:w="62" w:type="dxa"/>
          <w:right w:w="62" w:type="dxa"/>
        </w:tblCellMar>
        <w:tblLook w:val="0000"/>
      </w:tblPr>
      <w:tblGrid>
        <w:gridCol w:w="9497"/>
      </w:tblGrid>
      <w:tr w:rsidTr="00E31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1C" w:rsidP="00E31A1C">
            <w:pPr>
              <w:pStyle w:val="BodyText"/>
            </w:pPr>
            <w:r w:rsidRPr="00E31A1C">
              <w:t xml:space="preserve">Assessors must hold credentials specified within the Standards for Registered Training Organisations current at the time of assessment. </w:t>
            </w:r>
          </w:p>
          <w:p w:rsidR="00000000" w:rsidRPr="00E31A1C" w:rsidP="00E31A1C">
            <w:pPr>
              <w:pStyle w:val="BodyText"/>
            </w:pPr>
            <w:r w:rsidRPr="00E31A1C">
              <w:t>Assessment must satisfy the Principles of Assessment and Rules of Evidence and all regulatory requirements included wit</w:t>
            </w:r>
            <w:r w:rsidRPr="00E31A1C">
              <w:t>hin the Standards for Registered Training Organisations current at the time of assessment.</w:t>
            </w:r>
          </w:p>
          <w:p w:rsidR="00000000" w:rsidRPr="00E31A1C" w:rsidP="00E31A1C">
            <w:pPr>
              <w:pStyle w:val="BodyText"/>
            </w:pPr>
            <w:r w:rsidRPr="00E31A1C">
              <w:t>Assessment must occur in workplace operational situations where it is appropriate to do so; where this is not appropriate, assessment must occur in simulated workpla</w:t>
            </w:r>
            <w:r w:rsidRPr="00E31A1C">
              <w:t>ce operational situations that replicate workplace conditions.</w:t>
            </w:r>
          </w:p>
          <w:p w:rsidR="00000000" w:rsidRPr="00E31A1C" w:rsidP="00E31A1C">
            <w:pPr>
              <w:pStyle w:val="BodyText"/>
            </w:pPr>
            <w:r w:rsidRPr="00E31A1C">
              <w:t>Assessment processes and techniques must be appropriate to the language, literacy and numeracy requirements of the work being performed and the needs of the candidate.</w:t>
            </w:r>
          </w:p>
          <w:p w:rsidR="00000000" w:rsidRPr="00E31A1C" w:rsidP="00E31A1C">
            <w:pPr>
              <w:pStyle w:val="BodyText"/>
            </w:pPr>
            <w:r w:rsidRPr="00E31A1C">
              <w:t xml:space="preserve">Resources for assessment </w:t>
            </w:r>
            <w:r w:rsidRPr="00E31A1C">
              <w:t>must include access to:</w:t>
            </w:r>
          </w:p>
          <w:p w:rsidR="00000000" w:rsidRPr="00E31A1C" w:rsidP="00E31A1C">
            <w:pPr>
              <w:pStyle w:val="ListBullet"/>
            </w:pPr>
            <w:r w:rsidRPr="00E31A1C">
              <w:t>a range of relevant exercises, case studies and/or other simulations</w:t>
            </w:r>
          </w:p>
          <w:p w:rsidR="00000000" w:rsidRPr="00E31A1C" w:rsidP="00E31A1C">
            <w:pPr>
              <w:pStyle w:val="ListBullet"/>
            </w:pPr>
            <w:r w:rsidRPr="00E31A1C">
              <w:t xml:space="preserve">relevant and appropriate materials, tools, equipment and personal protective equipment (PPE) currently used in industry </w:t>
            </w:r>
          </w:p>
          <w:p w:rsidR="00000000" w:rsidRPr="00E31A1C" w:rsidP="00E31A1C">
            <w:pPr>
              <w:pStyle w:val="ListBullet"/>
            </w:pPr>
            <w:r w:rsidRPr="00E31A1C">
              <w:t>applicable documentation, including workp</w:t>
            </w:r>
            <w:r w:rsidRPr="00E31A1C">
              <w:t>lace procedures, equipment specifications, regulations, codes of practice and operation manuals.</w:t>
            </w:r>
          </w:p>
        </w:tc>
      </w:tr>
    </w:tbl>
    <w:p w:rsidR="00000000" w:rsidRPr="00E31A1C" w:rsidP="00E31A1C">
      <w:pPr>
        <w:pStyle w:val="NoPaddingFontSize1"/>
      </w:pPr>
    </w:p>
    <w:p w:rsidR="00000000" w:rsidRPr="00E31A1C" w:rsidP="00E31A1C">
      <w:pPr>
        <w:pStyle w:val="AllowPageBreak"/>
      </w:pPr>
    </w:p>
    <w:p w:rsidR="00000000" w:rsidRPr="00E31A1C" w:rsidP="00E31A1C">
      <w:pPr>
        <w:pStyle w:val="Heading1"/>
      </w:pPr>
      <w:bookmarkStart w:id="15" w:name="O_1190798"/>
      <w:bookmarkEnd w:id="15"/>
      <w:r w:rsidRPr="00E31A1C">
        <w:t>Links</w:t>
      </w:r>
    </w:p>
    <w:p w:rsidR="00000000" w:rsidRPr="00E31A1C" w:rsidP="00A72466">
      <w:pPr>
        <w:pStyle w:val="BodyText"/>
      </w:pPr>
      <w:r w:rsidRPr="00E31A1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27CEF">
        <w:rPr>
          <w:rStyle w:val="Hyperlink"/>
        </w:rPr>
        <w:t>https://vetnet.gov.au/Pages/TrainingDocs.aspx?q=1715b9fa-e7bd-441c-bb8d-cf22c9c825a8</w:t>
      </w:r>
      <w:r>
        <w:fldChar w:fldCharType="end"/>
      </w:r>
    </w:p>
    <w:p w:rsidR="00000000" w:rsidRPr="00E31A1C" w:rsidP="00E31A1C"/>
    <w:sectPr w:rsidSect="00E31A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4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46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4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466" w:rsidP="00E31A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2466" w:rsidP="00E31A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72466" w:rsidP="00E31A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1C" w:rsidP="00E31A1C">
    <w:pPr>
      <w:pStyle w:val="Footer"/>
      <w:framePr w:wrap="around"/>
    </w:pPr>
    <w:r>
      <w:fldChar w:fldCharType="begin"/>
    </w:r>
    <w:r>
      <w:instrText xml:space="preserve"> DOCPROPERTY  Subject  \* MERGEFORMAT </w:instrText>
    </w:r>
    <w:r>
      <w:fldChar w:fldCharType="separate"/>
    </w:r>
    <w:r w:rsidR="00A72466">
      <w:t>Approved</w:t>
    </w:r>
    <w:r w:rsidR="00A72466">
      <w:fldChar w:fldCharType="end"/>
    </w:r>
    <w:r>
      <w:tab/>
      <w:t xml:space="preserve">Page </w:t>
    </w:r>
    <w:r>
      <w:fldChar w:fldCharType="begin"/>
    </w:r>
    <w:r>
      <w:instrText xml:space="preserve"> PAGE  \* Arabic  \* MERGEFORMAT </w:instrText>
    </w:r>
    <w:r>
      <w:fldChar w:fldCharType="separate"/>
    </w:r>
    <w:r w:rsidR="00A724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2466">
      <w:rPr>
        <w:noProof/>
      </w:rPr>
      <w:t>5</w:t>
    </w:r>
    <w:r>
      <w:rPr>
        <w:noProof/>
      </w:rPr>
      <w:fldChar w:fldCharType="end"/>
    </w:r>
  </w:p>
  <w:p w:rsidR="00E31A1C" w:rsidP="00E31A1C">
    <w:pPr>
      <w:pStyle w:val="Footer"/>
      <w:framePr w:wrap="around"/>
    </w:pPr>
    <w:r>
      <w:t xml:space="preserve">© Commonwealth of Australia, </w:t>
    </w:r>
    <w:r>
      <w:fldChar w:fldCharType="begin"/>
    </w:r>
    <w:r>
      <w:instrText xml:space="preserve"> DATE  \@ "yyyy"  \* MERGEFORMAT </w:instrText>
    </w:r>
    <w:r>
      <w:fldChar w:fldCharType="separate"/>
    </w:r>
    <w:r w:rsidR="00A72466">
      <w:rPr>
        <w:noProof/>
      </w:rPr>
      <w:t>2025</w:t>
    </w:r>
    <w:r>
      <w:fldChar w:fldCharType="end"/>
    </w:r>
    <w:r>
      <w:tab/>
    </w:r>
    <w:r>
      <w:fldChar w:fldCharType="begin"/>
    </w:r>
    <w:r>
      <w:instrText xml:space="preserve"> DOCPROPERTY  Author  \* MERGEFORMAT </w:instrText>
    </w:r>
    <w:r>
      <w:fldChar w:fldCharType="separate"/>
    </w:r>
    <w:r w:rsidR="00A72466">
      <w:t>Powering Skills Organisation</w:t>
    </w:r>
    <w:r w:rsidR="00A72466">
      <w:fldChar w:fldCharType="end"/>
    </w:r>
  </w:p>
  <w:p w:rsidR="00E31A1C" w:rsidP="00E31A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4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4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A1C" w:rsidRPr="00A72466" w:rsidP="00A724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4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466" w:rsidRPr="002D2AF8" w:rsidP="00E31A1C">
    <w:pPr>
      <w:pStyle w:val="Header"/>
      <w:framePr w:wrap="around"/>
    </w:pPr>
    <w:r>
      <w:fldChar w:fldCharType="begin"/>
    </w:r>
    <w:r>
      <w:instrText xml:space="preserve"> TITLE   \* MERGEFORMAT </w:instrText>
    </w:r>
    <w:r>
      <w:fldChar w:fldCharType="separate"/>
    </w:r>
    <w:r>
      <w:t>UEPOPS039 Evaluate scheduling of generation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2466" w:rsidP="00E31A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1C" w:rsidRPr="002D2AF8" w:rsidP="00E31A1C">
    <w:pPr>
      <w:pStyle w:val="Header"/>
      <w:framePr w:wrap="around"/>
    </w:pPr>
    <w:r>
      <w:fldChar w:fldCharType="begin"/>
    </w:r>
    <w:r>
      <w:instrText xml:space="preserve"> TITLE   \* MERGEFORMAT </w:instrText>
    </w:r>
    <w:r>
      <w:fldChar w:fldCharType="separate"/>
    </w:r>
    <w:r w:rsidR="00A72466">
      <w:t>UEPOPS039 Evaluate scheduling of generation plant</w:t>
    </w:r>
    <w:r w:rsidR="00A72466">
      <w:fldChar w:fldCharType="end"/>
    </w:r>
    <w:r>
      <w:tab/>
      <w:t xml:space="preserve">Date this document was generated: </w:t>
    </w:r>
    <w:r>
      <w:fldChar w:fldCharType="begin"/>
    </w:r>
    <w:r>
      <w:instrText xml:space="preserve"> CREATEDATE  \@ "d MMMM yyyy"  \* MERGEFORMAT </w:instrText>
    </w:r>
    <w:r>
      <w:fldChar w:fldCharType="separate"/>
    </w:r>
    <w:r w:rsidR="00A72466">
      <w:rPr>
        <w:noProof/>
      </w:rPr>
      <w:t>2 March 2025</w:t>
    </w:r>
    <w:r>
      <w:fldChar w:fldCharType="end"/>
    </w:r>
  </w:p>
  <w:p w:rsidR="00E31A1C" w:rsidP="00E31A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9E7E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6A46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307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A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A1C"/>
    <w:pPr>
      <w:spacing w:before="360" w:after="60"/>
      <w:outlineLvl w:val="0"/>
    </w:pPr>
    <w:rPr>
      <w:sz w:val="32"/>
    </w:rPr>
  </w:style>
  <w:style w:type="paragraph" w:styleId="Heading2">
    <w:name w:val="heading 2"/>
    <w:basedOn w:val="HeadingBase"/>
    <w:next w:val="BodyText"/>
    <w:link w:val="Heading2Char"/>
    <w:qFormat/>
    <w:rsid w:val="00E31A1C"/>
    <w:pPr>
      <w:keepLines/>
      <w:spacing w:before="240" w:after="120"/>
      <w:outlineLvl w:val="1"/>
    </w:pPr>
    <w:rPr>
      <w:sz w:val="28"/>
      <w:szCs w:val="40"/>
    </w:rPr>
  </w:style>
  <w:style w:type="paragraph" w:styleId="Heading3">
    <w:name w:val="heading 3"/>
    <w:basedOn w:val="HeadingBase"/>
    <w:next w:val="BodyText"/>
    <w:link w:val="Heading3Char"/>
    <w:qFormat/>
    <w:rsid w:val="00E31A1C"/>
    <w:pPr>
      <w:spacing w:before="180" w:after="120"/>
      <w:outlineLvl w:val="2"/>
    </w:pPr>
    <w:rPr>
      <w:spacing w:val="-10"/>
      <w:kern w:val="32"/>
    </w:rPr>
  </w:style>
  <w:style w:type="paragraph" w:styleId="Heading4">
    <w:name w:val="heading 4"/>
    <w:basedOn w:val="HeadingBase"/>
    <w:next w:val="BodyText"/>
    <w:link w:val="Heading4Char"/>
    <w:qFormat/>
    <w:rsid w:val="00E31A1C"/>
    <w:pPr>
      <w:spacing w:before="160" w:after="120"/>
      <w:outlineLvl w:val="3"/>
    </w:pPr>
    <w:rPr>
      <w:sz w:val="22"/>
    </w:rPr>
  </w:style>
  <w:style w:type="paragraph" w:styleId="Heading5">
    <w:name w:val="heading 5"/>
    <w:basedOn w:val="HeadingBase"/>
    <w:next w:val="Normal"/>
    <w:link w:val="Heading5Char"/>
    <w:qFormat/>
    <w:rsid w:val="00E31A1C"/>
    <w:pPr>
      <w:spacing w:before="80"/>
      <w:outlineLvl w:val="4"/>
    </w:pPr>
    <w:rPr>
      <w:color w:val="918585"/>
      <w:sz w:val="20"/>
    </w:rPr>
  </w:style>
  <w:style w:type="paragraph" w:styleId="Heading6">
    <w:name w:val="heading 6"/>
    <w:basedOn w:val="HeadingBase"/>
    <w:next w:val="Normal"/>
    <w:link w:val="Heading6Char"/>
    <w:qFormat/>
    <w:rsid w:val="00E31A1C"/>
    <w:pPr>
      <w:spacing w:before="60"/>
      <w:outlineLvl w:val="5"/>
    </w:pPr>
    <w:rPr>
      <w:color w:val="918585"/>
      <w:sz w:val="20"/>
    </w:rPr>
  </w:style>
  <w:style w:type="paragraph" w:styleId="Heading7">
    <w:name w:val="heading 7"/>
    <w:basedOn w:val="Normal"/>
    <w:next w:val="Normal"/>
    <w:link w:val="Heading7Char"/>
    <w:qFormat/>
    <w:rsid w:val="00E31A1C"/>
    <w:pPr>
      <w:ind w:left="720"/>
      <w:outlineLvl w:val="6"/>
    </w:pPr>
    <w:rPr>
      <w:i/>
    </w:rPr>
  </w:style>
  <w:style w:type="paragraph" w:styleId="Heading8">
    <w:name w:val="heading 8"/>
    <w:basedOn w:val="Normal"/>
    <w:next w:val="Normal"/>
    <w:link w:val="Heading8Char"/>
    <w:qFormat/>
    <w:rsid w:val="00E31A1C"/>
    <w:pPr>
      <w:ind w:left="720"/>
      <w:outlineLvl w:val="7"/>
    </w:pPr>
    <w:rPr>
      <w:i/>
    </w:rPr>
  </w:style>
  <w:style w:type="paragraph" w:styleId="Heading9">
    <w:name w:val="heading 9"/>
    <w:basedOn w:val="Normal"/>
    <w:next w:val="Normal"/>
    <w:link w:val="Heading9Char"/>
    <w:qFormat/>
    <w:rsid w:val="00E31A1C"/>
    <w:pPr>
      <w:ind w:left="720"/>
      <w:outlineLvl w:val="8"/>
    </w:pPr>
    <w:rPr>
      <w:i/>
    </w:rPr>
  </w:style>
  <w:style w:type="character" w:default="1" w:styleId="DefaultParagraphFont">
    <w:name w:val="Default Paragraph Font"/>
    <w:uiPriority w:val="1"/>
    <w:unhideWhenUsed/>
    <w:rsid w:val="00E31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A1C"/>
  </w:style>
  <w:style w:type="character" w:customStyle="1" w:styleId="Heading1Char">
    <w:name w:val="Heading 1 Char"/>
    <w:basedOn w:val="DefaultParagraphFont"/>
    <w:link w:val="Heading1"/>
    <w:rsid w:val="00E31A1C"/>
    <w:rPr>
      <w:rFonts w:ascii="Times New Roman" w:eastAsia="Times New Roman" w:hAnsi="Times New Roman" w:cs="Times New Roman"/>
      <w:b/>
      <w:sz w:val="32"/>
      <w:szCs w:val="20"/>
      <w:lang w:eastAsia="en-US"/>
    </w:rPr>
  </w:style>
  <w:style w:type="paragraph" w:styleId="BodyText">
    <w:name w:val="Body Text"/>
    <w:basedOn w:val="Normal"/>
    <w:link w:val="BodyTextChar"/>
    <w:rsid w:val="00E31A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A1C"/>
    <w:rPr>
      <w:rFonts w:ascii="Times New Roman" w:eastAsia="Times New Roman" w:hAnsi="Times New Roman" w:cs="Times New Roman"/>
      <w:sz w:val="24"/>
      <w:lang w:eastAsia="en-US"/>
    </w:rPr>
  </w:style>
  <w:style w:type="paragraph" w:styleId="ListBullet">
    <w:name w:val="List Bullet"/>
    <w:basedOn w:val="List"/>
    <w:rsid w:val="00E31A1C"/>
    <w:pPr>
      <w:numPr>
        <w:numId w:val="12"/>
      </w:numPr>
      <w:tabs>
        <w:tab w:val="clear" w:pos="340"/>
      </w:tabs>
      <w:spacing w:before="40" w:after="40"/>
    </w:pPr>
  </w:style>
  <w:style w:type="character" w:customStyle="1" w:styleId="SpecialBold">
    <w:name w:val="Special Bold"/>
    <w:basedOn w:val="DefaultParagraphFont"/>
    <w:rsid w:val="00E31A1C"/>
    <w:rPr>
      <w:b/>
      <w:spacing w:val="0"/>
    </w:rPr>
  </w:style>
  <w:style w:type="paragraph" w:styleId="ListBullet2">
    <w:name w:val="List Bullet 2"/>
    <w:basedOn w:val="List2"/>
    <w:rsid w:val="00E31A1C"/>
    <w:pPr>
      <w:numPr>
        <w:numId w:val="13"/>
      </w:numPr>
      <w:tabs>
        <w:tab w:val="clear" w:pos="680"/>
      </w:tabs>
    </w:pPr>
  </w:style>
  <w:style w:type="paragraph" w:customStyle="1" w:styleId="SuperHeading">
    <w:name w:val="SuperHeading"/>
    <w:basedOn w:val="Normal"/>
    <w:rsid w:val="00E31A1C"/>
    <w:pPr>
      <w:spacing w:before="240" w:after="120"/>
      <w:outlineLvl w:val="0"/>
    </w:pPr>
    <w:rPr>
      <w:rFonts w:ascii="Times New Roman" w:hAnsi="Times New Roman"/>
      <w:b/>
      <w:sz w:val="32"/>
    </w:rPr>
  </w:style>
  <w:style w:type="paragraph" w:customStyle="1" w:styleId="AllowPageBreak">
    <w:name w:val="AllowPageBreak"/>
    <w:rsid w:val="00E31A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1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A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A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A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A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A1C"/>
    <w:rPr>
      <w:rFonts w:ascii="Courier New" w:eastAsia="Times New Roman" w:hAnsi="Courier New" w:cs="Times New Roman"/>
      <w:i/>
      <w:szCs w:val="20"/>
      <w:lang w:eastAsia="en-US"/>
    </w:rPr>
  </w:style>
  <w:style w:type="paragraph" w:customStyle="1" w:styleId="HeadingBase">
    <w:name w:val="Heading Base"/>
    <w:rsid w:val="00E31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A1C"/>
    <w:pPr>
      <w:tabs>
        <w:tab w:val="right" w:leader="dot" w:pos="9072"/>
      </w:tabs>
      <w:ind w:left="567"/>
    </w:pPr>
    <w:rPr>
      <w:szCs w:val="22"/>
    </w:rPr>
  </w:style>
  <w:style w:type="paragraph" w:customStyle="1" w:styleId="TOCBase">
    <w:name w:val="TOC Base"/>
    <w:rsid w:val="00E31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A1C"/>
    <w:pPr>
      <w:tabs>
        <w:tab w:val="right" w:leader="dot" w:pos="9072"/>
      </w:tabs>
      <w:spacing w:before="40" w:after="40"/>
      <w:ind w:left="284"/>
    </w:pPr>
    <w:rPr>
      <w:rFonts w:ascii="Times New Roman" w:hAnsi="Times New Roman"/>
    </w:rPr>
  </w:style>
  <w:style w:type="paragraph" w:styleId="TOC1">
    <w:name w:val="toc 1"/>
    <w:basedOn w:val="TOCBase"/>
    <w:next w:val="Normal"/>
    <w:rsid w:val="00E31A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A1C"/>
    <w:rPr>
      <w:rFonts w:ascii="Times New Roman" w:eastAsia="Times New Roman" w:hAnsi="Times New Roman" w:cs="Times New Roman"/>
      <w:sz w:val="16"/>
      <w:lang w:eastAsia="en-US"/>
    </w:rPr>
  </w:style>
  <w:style w:type="paragraph" w:styleId="Title">
    <w:name w:val="Title"/>
    <w:basedOn w:val="HeadingBase"/>
    <w:link w:val="TitleChar"/>
    <w:qFormat/>
    <w:rsid w:val="00E31A1C"/>
    <w:pPr>
      <w:spacing w:before="5040"/>
      <w:jc w:val="center"/>
    </w:pPr>
    <w:rPr>
      <w:sz w:val="48"/>
      <w:szCs w:val="72"/>
      <w:lang w:val="en-US"/>
    </w:rPr>
  </w:style>
  <w:style w:type="character" w:customStyle="1" w:styleId="TitleChar">
    <w:name w:val="Title Char"/>
    <w:basedOn w:val="DefaultParagraphFont"/>
    <w:link w:val="Title"/>
    <w:rsid w:val="00E31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A1C"/>
    <w:pPr>
      <w:tabs>
        <w:tab w:val="left" w:pos="3600"/>
        <w:tab w:val="left" w:pos="3958"/>
      </w:tabs>
    </w:pPr>
  </w:style>
  <w:style w:type="paragraph" w:styleId="List">
    <w:name w:val="List"/>
    <w:basedOn w:val="BodyText"/>
    <w:next w:val="BodyText"/>
    <w:rsid w:val="00E31A1C"/>
    <w:pPr>
      <w:tabs>
        <w:tab w:val="left" w:pos="340"/>
      </w:tabs>
      <w:spacing w:before="60" w:after="60"/>
      <w:ind w:left="340" w:hanging="340"/>
    </w:pPr>
  </w:style>
  <w:style w:type="paragraph" w:customStyle="1" w:styleId="Note">
    <w:name w:val="Note"/>
    <w:basedOn w:val="BodyText"/>
    <w:rsid w:val="00E31A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A1C"/>
    <w:pPr>
      <w:framePr w:wrap="auto" w:hAnchor="text" w:y="6049"/>
    </w:pPr>
    <w:rPr>
      <w:color w:val="000000"/>
      <w:sz w:val="40"/>
    </w:rPr>
  </w:style>
  <w:style w:type="paragraph" w:customStyle="1" w:styleId="TOCTitle">
    <w:name w:val="TOCTitle"/>
    <w:basedOn w:val="Heading1"/>
    <w:rsid w:val="00E31A1C"/>
    <w:pPr>
      <w:spacing w:after="240"/>
      <w:jc w:val="center"/>
      <w:outlineLvl w:val="9"/>
    </w:pPr>
    <w:rPr>
      <w:caps/>
    </w:rPr>
  </w:style>
  <w:style w:type="paragraph" w:customStyle="1" w:styleId="Version">
    <w:name w:val="Version"/>
    <w:rsid w:val="00E31A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A1C"/>
    <w:pPr>
      <w:keepNext w:val="0"/>
      <w:tabs>
        <w:tab w:val="right" w:pos="4176"/>
      </w:tabs>
      <w:ind w:left="198" w:hanging="198"/>
    </w:pPr>
    <w:rPr>
      <w:rFonts w:ascii="Garamond" w:hAnsi="Garamond"/>
    </w:rPr>
  </w:style>
  <w:style w:type="paragraph" w:styleId="IndexHeading">
    <w:name w:val="index heading"/>
    <w:basedOn w:val="Normal"/>
    <w:next w:val="Index1"/>
    <w:semiHidden/>
    <w:rsid w:val="00E31A1C"/>
    <w:pPr>
      <w:spacing w:before="120" w:after="120"/>
    </w:pPr>
    <w:rPr>
      <w:rFonts w:ascii="Arial" w:hAnsi="Arial"/>
      <w:b/>
      <w:color w:val="918585"/>
      <w:sz w:val="24"/>
    </w:rPr>
  </w:style>
  <w:style w:type="paragraph" w:styleId="Header">
    <w:name w:val="header"/>
    <w:basedOn w:val="Normal"/>
    <w:link w:val="HeaderChar"/>
    <w:rsid w:val="00E31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A1C"/>
    <w:rPr>
      <w:rFonts w:ascii="Times New Roman" w:eastAsia="Times New Roman" w:hAnsi="Times New Roman" w:cs="Times New Roman"/>
      <w:sz w:val="16"/>
      <w:szCs w:val="20"/>
      <w:lang w:val="en-GB" w:eastAsia="en-US"/>
    </w:rPr>
  </w:style>
  <w:style w:type="paragraph" w:customStyle="1" w:styleId="Chapter">
    <w:name w:val="Chapter"/>
    <w:basedOn w:val="Normal"/>
    <w:rsid w:val="00E31A1C"/>
    <w:pPr>
      <w:spacing w:before="240"/>
    </w:pPr>
    <w:rPr>
      <w:rFonts w:ascii="Times New Roman" w:hAnsi="Times New Roman"/>
      <w:smallCaps/>
      <w:spacing w:val="80"/>
      <w:sz w:val="28"/>
    </w:rPr>
  </w:style>
  <w:style w:type="paragraph" w:customStyle="1" w:styleId="InChapter">
    <w:name w:val="InChapter"/>
    <w:basedOn w:val="Heading3"/>
    <w:rsid w:val="00E31A1C"/>
    <w:pPr>
      <w:spacing w:after="240"/>
      <w:outlineLvl w:val="9"/>
    </w:pPr>
    <w:rPr>
      <w:noProof/>
    </w:rPr>
  </w:style>
  <w:style w:type="paragraph" w:styleId="Index2">
    <w:name w:val="index 2"/>
    <w:basedOn w:val="Normal"/>
    <w:next w:val="Normal"/>
    <w:semiHidden/>
    <w:rsid w:val="00E31A1C"/>
    <w:pPr>
      <w:tabs>
        <w:tab w:val="right" w:pos="4176"/>
      </w:tabs>
      <w:ind w:left="568" w:hanging="284"/>
    </w:pPr>
    <w:rPr>
      <w:rFonts w:ascii="Garamond" w:hAnsi="Garamond"/>
    </w:rPr>
  </w:style>
  <w:style w:type="paragraph" w:customStyle="1" w:styleId="Byline">
    <w:name w:val="Byline"/>
    <w:rsid w:val="00E31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A1C"/>
    <w:pPr>
      <w:tabs>
        <w:tab w:val="clear" w:pos="3600"/>
        <w:tab w:val="clear" w:pos="3958"/>
      </w:tabs>
      <w:jc w:val="right"/>
    </w:pPr>
  </w:style>
  <w:style w:type="character" w:styleId="Emphasis">
    <w:name w:val="Emphasis"/>
    <w:basedOn w:val="DefaultParagraphFont"/>
    <w:qFormat/>
    <w:rsid w:val="00E31A1C"/>
    <w:rPr>
      <w:i/>
    </w:rPr>
  </w:style>
  <w:style w:type="paragraph" w:styleId="Caption">
    <w:name w:val="caption"/>
    <w:basedOn w:val="BodyText"/>
    <w:next w:val="Normal"/>
    <w:qFormat/>
    <w:rsid w:val="00E31A1C"/>
    <w:pPr>
      <w:framePr w:w="2268" w:hSpace="181" w:vSpace="181" w:wrap="around" w:vAnchor="text" w:hAnchor="page" w:x="1135" w:y="285" w:anchorLock="1"/>
    </w:pPr>
    <w:rPr>
      <w:i/>
    </w:rPr>
  </w:style>
  <w:style w:type="paragraph" w:customStyle="1" w:styleId="MiniTOCTitle">
    <w:name w:val="MiniTOCTitle"/>
    <w:basedOn w:val="Heading4"/>
    <w:rsid w:val="00E31A1C"/>
    <w:pPr>
      <w:spacing w:before="240"/>
      <w:outlineLvl w:val="9"/>
    </w:pPr>
    <w:rPr>
      <w:noProof/>
      <w:sz w:val="24"/>
    </w:rPr>
  </w:style>
  <w:style w:type="paragraph" w:customStyle="1" w:styleId="MiniTOCItem">
    <w:name w:val="MiniTOCItem"/>
    <w:basedOn w:val="ListBullet"/>
    <w:rsid w:val="00E31A1C"/>
    <w:pPr>
      <w:numPr>
        <w:numId w:val="0"/>
      </w:numPr>
      <w:tabs>
        <w:tab w:val="right" w:leader="dot" w:pos="6521"/>
      </w:tabs>
      <w:spacing w:before="0" w:after="0"/>
    </w:pPr>
  </w:style>
  <w:style w:type="paragraph" w:customStyle="1" w:styleId="TOFTitle">
    <w:name w:val="TOFTitle"/>
    <w:basedOn w:val="TOCTitle"/>
    <w:rsid w:val="00E31A1C"/>
  </w:style>
  <w:style w:type="paragraph" w:styleId="TableofFigures">
    <w:name w:val="table of figures"/>
    <w:basedOn w:val="Normal"/>
    <w:next w:val="Normal"/>
    <w:semiHidden/>
    <w:rsid w:val="00E31A1C"/>
    <w:pPr>
      <w:tabs>
        <w:tab w:val="right" w:leader="dot" w:pos="9072"/>
      </w:tabs>
      <w:ind w:left="970" w:hanging="403"/>
    </w:pPr>
    <w:rPr>
      <w:rFonts w:ascii="Times New Roman" w:hAnsi="Times New Roman"/>
      <w:b/>
    </w:rPr>
  </w:style>
  <w:style w:type="paragraph" w:styleId="ListNumber">
    <w:name w:val="List Number"/>
    <w:basedOn w:val="List"/>
    <w:rsid w:val="00E31A1C"/>
    <w:pPr>
      <w:numPr>
        <w:numId w:val="15"/>
      </w:numPr>
      <w:tabs>
        <w:tab w:val="clear" w:pos="340"/>
      </w:tabs>
    </w:pPr>
  </w:style>
  <w:style w:type="character" w:customStyle="1" w:styleId="WingdingSymbols">
    <w:name w:val="Wingding Symbols"/>
    <w:rsid w:val="00E31A1C"/>
    <w:rPr>
      <w:rFonts w:ascii="Wingdings" w:hAnsi="Wingdings"/>
    </w:rPr>
  </w:style>
  <w:style w:type="paragraph" w:customStyle="1" w:styleId="TableHeading">
    <w:name w:val="Table Heading"/>
    <w:basedOn w:val="HeadingBase"/>
    <w:rsid w:val="00E31A1C"/>
    <w:pPr>
      <w:keepLines/>
      <w:pBdr>
        <w:bottom w:val="single" w:sz="6" w:space="1" w:color="918585"/>
      </w:pBdr>
      <w:spacing w:before="240"/>
    </w:pPr>
  </w:style>
  <w:style w:type="character" w:customStyle="1" w:styleId="HotSpot">
    <w:name w:val="HotSpot"/>
    <w:rsid w:val="00E31A1C"/>
    <w:rPr>
      <w:color w:val="0033CC"/>
      <w:u w:val="none"/>
    </w:rPr>
  </w:style>
  <w:style w:type="paragraph" w:customStyle="1" w:styleId="BodyTextRight">
    <w:name w:val="Body Text Right"/>
    <w:basedOn w:val="BodyText"/>
    <w:rsid w:val="00E31A1C"/>
    <w:pPr>
      <w:spacing w:before="0" w:after="0"/>
      <w:jc w:val="right"/>
    </w:pPr>
  </w:style>
  <w:style w:type="paragraph" w:styleId="Index3">
    <w:name w:val="index 3"/>
    <w:basedOn w:val="ListNumber2"/>
    <w:next w:val="Normal"/>
    <w:semiHidden/>
    <w:rsid w:val="00E31A1C"/>
    <w:pPr>
      <w:numPr>
        <w:numId w:val="0"/>
      </w:numPr>
      <w:tabs>
        <w:tab w:val="right" w:leader="dot" w:pos="4176"/>
      </w:tabs>
    </w:pPr>
  </w:style>
  <w:style w:type="paragraph" w:styleId="ListNumber2">
    <w:name w:val="List Number 2"/>
    <w:basedOn w:val="List2"/>
    <w:rsid w:val="00E31A1C"/>
    <w:pPr>
      <w:numPr>
        <w:numId w:val="10"/>
      </w:numPr>
      <w:tabs>
        <w:tab w:val="clear" w:pos="1060"/>
      </w:tabs>
    </w:pPr>
  </w:style>
  <w:style w:type="paragraph" w:customStyle="1" w:styleId="MarginNote">
    <w:name w:val="Margin Note"/>
    <w:basedOn w:val="BodyText"/>
    <w:rsid w:val="00E31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A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A1C"/>
    <w:rPr>
      <w:sz w:val="32"/>
    </w:rPr>
  </w:style>
  <w:style w:type="paragraph" w:customStyle="1" w:styleId="HeadingProcedure">
    <w:name w:val="Heading Procedure"/>
    <w:basedOn w:val="HeadingBase"/>
    <w:next w:val="Normal"/>
    <w:rsid w:val="00E31A1C"/>
    <w:pPr>
      <w:tabs>
        <w:tab w:val="left" w:pos="0"/>
      </w:tabs>
      <w:spacing w:before="120" w:after="60"/>
    </w:pPr>
    <w:rPr>
      <w:i/>
      <w:color w:val="918585"/>
      <w:sz w:val="22"/>
    </w:rPr>
  </w:style>
  <w:style w:type="paragraph" w:customStyle="1" w:styleId="TableBodyText">
    <w:name w:val="Table Body Text"/>
    <w:basedOn w:val="BodyText"/>
    <w:rsid w:val="00E31A1C"/>
    <w:pPr>
      <w:spacing w:before="60" w:after="60"/>
    </w:pPr>
  </w:style>
  <w:style w:type="paragraph" w:styleId="ListContinue">
    <w:name w:val="List Continue"/>
    <w:basedOn w:val="List"/>
    <w:rsid w:val="00E31A1C"/>
    <w:pPr>
      <w:ind w:firstLine="0"/>
    </w:pPr>
  </w:style>
  <w:style w:type="paragraph" w:customStyle="1" w:styleId="ListNote">
    <w:name w:val="List Note"/>
    <w:basedOn w:val="List"/>
    <w:rsid w:val="00E31A1C"/>
    <w:pPr>
      <w:pBdr>
        <w:top w:val="single" w:sz="6" w:space="2" w:color="918585"/>
        <w:bottom w:val="single" w:sz="6" w:space="2" w:color="918585"/>
      </w:pBdr>
      <w:tabs>
        <w:tab w:val="left" w:pos="1021"/>
      </w:tabs>
      <w:ind w:firstLine="0"/>
    </w:pPr>
  </w:style>
  <w:style w:type="paragraph" w:customStyle="1" w:styleId="Warning">
    <w:name w:val="Warning"/>
    <w:basedOn w:val="BodyText"/>
    <w:rsid w:val="00E31A1C"/>
    <w:pPr>
      <w:shd w:val="clear" w:color="auto" w:fill="D9D9D9"/>
      <w:tabs>
        <w:tab w:val="left" w:pos="992"/>
      </w:tabs>
      <w:ind w:left="119" w:right="119"/>
    </w:pPr>
    <w:rPr>
      <w:sz w:val="20"/>
    </w:rPr>
  </w:style>
  <w:style w:type="paragraph" w:customStyle="1" w:styleId="MarginIcons">
    <w:name w:val="Margin Icons"/>
    <w:basedOn w:val="BodyText"/>
    <w:rsid w:val="00E31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A1C"/>
    <w:rPr>
      <w:rFonts w:ascii="Courier New" w:hAnsi="Courier New"/>
    </w:rPr>
  </w:style>
  <w:style w:type="paragraph" w:customStyle="1" w:styleId="NoteBullet">
    <w:name w:val="Note Bullet"/>
    <w:basedOn w:val="Note"/>
    <w:rsid w:val="00E31A1C"/>
    <w:pPr>
      <w:tabs>
        <w:tab w:val="clear" w:pos="680"/>
      </w:tabs>
      <w:spacing w:before="60" w:after="60"/>
    </w:pPr>
  </w:style>
  <w:style w:type="paragraph" w:customStyle="1" w:styleId="SubHeading2">
    <w:name w:val="SubHeading2"/>
    <w:basedOn w:val="HeadingBase"/>
    <w:rsid w:val="00E31A1C"/>
    <w:pPr>
      <w:spacing w:before="240" w:after="60"/>
    </w:pPr>
    <w:rPr>
      <w:sz w:val="20"/>
    </w:rPr>
  </w:style>
  <w:style w:type="paragraph" w:customStyle="1" w:styleId="SubHeading1">
    <w:name w:val="SubHeading1"/>
    <w:basedOn w:val="HeadingBase"/>
    <w:rsid w:val="00E31A1C"/>
    <w:pPr>
      <w:spacing w:before="240" w:after="60"/>
    </w:pPr>
    <w:rPr>
      <w:color w:val="918585"/>
      <w:sz w:val="22"/>
    </w:rPr>
  </w:style>
  <w:style w:type="paragraph" w:customStyle="1" w:styleId="SideHeading">
    <w:name w:val="Side Heading"/>
    <w:basedOn w:val="HeadingBase"/>
    <w:rsid w:val="00E31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A1C"/>
    <w:pPr>
      <w:tabs>
        <w:tab w:val="num" w:pos="360"/>
      </w:tabs>
    </w:pPr>
  </w:style>
  <w:style w:type="paragraph" w:styleId="PlainText">
    <w:name w:val="Plain Text"/>
    <w:basedOn w:val="Normal"/>
    <w:link w:val="PlainTextChar"/>
    <w:rsid w:val="00E31A1C"/>
    <w:rPr>
      <w:sz w:val="20"/>
    </w:rPr>
  </w:style>
  <w:style w:type="character" w:customStyle="1" w:styleId="PlainTextChar">
    <w:name w:val="Plain Text Char"/>
    <w:basedOn w:val="DefaultParagraphFont"/>
    <w:link w:val="PlainText"/>
    <w:rsid w:val="00E31A1C"/>
    <w:rPr>
      <w:rFonts w:ascii="Courier New" w:eastAsia="Times New Roman" w:hAnsi="Courier New" w:cs="Times New Roman"/>
      <w:sz w:val="20"/>
      <w:szCs w:val="20"/>
      <w:lang w:eastAsia="en-US"/>
    </w:rPr>
  </w:style>
  <w:style w:type="character" w:customStyle="1" w:styleId="MenuOption">
    <w:name w:val="Menu Option"/>
    <w:basedOn w:val="DefaultParagraphFont"/>
    <w:rsid w:val="00E31A1C"/>
    <w:rPr>
      <w:b/>
      <w:smallCaps/>
    </w:rPr>
  </w:style>
  <w:style w:type="paragraph" w:customStyle="1" w:styleId="TableListNumber">
    <w:name w:val="Table List Number"/>
    <w:basedOn w:val="ListNumber"/>
    <w:rsid w:val="00E31A1C"/>
    <w:pPr>
      <w:numPr>
        <w:numId w:val="0"/>
      </w:numPr>
    </w:pPr>
  </w:style>
  <w:style w:type="paragraph" w:styleId="TOC4">
    <w:name w:val="toc 4"/>
    <w:basedOn w:val="TOCBase"/>
    <w:next w:val="Normal"/>
    <w:semiHidden/>
    <w:rsid w:val="00E31A1C"/>
    <w:pPr>
      <w:tabs>
        <w:tab w:val="right" w:leader="dot" w:pos="9071"/>
      </w:tabs>
      <w:ind w:left="1701"/>
    </w:pPr>
  </w:style>
  <w:style w:type="paragraph" w:customStyle="1" w:styleId="ListAlpha">
    <w:name w:val="List Alpha"/>
    <w:basedOn w:val="List"/>
    <w:rsid w:val="00E31A1C"/>
    <w:pPr>
      <w:numPr>
        <w:numId w:val="9"/>
      </w:numPr>
    </w:pPr>
  </w:style>
  <w:style w:type="paragraph" w:customStyle="1" w:styleId="ListAlpha2">
    <w:name w:val="List Alpha 2"/>
    <w:basedOn w:val="List2"/>
    <w:rsid w:val="00E31A1C"/>
    <w:pPr>
      <w:numPr>
        <w:numId w:val="8"/>
      </w:numPr>
    </w:pPr>
  </w:style>
  <w:style w:type="paragraph" w:styleId="List2">
    <w:name w:val="List 2"/>
    <w:basedOn w:val="BodyText"/>
    <w:rsid w:val="00E31A1C"/>
    <w:pPr>
      <w:tabs>
        <w:tab w:val="left" w:pos="680"/>
      </w:tabs>
      <w:spacing w:before="60" w:after="60"/>
      <w:ind w:left="680" w:hanging="340"/>
    </w:pPr>
  </w:style>
  <w:style w:type="paragraph" w:styleId="List3">
    <w:name w:val="List 3"/>
    <w:basedOn w:val="BodyText"/>
    <w:rsid w:val="00E31A1C"/>
    <w:pPr>
      <w:tabs>
        <w:tab w:val="left" w:pos="1021"/>
      </w:tabs>
      <w:spacing w:before="60" w:after="60"/>
      <w:ind w:left="1020" w:hanging="340"/>
    </w:pPr>
  </w:style>
  <w:style w:type="paragraph" w:styleId="List4">
    <w:name w:val="List 4"/>
    <w:basedOn w:val="BodyText"/>
    <w:rsid w:val="00E31A1C"/>
    <w:pPr>
      <w:tabs>
        <w:tab w:val="left" w:pos="1361"/>
      </w:tabs>
      <w:spacing w:before="60" w:after="60"/>
      <w:ind w:left="1361" w:hanging="340"/>
    </w:pPr>
  </w:style>
  <w:style w:type="paragraph" w:styleId="List5">
    <w:name w:val="List 5"/>
    <w:basedOn w:val="BodyText"/>
    <w:rsid w:val="00E31A1C"/>
    <w:pPr>
      <w:tabs>
        <w:tab w:val="left" w:pos="1701"/>
      </w:tabs>
      <w:spacing w:before="60" w:after="60"/>
      <w:ind w:left="1701" w:hanging="340"/>
    </w:pPr>
  </w:style>
  <w:style w:type="paragraph" w:styleId="ListBullet3">
    <w:name w:val="List Bullet 3"/>
    <w:basedOn w:val="List3"/>
    <w:rsid w:val="00E31A1C"/>
    <w:pPr>
      <w:numPr>
        <w:numId w:val="14"/>
      </w:numPr>
      <w:tabs>
        <w:tab w:val="clear" w:pos="1021"/>
      </w:tabs>
      <w:ind w:left="1037" w:hanging="357"/>
    </w:pPr>
  </w:style>
  <w:style w:type="paragraph" w:styleId="ListBullet4">
    <w:name w:val="List Bullet 4"/>
    <w:basedOn w:val="List4"/>
    <w:rsid w:val="00E31A1C"/>
    <w:pPr>
      <w:numPr>
        <w:numId w:val="3"/>
      </w:numPr>
      <w:tabs>
        <w:tab w:val="clear" w:pos="1361"/>
      </w:tabs>
    </w:pPr>
  </w:style>
  <w:style w:type="paragraph" w:styleId="ListBullet5">
    <w:name w:val="List Bullet 5"/>
    <w:basedOn w:val="List5"/>
    <w:rsid w:val="00E31A1C"/>
    <w:pPr>
      <w:numPr>
        <w:numId w:val="4"/>
      </w:numPr>
    </w:pPr>
  </w:style>
  <w:style w:type="paragraph" w:styleId="ListContinue2">
    <w:name w:val="List Continue 2"/>
    <w:basedOn w:val="List2"/>
    <w:rsid w:val="00E31A1C"/>
    <w:pPr>
      <w:ind w:firstLine="0"/>
    </w:pPr>
  </w:style>
  <w:style w:type="paragraph" w:styleId="ListContinue3">
    <w:name w:val="List Continue 3"/>
    <w:basedOn w:val="List3"/>
    <w:rsid w:val="00E31A1C"/>
    <w:pPr>
      <w:ind w:left="1021" w:firstLine="0"/>
    </w:pPr>
  </w:style>
  <w:style w:type="paragraph" w:styleId="ListContinue4">
    <w:name w:val="List Continue 4"/>
    <w:basedOn w:val="List4"/>
    <w:rsid w:val="00E31A1C"/>
    <w:pPr>
      <w:ind w:firstLine="0"/>
    </w:pPr>
  </w:style>
  <w:style w:type="paragraph" w:styleId="ListContinue5">
    <w:name w:val="List Continue 5"/>
    <w:basedOn w:val="List5"/>
    <w:rsid w:val="00E31A1C"/>
    <w:pPr>
      <w:ind w:firstLine="0"/>
    </w:pPr>
  </w:style>
  <w:style w:type="paragraph" w:styleId="ListNumber3">
    <w:name w:val="List Number 3"/>
    <w:basedOn w:val="List3"/>
    <w:rsid w:val="00E31A1C"/>
    <w:pPr>
      <w:numPr>
        <w:numId w:val="5"/>
      </w:numPr>
    </w:pPr>
  </w:style>
  <w:style w:type="paragraph" w:styleId="ListNumber4">
    <w:name w:val="List Number 4"/>
    <w:basedOn w:val="List4"/>
    <w:rsid w:val="00E31A1C"/>
    <w:pPr>
      <w:numPr>
        <w:numId w:val="6"/>
      </w:numPr>
    </w:pPr>
  </w:style>
  <w:style w:type="paragraph" w:styleId="ListNumber5">
    <w:name w:val="List Number 5"/>
    <w:basedOn w:val="List5"/>
    <w:rsid w:val="00E31A1C"/>
    <w:pPr>
      <w:numPr>
        <w:numId w:val="7"/>
      </w:numPr>
    </w:pPr>
  </w:style>
  <w:style w:type="paragraph" w:styleId="BlockText">
    <w:name w:val="Block Text"/>
    <w:basedOn w:val="Normal"/>
    <w:rsid w:val="00E31A1C"/>
    <w:pPr>
      <w:spacing w:after="120"/>
      <w:ind w:left="1440" w:right="1440"/>
    </w:pPr>
  </w:style>
  <w:style w:type="character" w:customStyle="1" w:styleId="Subscript">
    <w:name w:val="Subscript"/>
    <w:basedOn w:val="DefaultParagraphFont"/>
    <w:rsid w:val="00E31A1C"/>
    <w:rPr>
      <w:sz w:val="16"/>
      <w:vertAlign w:val="subscript"/>
    </w:rPr>
  </w:style>
  <w:style w:type="character" w:customStyle="1" w:styleId="Superscript">
    <w:name w:val="Superscript"/>
    <w:basedOn w:val="DefaultParagraphFont"/>
    <w:rsid w:val="00E31A1C"/>
    <w:rPr>
      <w:sz w:val="16"/>
      <w:vertAlign w:val="superscript"/>
    </w:rPr>
  </w:style>
  <w:style w:type="character" w:customStyle="1" w:styleId="Symbols">
    <w:name w:val="Symbols"/>
    <w:basedOn w:val="DefaultParagraphFont"/>
    <w:rsid w:val="00E31A1C"/>
    <w:rPr>
      <w:rFonts w:ascii="Symbol" w:hAnsi="Symbol"/>
    </w:rPr>
  </w:style>
  <w:style w:type="character" w:customStyle="1" w:styleId="MenuOptions">
    <w:name w:val="Menu Options"/>
    <w:basedOn w:val="DefaultParagraphFont"/>
    <w:rsid w:val="00E31A1C"/>
    <w:rPr>
      <w:rFonts w:ascii="Arial Narrow" w:hAnsi="Arial Narrow"/>
      <w:smallCaps/>
    </w:rPr>
  </w:style>
  <w:style w:type="character" w:customStyle="1" w:styleId="Buttons">
    <w:name w:val="Buttons"/>
    <w:basedOn w:val="DefaultParagraphFont"/>
    <w:rsid w:val="00E31A1C"/>
    <w:rPr>
      <w:b/>
    </w:rPr>
  </w:style>
  <w:style w:type="character" w:customStyle="1" w:styleId="Underlined">
    <w:name w:val="Underlined"/>
    <w:basedOn w:val="DefaultParagraphFont"/>
    <w:rsid w:val="00E31A1C"/>
    <w:rPr>
      <w:u w:val="single"/>
    </w:rPr>
  </w:style>
  <w:style w:type="paragraph" w:customStyle="1" w:styleId="TableBodyTextRight">
    <w:name w:val="Table Body Text Right"/>
    <w:basedOn w:val="TableBodyText"/>
    <w:rsid w:val="00E31A1C"/>
    <w:pPr>
      <w:widowControl w:val="0"/>
      <w:autoSpaceDE w:val="0"/>
      <w:autoSpaceDN w:val="0"/>
      <w:adjustRightInd w:val="0"/>
      <w:jc w:val="right"/>
    </w:pPr>
    <w:rPr>
      <w:rFonts w:cs="Arial"/>
      <w:szCs w:val="18"/>
    </w:rPr>
  </w:style>
  <w:style w:type="paragraph" w:customStyle="1" w:styleId="CopyrightText">
    <w:name w:val="Copyright Text"/>
    <w:basedOn w:val="BodyText"/>
    <w:rsid w:val="00E31A1C"/>
    <w:rPr>
      <w:sz w:val="18"/>
    </w:rPr>
  </w:style>
  <w:style w:type="paragraph" w:customStyle="1" w:styleId="BodySmallRight">
    <w:name w:val="Body Small Right"/>
    <w:basedOn w:val="BodyTextRight"/>
    <w:rsid w:val="00E31A1C"/>
    <w:rPr>
      <w:sz w:val="18"/>
      <w:szCs w:val="18"/>
    </w:rPr>
  </w:style>
  <w:style w:type="paragraph" w:customStyle="1" w:styleId="MarginEdition">
    <w:name w:val="Margin Edition"/>
    <w:basedOn w:val="MarginNote"/>
    <w:rsid w:val="00E31A1C"/>
    <w:pPr>
      <w:spacing w:before="0" w:after="0"/>
    </w:pPr>
    <w:rPr>
      <w:rFonts w:ascii="Times New Roman" w:hAnsi="Times New Roman"/>
      <w:color w:val="999999"/>
    </w:rPr>
  </w:style>
  <w:style w:type="paragraph" w:customStyle="1" w:styleId="Spacer">
    <w:name w:val="Spacer"/>
    <w:basedOn w:val="Normal"/>
    <w:rsid w:val="00E31A1C"/>
    <w:rPr>
      <w:sz w:val="2"/>
      <w:szCs w:val="2"/>
    </w:rPr>
  </w:style>
  <w:style w:type="character" w:customStyle="1" w:styleId="Small">
    <w:name w:val="Small"/>
    <w:basedOn w:val="DefaultParagraphFont"/>
    <w:rsid w:val="00E31A1C"/>
    <w:rPr>
      <w:sz w:val="16"/>
    </w:rPr>
  </w:style>
  <w:style w:type="paragraph" w:customStyle="1" w:styleId="WideTable">
    <w:name w:val="Wide Table"/>
    <w:basedOn w:val="Normal"/>
    <w:rsid w:val="00E31A1C"/>
    <w:pPr>
      <w:ind w:left="-1418"/>
    </w:pPr>
    <w:rPr>
      <w:sz w:val="2"/>
      <w:szCs w:val="2"/>
    </w:rPr>
  </w:style>
  <w:style w:type="character" w:styleId="PageNumber">
    <w:name w:val="page number"/>
    <w:basedOn w:val="DefaultParagraphFont"/>
    <w:rsid w:val="00E31A1C"/>
  </w:style>
  <w:style w:type="paragraph" w:styleId="Quote">
    <w:name w:val="Quote"/>
    <w:basedOn w:val="Heading1"/>
    <w:link w:val="QuoteChar"/>
    <w:qFormat/>
    <w:rsid w:val="00E31A1C"/>
    <w:rPr>
      <w:b w:val="0"/>
      <w:sz w:val="72"/>
      <w:szCs w:val="72"/>
      <w:lang w:val="en-NZ"/>
    </w:rPr>
  </w:style>
  <w:style w:type="character" w:customStyle="1" w:styleId="QuoteChar">
    <w:name w:val="Quote Char"/>
    <w:basedOn w:val="DefaultParagraphFont"/>
    <w:link w:val="Quote"/>
    <w:rsid w:val="00E31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A1C"/>
    <w:pPr>
      <w:pageBreakBefore/>
    </w:pPr>
  </w:style>
  <w:style w:type="paragraph" w:customStyle="1" w:styleId="Border">
    <w:name w:val="Border"/>
    <w:basedOn w:val="Normal"/>
    <w:qFormat/>
    <w:rsid w:val="00E31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A1C"/>
    <w:rPr>
      <w:b/>
      <w:bCs/>
      <w:i/>
      <w:iCs/>
      <w:color w:val="auto"/>
    </w:rPr>
  </w:style>
  <w:style w:type="paragraph" w:styleId="IntenseQuote">
    <w:name w:val="Intense Quote"/>
    <w:basedOn w:val="Normal"/>
    <w:next w:val="Normal"/>
    <w:link w:val="IntenseQuoteChar"/>
    <w:uiPriority w:val="30"/>
    <w:qFormat/>
    <w:rsid w:val="00E31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A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A1C"/>
    <w:rPr>
      <w:smallCaps/>
      <w:color w:val="auto"/>
      <w:u w:val="single"/>
    </w:rPr>
  </w:style>
  <w:style w:type="character" w:styleId="IntenseReference">
    <w:name w:val="Intense Reference"/>
    <w:basedOn w:val="DefaultParagraphFont"/>
    <w:uiPriority w:val="32"/>
    <w:qFormat/>
    <w:rsid w:val="00E31A1C"/>
    <w:rPr>
      <w:b/>
      <w:bCs/>
      <w:smallCaps/>
      <w:color w:val="auto"/>
      <w:spacing w:val="5"/>
      <w:u w:val="single"/>
    </w:rPr>
  </w:style>
  <w:style w:type="paragraph" w:customStyle="1" w:styleId="2ColumnHeading">
    <w:name w:val="2Column Heading"/>
    <w:basedOn w:val="BodyText"/>
    <w:qFormat/>
    <w:rsid w:val="00E31A1C"/>
    <w:pPr>
      <w:spacing w:after="60"/>
      <w:ind w:left="-2268"/>
    </w:pPr>
    <w:rPr>
      <w:b/>
    </w:rPr>
  </w:style>
  <w:style w:type="paragraph" w:customStyle="1" w:styleId="Heading1TOC">
    <w:name w:val="Heading1 TOC"/>
    <w:basedOn w:val="Normal"/>
    <w:qFormat/>
    <w:rsid w:val="00E31A1C"/>
    <w:pPr>
      <w:spacing w:before="240" w:after="120"/>
    </w:pPr>
    <w:rPr>
      <w:rFonts w:ascii="Times New Roman" w:hAnsi="Times New Roman"/>
      <w:b/>
      <w:sz w:val="32"/>
    </w:rPr>
  </w:style>
  <w:style w:type="paragraph" w:customStyle="1" w:styleId="Heading2TOC">
    <w:name w:val="Heading2 TOC"/>
    <w:basedOn w:val="Normal"/>
    <w:qFormat/>
    <w:rsid w:val="00E31A1C"/>
    <w:pPr>
      <w:spacing w:before="240" w:after="60"/>
    </w:pPr>
    <w:rPr>
      <w:rFonts w:ascii="Times New Roman" w:hAnsi="Times New Roman"/>
      <w:b/>
      <w:sz w:val="28"/>
    </w:rPr>
  </w:style>
  <w:style w:type="character" w:customStyle="1" w:styleId="Underline">
    <w:name w:val="Underline"/>
    <w:basedOn w:val="DefaultParagraphFont"/>
    <w:qFormat/>
    <w:rsid w:val="00E31A1C"/>
    <w:rPr>
      <w:u w:val="single"/>
    </w:rPr>
  </w:style>
  <w:style w:type="character" w:customStyle="1" w:styleId="BoldandItalics">
    <w:name w:val="Bold and Italics"/>
    <w:qFormat/>
    <w:rsid w:val="00E31A1C"/>
    <w:rPr>
      <w:b/>
      <w:i/>
      <w:u w:val="none"/>
    </w:rPr>
  </w:style>
  <w:style w:type="paragraph" w:styleId="BalloonText">
    <w:name w:val="Balloon Text"/>
    <w:basedOn w:val="Normal"/>
    <w:link w:val="BalloonTextChar"/>
    <w:rsid w:val="00E31A1C"/>
    <w:rPr>
      <w:rFonts w:ascii="Tahoma" w:hAnsi="Tahoma" w:cs="Tahoma"/>
      <w:sz w:val="16"/>
      <w:szCs w:val="16"/>
    </w:rPr>
  </w:style>
  <w:style w:type="character" w:customStyle="1" w:styleId="BalloonTextChar">
    <w:name w:val="Balloon Text Char"/>
    <w:basedOn w:val="DefaultParagraphFont"/>
    <w:link w:val="BalloonText"/>
    <w:rsid w:val="00E31A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A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A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A1C"/>
    <w:rPr>
      <w:b/>
      <w:color w:val="660033"/>
      <w:spacing w:val="0"/>
    </w:rPr>
  </w:style>
  <w:style w:type="paragraph" w:customStyle="1" w:styleId="Nameditemlist">
    <w:name w:val="Named item list"/>
    <w:basedOn w:val="BodyText"/>
    <w:qFormat/>
    <w:rsid w:val="00E31A1C"/>
    <w:pPr>
      <w:tabs>
        <w:tab w:val="left" w:pos="2835"/>
      </w:tabs>
      <w:ind w:left="2835" w:hanging="2835"/>
    </w:pPr>
  </w:style>
  <w:style w:type="paragraph" w:customStyle="1" w:styleId="BodyTextnopadding">
    <w:name w:val="Body Text no padding"/>
    <w:basedOn w:val="BodyText"/>
    <w:qFormat/>
    <w:rsid w:val="00E31A1C"/>
    <w:pPr>
      <w:spacing w:before="0" w:after="0"/>
    </w:pPr>
  </w:style>
  <w:style w:type="paragraph" w:customStyle="1" w:styleId="BodyTextBold">
    <w:name w:val="Body Text Bold"/>
    <w:basedOn w:val="BodyText"/>
    <w:qFormat/>
    <w:rsid w:val="00E31A1C"/>
    <w:rPr>
      <w:b/>
    </w:rPr>
  </w:style>
  <w:style w:type="character" w:styleId="Hyperlink">
    <w:name w:val="Hyperlink"/>
    <w:basedOn w:val="DefaultParagraphFont"/>
    <w:uiPriority w:val="99"/>
    <w:unhideWhenUsed/>
    <w:rsid w:val="00A724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7764</Characters>
  <Application>Microsoft Office Word</Application>
  <DocSecurity>0</DocSecurity>
  <Lines>277</Lines>
  <Paragraphs>153</Paragraphs>
  <ScaleCrop>false</ScaleCrop>
  <Company>Author-it Software Corporation Ltd.</Company>
  <LinksUpToDate>false</LinksUpToDate>
  <CharactersWithSpaces>8764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UEPOPS039 Evaluate scheduling of generation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