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182" w:rsidP="00F61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UEPOPS031 Coordinate response to critical incidents</w:t>
      </w:r>
      <w:r>
        <w:fldChar w:fldCharType="end"/>
      </w:r>
    </w:p>
    <w:p w:rsidR="00F61182" w:rsidP="00F61182">
      <w:pPr>
        <w:pStyle w:val="Version"/>
        <w:sectPr w:rsidSect="009570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70A7" w:rsidP="009570A7">
      <w:pPr>
        <w:pStyle w:val="SuperHeading"/>
      </w:pPr>
      <w:r w:rsidRPr="009570A7">
        <w:t>Assessment Requirements for UEPOPS031 Coordinate response to critical incidents</w:t>
      </w:r>
    </w:p>
    <w:p w:rsidR="00000000" w:rsidRPr="009570A7" w:rsidP="009570A7">
      <w:pPr>
        <w:pStyle w:val="Heading1"/>
      </w:pPr>
      <w:bookmarkStart w:id="1" w:name="O_1190640"/>
      <w:bookmarkEnd w:id="1"/>
      <w:r w:rsidRPr="009570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0A7" w:rsidP="009570A7">
            <w:pPr>
              <w:pStyle w:val="BodyText"/>
            </w:pPr>
            <w:r w:rsidRPr="009570A7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9570A7" w:rsidP="009570A7">
      <w:pPr>
        <w:pStyle w:val="NoPaddingFontSize1"/>
      </w:pPr>
    </w:p>
    <w:p w:rsidR="00000000" w:rsidRPr="009570A7" w:rsidP="009570A7">
      <w:pPr>
        <w:pStyle w:val="AllowPageBreak"/>
      </w:pPr>
    </w:p>
    <w:p w:rsidR="00000000" w:rsidRPr="009570A7" w:rsidP="009570A7">
      <w:pPr>
        <w:pStyle w:val="Heading1"/>
      </w:pPr>
      <w:bookmarkStart w:id="2" w:name="O_1190641"/>
      <w:bookmarkEnd w:id="2"/>
      <w:r w:rsidRPr="009570A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0A7">
            <w:pPr>
              <w:pStyle w:val="BodyText"/>
              <w:rPr>
                <w:lang w:val="en-NZ"/>
              </w:rPr>
            </w:pPr>
            <w:r w:rsidRPr="009570A7">
              <w:t>Evidence required to demonstrate competence in this unit must</w:t>
            </w:r>
            <w:r w:rsidRPr="009570A7">
              <w:t xml:space="preserve"> be relevant to and satisfy all the requirements of the elements and performance criteria on at least two separate occasions and include: </w:t>
            </w:r>
          </w:p>
        </w:tc>
      </w:tr>
      <w:tr w:rsidTr="00957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0A7" w:rsidP="009570A7">
            <w:pPr>
              <w:pStyle w:val="ListBullet"/>
            </w:pPr>
            <w:r w:rsidRPr="009570A7">
              <w:t>applying work health and safety (WHS)/occupational health and safety (OHS) requirements, including:</w:t>
            </w:r>
          </w:p>
          <w:p w:rsidR="00000000" w:rsidRPr="009570A7" w:rsidP="009570A7">
            <w:pPr>
              <w:pStyle w:val="ListBullet2"/>
            </w:pPr>
            <w:r w:rsidRPr="009570A7">
              <w:t>emergency proc</w:t>
            </w:r>
            <w:r w:rsidRPr="009570A7">
              <w:t>edures</w:t>
            </w:r>
          </w:p>
          <w:p w:rsidR="00000000" w:rsidRPr="009570A7" w:rsidP="009570A7">
            <w:pPr>
              <w:pStyle w:val="ListBullet2"/>
            </w:pPr>
            <w:r w:rsidRPr="009570A7">
              <w:t>risk control measures</w:t>
            </w:r>
          </w:p>
          <w:p w:rsidR="00000000" w:rsidRPr="009570A7" w:rsidP="009570A7">
            <w:pPr>
              <w:pStyle w:val="ListBullet2"/>
            </w:pPr>
            <w:r w:rsidRPr="009570A7">
              <w:t>safe working practices</w:t>
            </w:r>
          </w:p>
          <w:p w:rsidR="00000000" w:rsidRPr="009570A7" w:rsidP="009570A7">
            <w:pPr>
              <w:pStyle w:val="ListBullet"/>
            </w:pPr>
            <w:r w:rsidRPr="009570A7">
              <w:t>communicating with external and internal stakeholders</w:t>
            </w:r>
          </w:p>
          <w:p w:rsidR="00000000" w:rsidRPr="009570A7" w:rsidP="009570A7">
            <w:pPr>
              <w:pStyle w:val="ListBullet"/>
            </w:pPr>
            <w:r w:rsidRPr="009570A7">
              <w:t>conducting debriefings and reviewing stakeholder feedback</w:t>
            </w:r>
          </w:p>
          <w:p w:rsidR="00000000" w:rsidRPr="009570A7" w:rsidP="009570A7">
            <w:pPr>
              <w:pStyle w:val="ListBullet"/>
            </w:pPr>
            <w:r w:rsidRPr="009570A7">
              <w:t>coordinating critical incident situations</w:t>
            </w:r>
          </w:p>
          <w:p w:rsidR="00000000" w:rsidRPr="009570A7" w:rsidP="009570A7">
            <w:pPr>
              <w:pStyle w:val="ListBullet"/>
            </w:pPr>
            <w:r w:rsidRPr="009570A7">
              <w:t>coordinating personnel</w:t>
            </w:r>
          </w:p>
          <w:p w:rsidR="00000000" w:rsidRPr="009570A7" w:rsidP="009570A7">
            <w:pPr>
              <w:pStyle w:val="ListBullet"/>
            </w:pPr>
            <w:r w:rsidRPr="009570A7">
              <w:t>determining communications</w:t>
            </w:r>
          </w:p>
          <w:p w:rsidR="00000000" w:rsidRPr="009570A7" w:rsidP="009570A7">
            <w:pPr>
              <w:pStyle w:val="ListBullet"/>
            </w:pPr>
            <w:r w:rsidRPr="009570A7">
              <w:t>documenting critical incident and response using recording procedures</w:t>
            </w:r>
          </w:p>
          <w:p w:rsidR="00000000" w:rsidRPr="009570A7" w:rsidP="009570A7">
            <w:pPr>
              <w:pStyle w:val="ListBullet"/>
            </w:pPr>
            <w:r w:rsidRPr="009570A7">
              <w:t>establishing contingency and emergency response plans</w:t>
            </w:r>
          </w:p>
          <w:p w:rsidR="00000000" w:rsidRPr="009570A7" w:rsidP="009570A7">
            <w:pPr>
              <w:pStyle w:val="ListBullet"/>
            </w:pPr>
            <w:r w:rsidRPr="009570A7">
              <w:t>identifying critical incidents and consequences</w:t>
            </w:r>
          </w:p>
          <w:p w:rsidR="00000000" w:rsidRPr="009570A7" w:rsidP="009570A7">
            <w:pPr>
              <w:pStyle w:val="ListBullet"/>
            </w:pPr>
            <w:r w:rsidRPr="009570A7">
              <w:t>implementing regulations, legislative requirements, codes of practice, manufacturer</w:t>
            </w:r>
            <w:r w:rsidRPr="009570A7">
              <w:t>s’ recommendations and specifications, and environmental requirements</w:t>
            </w:r>
          </w:p>
          <w:p w:rsidR="00000000" w:rsidRPr="009570A7" w:rsidP="009570A7">
            <w:pPr>
              <w:pStyle w:val="ListBullet"/>
            </w:pPr>
            <w:r w:rsidRPr="009570A7">
              <w:t>interpreting manuals</w:t>
            </w:r>
          </w:p>
          <w:p w:rsidR="00000000" w:rsidRPr="009570A7" w:rsidP="009570A7">
            <w:pPr>
              <w:pStyle w:val="ListBullet"/>
            </w:pPr>
            <w:r w:rsidRPr="009570A7">
              <w:t>organising and coordinating response to critical incidents</w:t>
            </w:r>
          </w:p>
          <w:p w:rsidR="00000000" w:rsidRPr="009570A7" w:rsidP="009570A7">
            <w:pPr>
              <w:pStyle w:val="ListBullet"/>
            </w:pPr>
            <w:r w:rsidRPr="009570A7">
              <w:t>using policies and procedures for critical incidents</w:t>
            </w:r>
          </w:p>
          <w:p w:rsidR="00000000" w:rsidRPr="009570A7" w:rsidP="009570A7">
            <w:pPr>
              <w:pStyle w:val="ListBullet"/>
            </w:pPr>
            <w:r w:rsidRPr="009570A7">
              <w:t>utilising data analysis techniques and tools when assessing critical incident risks and responses</w:t>
            </w:r>
          </w:p>
          <w:p w:rsidR="00000000" w:rsidRPr="009570A7" w:rsidP="009570A7">
            <w:pPr>
              <w:pStyle w:val="ListBullet"/>
            </w:pPr>
            <w:r w:rsidRPr="009570A7">
              <w:t>working with contingency plans.</w:t>
            </w:r>
          </w:p>
        </w:tc>
      </w:tr>
    </w:tbl>
    <w:p w:rsidR="00000000" w:rsidRPr="009570A7" w:rsidP="009570A7">
      <w:pPr>
        <w:pStyle w:val="NoPaddingFontSize1"/>
      </w:pPr>
    </w:p>
    <w:p w:rsidR="00000000" w:rsidRPr="009570A7" w:rsidP="009570A7">
      <w:pPr>
        <w:pStyle w:val="AllowPageBreak"/>
      </w:pPr>
    </w:p>
    <w:p w:rsidR="00000000" w:rsidRPr="009570A7" w:rsidP="009570A7">
      <w:pPr>
        <w:pStyle w:val="Heading1"/>
      </w:pPr>
      <w:bookmarkStart w:id="3" w:name="O_1190642"/>
      <w:bookmarkEnd w:id="3"/>
      <w:r w:rsidRPr="009570A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0A7">
            <w:pPr>
              <w:pStyle w:val="BodyText"/>
              <w:rPr>
                <w:lang w:val="en-NZ"/>
              </w:rPr>
            </w:pPr>
            <w:r w:rsidRPr="009570A7">
              <w:t>Evidence required to demonstrate competence in this unit must be relevant to and satis</w:t>
            </w:r>
            <w:r w:rsidRPr="009570A7">
              <w:t>fy all the requirements of the elements and performance criteria and include knowledge of:</w:t>
            </w:r>
          </w:p>
        </w:tc>
      </w:tr>
      <w:tr w:rsidTr="00957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0A7" w:rsidP="009570A7">
            <w:pPr>
              <w:pStyle w:val="ListBullet"/>
            </w:pPr>
            <w:r w:rsidRPr="009570A7">
              <w:t>communication during critical incidents</w:t>
            </w:r>
          </w:p>
          <w:p w:rsidR="00000000" w:rsidRPr="009570A7" w:rsidP="009570A7">
            <w:pPr>
              <w:pStyle w:val="ListBullet"/>
            </w:pPr>
            <w:r w:rsidRPr="009570A7">
              <w:t>contingency and emergency response plans</w:t>
            </w:r>
          </w:p>
          <w:p w:rsidR="00000000" w:rsidRPr="009570A7" w:rsidP="009570A7">
            <w:pPr>
              <w:pStyle w:val="ListBullet"/>
            </w:pPr>
            <w:r w:rsidRPr="009570A7">
              <w:t>coordination of critical incident situations</w:t>
            </w:r>
          </w:p>
          <w:p w:rsidR="00000000" w:rsidRPr="009570A7" w:rsidP="009570A7">
            <w:pPr>
              <w:pStyle w:val="ListBullet"/>
            </w:pPr>
            <w:r w:rsidRPr="009570A7">
              <w:t>data analysis techniques and tools</w:t>
            </w:r>
          </w:p>
          <w:p w:rsidR="00000000" w:rsidRPr="009570A7" w:rsidP="009570A7">
            <w:pPr>
              <w:pStyle w:val="ListBullet"/>
            </w:pPr>
            <w:r w:rsidRPr="009570A7">
              <w:t>de</w:t>
            </w:r>
            <w:r w:rsidRPr="009570A7">
              <w:t>briefings and stakeholder feedback methods</w:t>
            </w:r>
          </w:p>
          <w:p w:rsidR="00000000" w:rsidRPr="009570A7" w:rsidP="009570A7">
            <w:pPr>
              <w:pStyle w:val="ListBullet"/>
            </w:pPr>
            <w:r w:rsidRPr="009570A7">
              <w:t>regulations, legislative requirements, codes of practice, manufacturers’ recommendations and specifications, and environmental requirements</w:t>
            </w:r>
          </w:p>
          <w:p w:rsidR="00000000" w:rsidRPr="009570A7" w:rsidP="009570A7">
            <w:pPr>
              <w:pStyle w:val="ListBullet"/>
            </w:pPr>
            <w:r w:rsidRPr="009570A7">
              <w:t xml:space="preserve">role of external authorities </w:t>
            </w:r>
          </w:p>
          <w:p w:rsidR="00000000" w:rsidRPr="009570A7" w:rsidP="009570A7">
            <w:pPr>
              <w:pStyle w:val="ListBullet"/>
            </w:pPr>
            <w:r w:rsidRPr="009570A7">
              <w:t>WHS/OHS requirements, including:</w:t>
            </w:r>
          </w:p>
          <w:p w:rsidR="00000000" w:rsidRPr="009570A7" w:rsidP="009570A7">
            <w:pPr>
              <w:pStyle w:val="ListBullet2"/>
            </w:pPr>
            <w:r w:rsidRPr="009570A7">
              <w:t>emergency procedures</w:t>
            </w:r>
          </w:p>
          <w:p w:rsidR="00000000" w:rsidRPr="009570A7" w:rsidP="009570A7">
            <w:pPr>
              <w:pStyle w:val="ListBullet2"/>
            </w:pPr>
            <w:r w:rsidRPr="009570A7">
              <w:t>risk control measures</w:t>
            </w:r>
          </w:p>
          <w:p w:rsidR="00000000" w:rsidRPr="009570A7" w:rsidP="009570A7">
            <w:pPr>
              <w:pStyle w:val="ListBullet2"/>
            </w:pPr>
            <w:r w:rsidRPr="009570A7">
              <w:t>safe working practices</w:t>
            </w:r>
          </w:p>
          <w:p w:rsidR="00000000" w:rsidRPr="009570A7" w:rsidP="009570A7">
            <w:pPr>
              <w:pStyle w:val="ListBullet"/>
            </w:pPr>
            <w:r w:rsidRPr="009570A7">
              <w:t>workplace documentation</w:t>
            </w:r>
          </w:p>
          <w:p w:rsidR="00000000" w:rsidRPr="009570A7" w:rsidP="009570A7">
            <w:pPr>
              <w:pStyle w:val="ListBullet"/>
            </w:pPr>
            <w:r w:rsidRPr="009570A7">
              <w:t>workplace policies and procedures.</w:t>
            </w:r>
          </w:p>
        </w:tc>
      </w:tr>
    </w:tbl>
    <w:p w:rsidR="00000000" w:rsidRPr="009570A7" w:rsidP="009570A7">
      <w:pPr>
        <w:pStyle w:val="NoPaddingFontSize1"/>
      </w:pPr>
    </w:p>
    <w:p w:rsidR="00000000" w:rsidRPr="009570A7" w:rsidP="009570A7">
      <w:pPr>
        <w:pStyle w:val="AllowPageBreak"/>
      </w:pPr>
    </w:p>
    <w:p w:rsidR="00000000" w:rsidRPr="009570A7" w:rsidP="009570A7">
      <w:pPr>
        <w:pStyle w:val="Heading1"/>
      </w:pPr>
      <w:bookmarkStart w:id="4" w:name="O_1190643"/>
      <w:bookmarkEnd w:id="4"/>
      <w:r w:rsidRPr="009570A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70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0A7" w:rsidP="009570A7">
            <w:pPr>
              <w:pStyle w:val="BodyText"/>
            </w:pPr>
            <w:r w:rsidRPr="009570A7">
              <w:t>Assessors must hold credent</w:t>
            </w:r>
            <w:r w:rsidRPr="009570A7">
              <w:t>ials specified within the Standards for Registered Training Organisations current at the time of assessment.</w:t>
            </w:r>
          </w:p>
          <w:p w:rsidR="00000000" w:rsidRPr="009570A7" w:rsidP="009570A7">
            <w:pPr>
              <w:pStyle w:val="BodyText"/>
            </w:pPr>
            <w:r w:rsidRPr="009570A7">
              <w:t>Assessment must satisfy the Principles of Assessment and Rules of Evidence and all regulatory requirements included within the Standards for Regist</w:t>
            </w:r>
            <w:r w:rsidRPr="009570A7">
              <w:t>ered Training Organisations current at the time of assessment.</w:t>
            </w:r>
          </w:p>
          <w:p w:rsidR="00000000" w:rsidRPr="009570A7" w:rsidP="009570A7">
            <w:pPr>
              <w:pStyle w:val="BodyText"/>
            </w:pPr>
            <w:r w:rsidRPr="009570A7">
              <w:t>Assessment must occur in workplace operational situations where it is appropriate to do so; where this is not appropriate, assessment must occur in simulated workplace operational situations th</w:t>
            </w:r>
            <w:r w:rsidRPr="009570A7">
              <w:t>at replicate workplace conditions.</w:t>
            </w:r>
          </w:p>
          <w:p w:rsidR="00000000" w:rsidRPr="009570A7" w:rsidP="009570A7">
            <w:pPr>
              <w:pStyle w:val="BodyText"/>
            </w:pPr>
            <w:r w:rsidRPr="009570A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570A7" w:rsidP="009570A7">
            <w:pPr>
              <w:pStyle w:val="BodyText"/>
            </w:pPr>
            <w:r w:rsidRPr="009570A7">
              <w:t>Resources for assessment must include access to:</w:t>
            </w:r>
          </w:p>
          <w:p w:rsidR="00000000" w:rsidRPr="009570A7" w:rsidP="009570A7">
            <w:pPr>
              <w:pStyle w:val="ListBullet"/>
            </w:pPr>
            <w:r w:rsidRPr="009570A7">
              <w:t>a r</w:t>
            </w:r>
            <w:r w:rsidRPr="009570A7">
              <w:t>ange of relevant exercises, case studies and/or other simulations</w:t>
            </w:r>
          </w:p>
          <w:p w:rsidR="00000000" w:rsidRPr="009570A7" w:rsidP="009570A7">
            <w:pPr>
              <w:pStyle w:val="ListBullet"/>
            </w:pPr>
            <w:r w:rsidRPr="009570A7">
              <w:t>relevant and appropriate materials, tools, equipment and personal protective equipment (PPE) currently used in industry</w:t>
            </w:r>
          </w:p>
          <w:p w:rsidR="00000000" w:rsidRPr="009570A7" w:rsidP="009570A7">
            <w:pPr>
              <w:pStyle w:val="ListBullet"/>
            </w:pPr>
            <w:r w:rsidRPr="009570A7">
              <w:t>applicable documentation, including workplace procedures, equipment sp</w:t>
            </w:r>
            <w:r w:rsidRPr="009570A7">
              <w:t>ecifications, regulations, codes of practice and operation manuals.</w:t>
            </w:r>
          </w:p>
        </w:tc>
      </w:tr>
    </w:tbl>
    <w:p w:rsidR="00000000" w:rsidRPr="009570A7" w:rsidP="009570A7">
      <w:pPr>
        <w:pStyle w:val="NoPaddingFontSize1"/>
      </w:pPr>
    </w:p>
    <w:p w:rsidR="00000000" w:rsidRPr="009570A7" w:rsidP="009570A7">
      <w:pPr>
        <w:pStyle w:val="AllowPageBreak"/>
      </w:pPr>
    </w:p>
    <w:p w:rsidR="00000000" w:rsidRPr="009570A7" w:rsidP="009570A7">
      <w:pPr>
        <w:pStyle w:val="Heading1"/>
      </w:pPr>
      <w:bookmarkStart w:id="5" w:name="O_1190646"/>
      <w:bookmarkEnd w:id="5"/>
      <w:r w:rsidRPr="009570A7">
        <w:t>Links</w:t>
      </w:r>
    </w:p>
    <w:p w:rsidR="00000000" w:rsidRPr="009570A7" w:rsidP="00F61182">
      <w:pPr>
        <w:pStyle w:val="BodyText"/>
      </w:pPr>
      <w:r w:rsidRPr="009570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4A650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570A7" w:rsidP="009570A7"/>
    <w:sectPr w:rsidSect="009570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A7" w:rsidRPr="00F61182" w:rsidP="00F61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2" w:rsidP="009570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1182" w:rsidP="009570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61182" w:rsidP="009570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70A7" w:rsidRPr="00F61182" w:rsidP="00F61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0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182" w:rsidRPr="002D2AF8" w:rsidP="009570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UEPOPS031 Coordinate response to critical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61182" w:rsidP="009570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0EB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A1D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C843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0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70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0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0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0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0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0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0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0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0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0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0A7"/>
  </w:style>
  <w:style w:type="character" w:customStyle="1" w:styleId="Heading1Char">
    <w:name w:val="Heading 1 Char"/>
    <w:basedOn w:val="DefaultParagraphFont"/>
    <w:link w:val="Heading1"/>
    <w:rsid w:val="009570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0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70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70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70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70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70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70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70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70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7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70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70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70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70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0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0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0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0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70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70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70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70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0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0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0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70A7"/>
    <w:rPr>
      <w:b/>
      <w:spacing w:val="0"/>
    </w:rPr>
  </w:style>
  <w:style w:type="paragraph" w:customStyle="1" w:styleId="SuperTitle">
    <w:name w:val="SuperTitle"/>
    <w:basedOn w:val="Title"/>
    <w:rsid w:val="009570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0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0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70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0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0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70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0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0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0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0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0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70A7"/>
    <w:rPr>
      <w:i/>
    </w:rPr>
  </w:style>
  <w:style w:type="paragraph" w:styleId="Caption">
    <w:name w:val="caption"/>
    <w:basedOn w:val="BodyText"/>
    <w:next w:val="Normal"/>
    <w:qFormat/>
    <w:rsid w:val="009570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0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0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0A7"/>
  </w:style>
  <w:style w:type="paragraph" w:styleId="TableofFigures">
    <w:name w:val="table of figures"/>
    <w:basedOn w:val="Normal"/>
    <w:next w:val="Normal"/>
    <w:semiHidden/>
    <w:rsid w:val="009570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0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70A7"/>
    <w:rPr>
      <w:rFonts w:ascii="Wingdings" w:hAnsi="Wingdings"/>
    </w:rPr>
  </w:style>
  <w:style w:type="paragraph" w:customStyle="1" w:styleId="TableHeading">
    <w:name w:val="Table Heading"/>
    <w:basedOn w:val="HeadingBase"/>
    <w:rsid w:val="009570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0A7"/>
    <w:rPr>
      <w:color w:val="0033CC"/>
      <w:u w:val="none"/>
    </w:rPr>
  </w:style>
  <w:style w:type="paragraph" w:customStyle="1" w:styleId="BodyTextRight">
    <w:name w:val="Body Text Right"/>
    <w:basedOn w:val="BodyText"/>
    <w:rsid w:val="009570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0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0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0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0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70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70A7"/>
    <w:rPr>
      <w:sz w:val="32"/>
    </w:rPr>
  </w:style>
  <w:style w:type="paragraph" w:customStyle="1" w:styleId="HeadingProcedure">
    <w:name w:val="Heading Procedure"/>
    <w:basedOn w:val="HeadingBase"/>
    <w:next w:val="Normal"/>
    <w:rsid w:val="009570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0A7"/>
    <w:pPr>
      <w:spacing w:before="60" w:after="60"/>
    </w:pPr>
  </w:style>
  <w:style w:type="paragraph" w:styleId="ListContinue">
    <w:name w:val="List Continue"/>
    <w:basedOn w:val="List"/>
    <w:rsid w:val="009570A7"/>
    <w:pPr>
      <w:ind w:firstLine="0"/>
    </w:pPr>
  </w:style>
  <w:style w:type="paragraph" w:customStyle="1" w:styleId="ListNote">
    <w:name w:val="List Note"/>
    <w:basedOn w:val="List"/>
    <w:rsid w:val="009570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0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0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70A7"/>
    <w:rPr>
      <w:rFonts w:ascii="Courier New" w:hAnsi="Courier New"/>
    </w:rPr>
  </w:style>
  <w:style w:type="paragraph" w:customStyle="1" w:styleId="NoteBullet">
    <w:name w:val="Note Bullet"/>
    <w:basedOn w:val="Note"/>
    <w:rsid w:val="009570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0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0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0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0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0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0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70A7"/>
    <w:rPr>
      <w:b/>
      <w:smallCaps/>
    </w:rPr>
  </w:style>
  <w:style w:type="paragraph" w:customStyle="1" w:styleId="TableListNumber">
    <w:name w:val="Table List Number"/>
    <w:basedOn w:val="ListNumber"/>
    <w:rsid w:val="009570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0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0A7"/>
    <w:pPr>
      <w:numPr>
        <w:numId w:val="9"/>
      </w:numPr>
    </w:pPr>
  </w:style>
  <w:style w:type="paragraph" w:customStyle="1" w:styleId="ListAlpha2">
    <w:name w:val="List Alpha 2"/>
    <w:basedOn w:val="List2"/>
    <w:rsid w:val="009570A7"/>
    <w:pPr>
      <w:numPr>
        <w:numId w:val="8"/>
      </w:numPr>
    </w:pPr>
  </w:style>
  <w:style w:type="paragraph" w:styleId="List2">
    <w:name w:val="List 2"/>
    <w:basedOn w:val="BodyText"/>
    <w:rsid w:val="009570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0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0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0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0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0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70A7"/>
    <w:pPr>
      <w:numPr>
        <w:numId w:val="4"/>
      </w:numPr>
    </w:pPr>
  </w:style>
  <w:style w:type="paragraph" w:styleId="ListContinue2">
    <w:name w:val="List Continue 2"/>
    <w:basedOn w:val="List2"/>
    <w:rsid w:val="009570A7"/>
    <w:pPr>
      <w:ind w:firstLine="0"/>
    </w:pPr>
  </w:style>
  <w:style w:type="paragraph" w:styleId="ListContinue3">
    <w:name w:val="List Continue 3"/>
    <w:basedOn w:val="List3"/>
    <w:rsid w:val="009570A7"/>
    <w:pPr>
      <w:ind w:left="1021" w:firstLine="0"/>
    </w:pPr>
  </w:style>
  <w:style w:type="paragraph" w:styleId="ListContinue4">
    <w:name w:val="List Continue 4"/>
    <w:basedOn w:val="List4"/>
    <w:rsid w:val="009570A7"/>
    <w:pPr>
      <w:ind w:firstLine="0"/>
    </w:pPr>
  </w:style>
  <w:style w:type="paragraph" w:styleId="ListContinue5">
    <w:name w:val="List Continue 5"/>
    <w:basedOn w:val="List5"/>
    <w:rsid w:val="009570A7"/>
    <w:pPr>
      <w:ind w:firstLine="0"/>
    </w:pPr>
  </w:style>
  <w:style w:type="paragraph" w:styleId="ListNumber3">
    <w:name w:val="List Number 3"/>
    <w:basedOn w:val="List3"/>
    <w:rsid w:val="009570A7"/>
    <w:pPr>
      <w:numPr>
        <w:numId w:val="5"/>
      </w:numPr>
    </w:pPr>
  </w:style>
  <w:style w:type="paragraph" w:styleId="ListNumber4">
    <w:name w:val="List Number 4"/>
    <w:basedOn w:val="List4"/>
    <w:rsid w:val="009570A7"/>
    <w:pPr>
      <w:numPr>
        <w:numId w:val="6"/>
      </w:numPr>
    </w:pPr>
  </w:style>
  <w:style w:type="paragraph" w:styleId="ListNumber5">
    <w:name w:val="List Number 5"/>
    <w:basedOn w:val="List5"/>
    <w:rsid w:val="009570A7"/>
    <w:pPr>
      <w:numPr>
        <w:numId w:val="7"/>
      </w:numPr>
    </w:pPr>
  </w:style>
  <w:style w:type="paragraph" w:styleId="BlockText">
    <w:name w:val="Block Text"/>
    <w:basedOn w:val="Normal"/>
    <w:rsid w:val="009570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70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70A7"/>
    <w:rPr>
      <w:sz w:val="16"/>
      <w:vertAlign w:val="superscript"/>
    </w:rPr>
  </w:style>
  <w:style w:type="character" w:customStyle="1" w:styleId="Symbols">
    <w:name w:val="Symbols"/>
    <w:basedOn w:val="DefaultParagraphFont"/>
    <w:rsid w:val="009570A7"/>
    <w:rPr>
      <w:rFonts w:ascii="Symbol" w:hAnsi="Symbol"/>
    </w:rPr>
  </w:style>
  <w:style w:type="character" w:customStyle="1" w:styleId="MenuOptions">
    <w:name w:val="Menu Options"/>
    <w:basedOn w:val="DefaultParagraphFont"/>
    <w:rsid w:val="009570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70A7"/>
    <w:rPr>
      <w:b/>
    </w:rPr>
  </w:style>
  <w:style w:type="character" w:customStyle="1" w:styleId="Underlined">
    <w:name w:val="Underlined"/>
    <w:basedOn w:val="DefaultParagraphFont"/>
    <w:rsid w:val="009570A7"/>
    <w:rPr>
      <w:u w:val="single"/>
    </w:rPr>
  </w:style>
  <w:style w:type="paragraph" w:customStyle="1" w:styleId="TableBodyTextRight">
    <w:name w:val="Table Body Text Right"/>
    <w:basedOn w:val="TableBodyText"/>
    <w:rsid w:val="009570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0A7"/>
    <w:rPr>
      <w:sz w:val="18"/>
    </w:rPr>
  </w:style>
  <w:style w:type="paragraph" w:customStyle="1" w:styleId="BodySmallRight">
    <w:name w:val="Body Small Right"/>
    <w:basedOn w:val="BodyTextRight"/>
    <w:rsid w:val="009570A7"/>
    <w:rPr>
      <w:sz w:val="18"/>
      <w:szCs w:val="18"/>
    </w:rPr>
  </w:style>
  <w:style w:type="paragraph" w:customStyle="1" w:styleId="MarginEdition">
    <w:name w:val="Margin Edition"/>
    <w:basedOn w:val="MarginNote"/>
    <w:rsid w:val="009570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0A7"/>
    <w:rPr>
      <w:sz w:val="2"/>
      <w:szCs w:val="2"/>
    </w:rPr>
  </w:style>
  <w:style w:type="character" w:customStyle="1" w:styleId="Small">
    <w:name w:val="Small"/>
    <w:basedOn w:val="DefaultParagraphFont"/>
    <w:rsid w:val="009570A7"/>
    <w:rPr>
      <w:sz w:val="16"/>
    </w:rPr>
  </w:style>
  <w:style w:type="paragraph" w:customStyle="1" w:styleId="WideTable">
    <w:name w:val="Wide Table"/>
    <w:basedOn w:val="Normal"/>
    <w:rsid w:val="009570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70A7"/>
  </w:style>
  <w:style w:type="paragraph" w:styleId="Quote">
    <w:name w:val="Quote"/>
    <w:basedOn w:val="Heading1"/>
    <w:link w:val="QuoteChar"/>
    <w:qFormat/>
    <w:rsid w:val="009570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70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0A7"/>
    <w:pPr>
      <w:pageBreakBefore/>
    </w:pPr>
  </w:style>
  <w:style w:type="paragraph" w:customStyle="1" w:styleId="Border">
    <w:name w:val="Border"/>
    <w:basedOn w:val="Normal"/>
    <w:qFormat/>
    <w:rsid w:val="009570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70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0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0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70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70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0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0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0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70A7"/>
    <w:rPr>
      <w:u w:val="single"/>
    </w:rPr>
  </w:style>
  <w:style w:type="character" w:customStyle="1" w:styleId="BoldandItalics">
    <w:name w:val="Bold and Italics"/>
    <w:qFormat/>
    <w:rsid w:val="009570A7"/>
    <w:rPr>
      <w:b/>
      <w:i/>
      <w:u w:val="none"/>
    </w:rPr>
  </w:style>
  <w:style w:type="paragraph" w:styleId="BalloonText">
    <w:name w:val="Balloon Text"/>
    <w:basedOn w:val="Normal"/>
    <w:link w:val="BalloonTextChar"/>
    <w:rsid w:val="00957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70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70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70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70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70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70A7"/>
    <w:pPr>
      <w:spacing w:before="0" w:after="0"/>
    </w:pPr>
  </w:style>
  <w:style w:type="paragraph" w:customStyle="1" w:styleId="BodyTextBold">
    <w:name w:val="Body Text Bold"/>
    <w:basedOn w:val="BodyText"/>
    <w:qFormat/>
    <w:rsid w:val="009570A7"/>
    <w:rPr>
      <w:b/>
    </w:rPr>
  </w:style>
  <w:style w:type="character" w:styleId="Hyperlink">
    <w:name w:val="Hyperlink"/>
    <w:basedOn w:val="DefaultParagraphFont"/>
    <w:uiPriority w:val="99"/>
    <w:unhideWhenUsed/>
    <w:rsid w:val="00F61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453</Words>
  <Characters>3278</Characters>
  <Application>Microsoft Office Word</Application>
  <DocSecurity>0</DocSecurity>
  <Lines>84</Lines>
  <Paragraphs>60</Paragraphs>
  <ScaleCrop>false</ScaleCrop>
  <Company>Author-it Software Corporation Ltd.</Company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UEPOPS031 Coordinate response to critical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