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DA7" w:rsidP="00757D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UEPOPS028 Coordinate permit to work system</w:t>
      </w:r>
      <w:r>
        <w:fldChar w:fldCharType="end"/>
      </w:r>
    </w:p>
    <w:p w:rsidR="00757DA7" w:rsidP="00757DA7">
      <w:pPr>
        <w:pStyle w:val="Version"/>
        <w:sectPr w:rsidSect="005F0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E63" w:rsidP="005F0E63">
      <w:pPr>
        <w:pStyle w:val="SuperHeading"/>
      </w:pPr>
      <w:r w:rsidRPr="005F0E63">
        <w:t>UEPOPS028 Coordinate permit to work system</w:t>
      </w:r>
    </w:p>
    <w:p w:rsidR="00000000" w:rsidRPr="005F0E63" w:rsidP="005F0E63">
      <w:pPr>
        <w:pStyle w:val="Heading1"/>
      </w:pPr>
      <w:bookmarkStart w:id="1" w:name="O_1190573"/>
      <w:bookmarkEnd w:id="1"/>
      <w:r w:rsidRPr="005F0E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2" w:name="O_1190574"/>
      <w:bookmarkEnd w:id="2"/>
      <w:r w:rsidRPr="005F0E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This unit involves the skills and knowledge requi</w:t>
            </w:r>
            <w:r w:rsidRPr="005F0E63">
              <w:t>red to coordinate the permit to work system in a power generation facility inclusive of implementation and application on a day-to-day basis, during major power outages and in other projects.</w:t>
            </w:r>
          </w:p>
          <w:p w:rsidR="00000000" w:rsidRPr="005F0E63" w:rsidP="005F0E63">
            <w:pPr>
              <w:pStyle w:val="BodyText"/>
            </w:pPr>
            <w:r w:rsidRPr="005F0E63">
              <w:t>Permits to work are a formal system used to control high-risk ac</w:t>
            </w:r>
            <w:r w:rsidRPr="005F0E63">
              <w:t>tivities in power generation facilities. They specify control measures to be used. Permits to work ensure that all hazards and precautions have been considered before any hazardous work begins. </w:t>
            </w:r>
          </w:p>
          <w:p w:rsidR="00000000" w:rsidRPr="005F0E63" w:rsidP="005F0E63">
            <w:pPr>
              <w:pStyle w:val="BodyText"/>
            </w:pPr>
            <w:r w:rsidRPr="005F0E63">
              <w:t>Competency in this unit requires the ability to plan implemen</w:t>
            </w:r>
            <w:r w:rsidRPr="005F0E63">
              <w:t xml:space="preserve">tation of permit to work procedures, coordination of power outage permit to work requirements and coordination of the permit to work system. Individuals will, in general, work as a coordinator, in a power generation facility. </w:t>
            </w:r>
          </w:p>
          <w:p w:rsidR="00000000" w:rsidRPr="005F0E63" w:rsidP="005F0E63">
            <w:pPr>
              <w:pStyle w:val="BodyText"/>
            </w:pPr>
            <w:r w:rsidRPr="005F0E63">
              <w:t>Power generation plant operat</w:t>
            </w:r>
            <w:r w:rsidRPr="005F0E63">
              <w:t>ors are trained and authorised to isolate, prepare plant and issue permits to work.</w:t>
            </w:r>
          </w:p>
          <w:p w:rsidR="00000000" w:rsidRPr="005F0E63" w:rsidP="005F0E63">
            <w:pPr>
              <w:pStyle w:val="BodyText"/>
            </w:pPr>
            <w:r w:rsidRPr="005F0E63">
              <w:t>No licensing, legislative or certification requirements apply to this unit at the time of publication.</w:t>
            </w:r>
          </w:p>
          <w:p w:rsidR="00000000" w:rsidRPr="005F0E63" w:rsidP="005F0E63">
            <w:pPr>
              <w:pStyle w:val="BodyText"/>
            </w:pP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3" w:name="O_1190575"/>
      <w:bookmarkEnd w:id="3"/>
      <w:r w:rsidRPr="005F0E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UEPOPS011 Conduct multiple e</w:t>
            </w:r>
            <w:r w:rsidRPr="005F0E63">
              <w:t>nergy source isolation procedures for permit to work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4" w:name="O_1190576"/>
      <w:bookmarkEnd w:id="4"/>
      <w:r w:rsidRPr="005F0E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Operations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5" w:name="O_1190577"/>
      <w:bookmarkEnd w:id="5"/>
      <w:r w:rsidRPr="005F0E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Electricity generation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6" w:name="O_1190578"/>
      <w:bookmarkEnd w:id="6"/>
      <w:r w:rsidRPr="005F0E6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PERFORMANCE CRITERIA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 xml:space="preserve">Elements describe the essential </w:t>
            </w:r>
            <w:r w:rsidRPr="005F0E63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 xml:space="preserve">Performance criteria describe the performance needed to </w:t>
            </w:r>
            <w:r w:rsidRPr="005F0E63">
              <w:t>demonstrate achievement of the element.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rPr>
                <w:rStyle w:val="SpecialBold"/>
              </w:rPr>
              <w:t>Implement permit to work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Work requirements, including permits, are identified from relevant person</w:t>
            </w:r>
            <w:r w:rsidRPr="005F0E63">
              <w:t>nel and documentation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Work health and safety (WHS)/occupational health and safety (OHS) regulations, legislative requirements, codes of practice, manufacturers’ recommendations and specifications, environmenta</w:t>
            </w:r>
            <w:r w:rsidRPr="005F0E63">
              <w:t xml:space="preserve">l requirements and workplace procedures are identified, applied and monitored 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Power generation plant isolations are coordinated and confirmed with relevant personnel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Issue, cancellation and recording of permits to work is carried out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Power generation plant de-isolation and restoration is coordinated with relevant personnel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Doc</w:t>
            </w:r>
            <w:r w:rsidRPr="005F0E63">
              <w:t xml:space="preserve">umentation is completed in accordance with workplace procedures 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rPr>
                <w:rStyle w:val="SpecialBold"/>
              </w:rPr>
              <w:t>Coordinate permit to work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Power outage plan is obtained from and confirmed with relevant personnel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Critical paths, major milestones and potential conflicts between permits to work for power outage work are identified and assessed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Permits to work are detailed in maintenance plan and work is structured to not</w:t>
            </w:r>
            <w:r w:rsidRPr="005F0E63">
              <w:t xml:space="preserve"> impact power outage targets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Resources are obtained and utilised to ensure power outage plan targets are maintained in accordance with workplace procedures,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 xml:space="preserve">Issue and cancellation of permits to work is </w:t>
            </w:r>
            <w:r w:rsidRPr="005F0E63">
              <w:t xml:space="preserve">coordinated in accordance with workplace procedures 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 xml:space="preserve">De-isolation and restoration of power generation plant is planned and coordinated to meet recommissioning </w:t>
            </w:r>
            <w:r w:rsidRPr="005F0E63">
              <w:t>targets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Records are maintained during power outages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rPr>
                <w:rStyle w:val="SpecialBold"/>
              </w:rPr>
              <w:t>Report on</w:t>
            </w:r>
            <w:r w:rsidRPr="005F0E63">
              <w:t xml:space="preserve"> </w:t>
            </w:r>
            <w:r w:rsidRPr="005F0E63">
              <w:rPr>
                <w:rStyle w:val="SpecialBold"/>
              </w:rPr>
              <w:t>permit to work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Permit to work system is monitored, reviewed and results are evaluated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Results are doc</w:t>
            </w:r>
            <w:r w:rsidRPr="005F0E63">
              <w:t>umented and reports are confirmed with relevant personnel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Permit to work system incidents are identified in accordance with workplace procedures</w:t>
            </w:r>
          </w:p>
        </w:tc>
      </w:tr>
      <w:tr w:rsidTr="005F0E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Permit to work incidents are investigated and assessed in accordance with workplace procedures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7" w:name="O_1190579"/>
      <w:bookmarkEnd w:id="7"/>
      <w:r w:rsidRPr="005F0E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Foundation skills essential to performance are explicit in the performance criteria of this unit of competency.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8" w:name="O_1190580"/>
      <w:bookmarkEnd w:id="8"/>
      <w:r w:rsidRPr="005F0E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Range is restricted to essential operating conditions and any other variables essential to the work environment.</w:t>
            </w:r>
          </w:p>
          <w:p w:rsidR="00000000" w:rsidRPr="005F0E63" w:rsidP="005F0E63">
            <w:pPr>
              <w:pStyle w:val="BodyText"/>
            </w:pPr>
            <w:r w:rsidRPr="005F0E63">
              <w:t>Non-essential conditions may be found in the UEP Electricity Supply Industry - Generation Sector Training</w:t>
            </w:r>
            <w:r w:rsidRPr="005F0E63">
              <w:t xml:space="preserve"> Package Companion Volume Implementation Guide.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9" w:name="O_1190581"/>
      <w:bookmarkEnd w:id="9"/>
      <w:r w:rsidRPr="005F0E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This unit replaces and is equivalent to UEPOPS403 Coordinate permit to work system.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10" w:name="O_1190588"/>
      <w:bookmarkEnd w:id="10"/>
      <w:r w:rsidRPr="005F0E63">
        <w:t>Links</w:t>
      </w:r>
    </w:p>
    <w:p w:rsidR="00000000" w:rsidRPr="005F0E63" w:rsidP="00757DA7">
      <w:pPr>
        <w:pStyle w:val="BodyText"/>
      </w:pPr>
      <w:r w:rsidRPr="005F0E63">
        <w:t>Companion Volume implementation guides are found in</w:t>
      </w:r>
      <w:r w:rsidRPr="005F0E63">
        <w:t xml:space="preserve">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8058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F0E63" w:rsidP="00757DA7">
      <w:pPr>
        <w:pStyle w:val="BodyText"/>
        <w:sectPr w:rsidSect="005F0E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0E63" w:rsidP="005F0E63">
      <w:pPr>
        <w:pStyle w:val="SuperHeading"/>
      </w:pPr>
      <w:r w:rsidRPr="005F0E63">
        <w:t>Assessment Requirements for UEPOPS028 Coordinate permit to work system</w:t>
      </w:r>
    </w:p>
    <w:p w:rsidR="00000000" w:rsidRPr="005F0E63" w:rsidP="005F0E63">
      <w:pPr>
        <w:pStyle w:val="Heading1"/>
      </w:pPr>
      <w:bookmarkStart w:id="11" w:name="O_1190583"/>
      <w:bookmarkEnd w:id="11"/>
      <w:r w:rsidRPr="005F0E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>Rele</w:t>
            </w:r>
            <w:r w:rsidRPr="005F0E63">
              <w:t>ase 1. This is the first release of this unit of competency in the UEP Electricity Supply Industry - Generation Sector Training Package Release 2.0.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12" w:name="O_1190584"/>
      <w:bookmarkEnd w:id="12"/>
      <w:r w:rsidRPr="005F0E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Evidence required to demonst</w:t>
            </w:r>
            <w:r w:rsidRPr="005F0E63">
              <w:t xml:space="preserve">rate competence in this unit must be relevant to and satisfy all the requirements of the elements and performance criteria on at least two separate occasions and include: </w:t>
            </w:r>
          </w:p>
        </w:tc>
      </w:tr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ListBullet"/>
            </w:pPr>
            <w:r w:rsidRPr="005F0E63">
              <w:t>applying work health and safety (WHS)/occupational health and safety (OHS) require</w:t>
            </w:r>
            <w:r w:rsidRPr="005F0E63">
              <w:t>ments, including:</w:t>
            </w:r>
          </w:p>
          <w:p w:rsidR="00000000" w:rsidRPr="005F0E63" w:rsidP="005F0E63">
            <w:pPr>
              <w:pStyle w:val="ListBullet2"/>
            </w:pPr>
            <w:r w:rsidRPr="005F0E63">
              <w:t>emergency procedures</w:t>
            </w:r>
          </w:p>
          <w:p w:rsidR="00000000" w:rsidRPr="005F0E63" w:rsidP="005F0E63">
            <w:pPr>
              <w:pStyle w:val="ListBullet2"/>
            </w:pPr>
            <w:r w:rsidRPr="005F0E63">
              <w:t>risk control measures</w:t>
            </w:r>
          </w:p>
          <w:p w:rsidR="00000000" w:rsidRPr="005F0E63" w:rsidP="005F0E63">
            <w:pPr>
              <w:pStyle w:val="ListBullet2"/>
            </w:pPr>
            <w:r w:rsidRPr="005F0E63">
              <w:t>safe working practices</w:t>
            </w:r>
          </w:p>
          <w:p w:rsidR="00000000" w:rsidRPr="005F0E63" w:rsidP="005F0E63">
            <w:pPr>
              <w:pStyle w:val="ListBullet"/>
            </w:pPr>
            <w:r w:rsidRPr="005F0E63">
              <w:t>communicating with personnel and stakeholders</w:t>
            </w:r>
          </w:p>
          <w:p w:rsidR="00000000" w:rsidRPr="005F0E63" w:rsidP="005F0E63">
            <w:pPr>
              <w:pStyle w:val="ListBullet"/>
            </w:pPr>
            <w:r w:rsidRPr="005F0E63">
              <w:t>coordinating power outage permit to work requirements</w:t>
            </w:r>
          </w:p>
          <w:p w:rsidR="00000000" w:rsidRPr="005F0E63" w:rsidP="005F0E63">
            <w:pPr>
              <w:pStyle w:val="ListBullet"/>
            </w:pPr>
            <w:r w:rsidRPr="005F0E63">
              <w:t xml:space="preserve">coordinating the permit to work system by utilising planning principles and techniques </w:t>
            </w:r>
          </w:p>
          <w:p w:rsidR="00000000" w:rsidRPr="005F0E63" w:rsidP="005F0E63">
            <w:pPr>
              <w:pStyle w:val="ListBullet"/>
            </w:pPr>
            <w:r w:rsidRPr="005F0E63">
              <w:t>evaluating permit to work system using data analysis techniques and tools</w:t>
            </w:r>
          </w:p>
          <w:p w:rsidR="00000000" w:rsidRPr="005F0E63" w:rsidP="005F0E63">
            <w:pPr>
              <w:pStyle w:val="ListBullet"/>
            </w:pPr>
            <w:r w:rsidRPr="005F0E63">
              <w:t>identifying power generating plant status, including locating power generating plant and equip</w:t>
            </w:r>
            <w:r w:rsidRPr="005F0E63">
              <w:t>ment</w:t>
            </w:r>
          </w:p>
          <w:p w:rsidR="00000000" w:rsidRPr="005F0E63" w:rsidP="005F0E63">
            <w:pPr>
              <w:pStyle w:val="ListBullet"/>
            </w:pPr>
            <w:r w:rsidRPr="005F0E63">
              <w:t>identifying power outage requirements</w:t>
            </w:r>
          </w:p>
          <w:p w:rsidR="00000000" w:rsidRPr="005F0E63" w:rsidP="005F0E63">
            <w:pPr>
              <w:pStyle w:val="ListBullet"/>
            </w:pPr>
            <w:r w:rsidRPr="005F0E63">
              <w:t>implementing regulations, legislative requirements, codes of practice, manufacturers’ recommendations and specifications, and environmental requirements</w:t>
            </w:r>
          </w:p>
          <w:p w:rsidR="00000000" w:rsidRPr="005F0E63" w:rsidP="005F0E63">
            <w:pPr>
              <w:pStyle w:val="ListBullet"/>
            </w:pPr>
            <w:r w:rsidRPr="005F0E63">
              <w:t>interpreting manuals</w:t>
            </w:r>
          </w:p>
          <w:p w:rsidR="00000000" w:rsidRPr="005F0E63" w:rsidP="005F0E63">
            <w:pPr>
              <w:pStyle w:val="ListBullet"/>
            </w:pPr>
            <w:r w:rsidRPr="005F0E63">
              <w:t>reporting on permit to work system</w:t>
            </w:r>
          </w:p>
          <w:p w:rsidR="00000000" w:rsidRPr="005F0E63" w:rsidP="005F0E63">
            <w:pPr>
              <w:pStyle w:val="ListBullet"/>
            </w:pPr>
            <w:r w:rsidRPr="005F0E63">
              <w:t>usin</w:t>
            </w:r>
            <w:r w:rsidRPr="005F0E63">
              <w:t>g mechanical equipment isolation techniques</w:t>
            </w:r>
          </w:p>
          <w:p w:rsidR="00000000" w:rsidRPr="005F0E63" w:rsidP="005F0E63">
            <w:pPr>
              <w:pStyle w:val="ListBullet"/>
            </w:pPr>
            <w:r w:rsidRPr="005F0E63">
              <w:t>using permit to work procedures.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13" w:name="O_1190585"/>
      <w:bookmarkEnd w:id="13"/>
      <w:r w:rsidRPr="005F0E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63">
            <w:pPr>
              <w:pStyle w:val="BodyText"/>
              <w:rPr>
                <w:lang w:val="en-NZ"/>
              </w:rPr>
            </w:pPr>
            <w:r w:rsidRPr="005F0E63">
              <w:t>Evidence required to demonstrate</w:t>
            </w:r>
            <w:r w:rsidRPr="005F0E63">
              <w:t xml:space="preserve"> competence in this unit must be relevant to and satisfy all the requirements of the elements and performance criteria and include knowledge of: </w:t>
            </w:r>
          </w:p>
        </w:tc>
      </w:tr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ListBullet"/>
            </w:pPr>
            <w:r w:rsidRPr="005F0E63">
              <w:t>arrangements of power production plant</w:t>
            </w:r>
          </w:p>
          <w:p w:rsidR="00000000" w:rsidRPr="005F0E63" w:rsidP="005F0E63">
            <w:pPr>
              <w:pStyle w:val="ListBullet"/>
            </w:pPr>
            <w:r w:rsidRPr="005F0E63">
              <w:t>coordination of permit to work systems</w:t>
            </w:r>
          </w:p>
          <w:p w:rsidR="00000000" w:rsidRPr="005F0E63" w:rsidP="005F0E63">
            <w:pPr>
              <w:pStyle w:val="ListBullet"/>
            </w:pPr>
            <w:r w:rsidRPr="005F0E63">
              <w:t>evaluation and analysis techni</w:t>
            </w:r>
            <w:r w:rsidRPr="005F0E63">
              <w:t>ques</w:t>
            </w:r>
          </w:p>
          <w:p w:rsidR="00000000" w:rsidRPr="005F0E63" w:rsidP="005F0E63">
            <w:pPr>
              <w:pStyle w:val="ListBullet"/>
            </w:pPr>
            <w:r w:rsidRPr="005F0E63">
              <w:t>manuals</w:t>
            </w:r>
          </w:p>
          <w:p w:rsidR="00000000" w:rsidRPr="005F0E63" w:rsidP="005F0E63">
            <w:pPr>
              <w:pStyle w:val="ListBullet"/>
            </w:pPr>
            <w:r w:rsidRPr="005F0E63">
              <w:t>mechanical and electrical equipment isolation techniques</w:t>
            </w:r>
          </w:p>
          <w:p w:rsidR="00000000" w:rsidRPr="005F0E63" w:rsidP="005F0E63">
            <w:pPr>
              <w:pStyle w:val="ListBullet"/>
            </w:pPr>
            <w:r w:rsidRPr="005F0E63">
              <w:t>power generation plant and equipment, location and operating parameters</w:t>
            </w:r>
          </w:p>
          <w:p w:rsidR="00000000" w:rsidRPr="005F0E63" w:rsidP="005F0E63">
            <w:pPr>
              <w:pStyle w:val="ListBullet"/>
            </w:pPr>
            <w:r w:rsidRPr="005F0E63">
              <w:t>power generation plant status</w:t>
            </w:r>
          </w:p>
          <w:p w:rsidR="00000000" w:rsidRPr="005F0E63" w:rsidP="005F0E63">
            <w:pPr>
              <w:pStyle w:val="ListBullet"/>
            </w:pPr>
            <w:r w:rsidRPr="005F0E63">
              <w:t>regulations, legislative requirements, codes of practice, manufacturers’</w:t>
            </w:r>
            <w:r w:rsidRPr="005F0E63">
              <w:t xml:space="preserve"> recommendations and specifications, and environmental requirements</w:t>
            </w:r>
          </w:p>
          <w:p w:rsidR="00000000" w:rsidRPr="005F0E63" w:rsidP="005F0E63">
            <w:pPr>
              <w:pStyle w:val="ListBullet"/>
            </w:pPr>
            <w:r w:rsidRPr="005F0E63">
              <w:t>WHS/OHS requirements, including:</w:t>
            </w:r>
          </w:p>
          <w:p w:rsidR="00000000" w:rsidRPr="005F0E63" w:rsidP="005F0E63">
            <w:pPr>
              <w:pStyle w:val="ListBullet2"/>
            </w:pPr>
            <w:r w:rsidRPr="005F0E63">
              <w:t>emergency procedures</w:t>
            </w:r>
          </w:p>
          <w:p w:rsidR="00000000" w:rsidRPr="005F0E63" w:rsidP="005F0E63">
            <w:pPr>
              <w:pStyle w:val="ListBullet2"/>
            </w:pPr>
            <w:r w:rsidRPr="005F0E63">
              <w:t>risk control measures</w:t>
            </w:r>
          </w:p>
          <w:p w:rsidR="00000000" w:rsidRPr="005F0E63" w:rsidP="005F0E63">
            <w:pPr>
              <w:pStyle w:val="ListBullet2"/>
            </w:pPr>
            <w:r w:rsidRPr="005F0E63">
              <w:t>safe working practices</w:t>
            </w:r>
          </w:p>
          <w:p w:rsidR="00000000" w:rsidRPr="005F0E63" w:rsidP="005F0E63">
            <w:pPr>
              <w:pStyle w:val="ListBullet"/>
            </w:pPr>
            <w:r w:rsidRPr="005F0E63">
              <w:t>workplace documentation</w:t>
            </w:r>
          </w:p>
          <w:p w:rsidR="00000000" w:rsidRPr="005F0E63" w:rsidP="005F0E63">
            <w:pPr>
              <w:pStyle w:val="ListBullet"/>
            </w:pPr>
            <w:r w:rsidRPr="005F0E63">
              <w:t>workplace policies and procedures.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14" w:name="O_1190586"/>
      <w:bookmarkEnd w:id="14"/>
      <w:r w:rsidRPr="005F0E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0E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63" w:rsidP="005F0E63">
            <w:pPr>
              <w:pStyle w:val="BodyText"/>
            </w:pPr>
            <w:r w:rsidRPr="005F0E63">
              <w:t xml:space="preserve">Assessors must hold credentials specified within the Standards for Registered Training Organisations current at the time of assessment. </w:t>
            </w:r>
          </w:p>
          <w:p w:rsidR="00000000" w:rsidRPr="005F0E63" w:rsidP="005F0E63">
            <w:pPr>
              <w:pStyle w:val="BodyText"/>
            </w:pPr>
            <w:r w:rsidRPr="005F0E6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F0E63" w:rsidP="005F0E63">
            <w:pPr>
              <w:pStyle w:val="BodyText"/>
            </w:pPr>
            <w:r w:rsidRPr="005F0E63">
              <w:t>Assessment must occur in workplace operational</w:t>
            </w:r>
            <w:r w:rsidRPr="005F0E63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F0E63" w:rsidP="005F0E63">
            <w:pPr>
              <w:pStyle w:val="BodyText"/>
            </w:pPr>
            <w:r w:rsidRPr="005F0E63">
              <w:t>Assessment processes and techniques must be appropriate to the language, l</w:t>
            </w:r>
            <w:r w:rsidRPr="005F0E63">
              <w:t>iteracy and numeracy requirements of the work being performed and the needs of the candidate.</w:t>
            </w:r>
          </w:p>
          <w:p w:rsidR="00000000" w:rsidRPr="005F0E63" w:rsidP="005F0E63">
            <w:pPr>
              <w:pStyle w:val="BodyText"/>
            </w:pPr>
            <w:r w:rsidRPr="005F0E63">
              <w:t>Resources for assessment must include access to:</w:t>
            </w:r>
          </w:p>
          <w:p w:rsidR="00000000" w:rsidRPr="005F0E63" w:rsidP="005F0E63">
            <w:pPr>
              <w:pStyle w:val="ListBullet"/>
            </w:pPr>
            <w:r w:rsidRPr="005F0E63">
              <w:t>a range of relevant exercises, case studies and/or other simulations</w:t>
            </w:r>
          </w:p>
          <w:p w:rsidR="00000000" w:rsidRPr="005F0E63" w:rsidP="005F0E63">
            <w:pPr>
              <w:pStyle w:val="ListBullet"/>
            </w:pPr>
            <w:r w:rsidRPr="005F0E63">
              <w:t xml:space="preserve">relevant and appropriate materials, tools, </w:t>
            </w:r>
            <w:r w:rsidRPr="005F0E63">
              <w:t>equipment and personal protective equipment (PPE) currently used in industry</w:t>
            </w:r>
          </w:p>
          <w:p w:rsidR="00000000" w:rsidRPr="005F0E63" w:rsidP="005F0E63">
            <w:pPr>
              <w:pStyle w:val="ListBullet"/>
            </w:pPr>
            <w:r w:rsidRPr="005F0E6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5F0E63" w:rsidP="005F0E63">
      <w:pPr>
        <w:pStyle w:val="NoPaddingFontSize1"/>
      </w:pPr>
    </w:p>
    <w:p w:rsidR="00000000" w:rsidRPr="005F0E63" w:rsidP="005F0E63">
      <w:pPr>
        <w:pStyle w:val="AllowPageBreak"/>
      </w:pPr>
    </w:p>
    <w:p w:rsidR="00000000" w:rsidRPr="005F0E63" w:rsidP="005F0E63">
      <w:pPr>
        <w:pStyle w:val="Heading1"/>
      </w:pPr>
      <w:bookmarkStart w:id="15" w:name="O_1190589"/>
      <w:bookmarkEnd w:id="15"/>
      <w:r w:rsidRPr="005F0E63">
        <w:t>Links</w:t>
      </w:r>
    </w:p>
    <w:p w:rsidR="00000000" w:rsidRPr="005F0E63" w:rsidP="00757DA7">
      <w:pPr>
        <w:pStyle w:val="BodyText"/>
      </w:pPr>
      <w:r w:rsidRPr="005F0E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8058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F0E63" w:rsidP="005F0E63"/>
    <w:sectPr w:rsidSect="005F0E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63" w:rsidRPr="00757DA7" w:rsidP="00757D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DA7" w:rsidP="005F0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DA7" w:rsidP="005F0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57DA7" w:rsidP="005F0E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63" w:rsidP="005F0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7DA7">
      <w:t>Approved</w:t>
    </w:r>
    <w:r w:rsidR="00757D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7D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7DA7">
      <w:rPr>
        <w:noProof/>
      </w:rPr>
      <w:t>4</w:t>
    </w:r>
    <w:r>
      <w:rPr>
        <w:noProof/>
      </w:rPr>
      <w:fldChar w:fldCharType="end"/>
    </w:r>
  </w:p>
  <w:p w:rsidR="005F0E63" w:rsidP="005F0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7D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7DA7">
      <w:t>Powering Skills Organisation</w:t>
    </w:r>
    <w:r w:rsidR="00757DA7">
      <w:fldChar w:fldCharType="end"/>
    </w:r>
  </w:p>
  <w:p w:rsidR="005F0E63" w:rsidP="005F0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D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E63" w:rsidRPr="00757DA7" w:rsidP="00757D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DA7" w:rsidRPr="002D2AF8" w:rsidP="005F0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UEPOPS028 Coordinate permit to 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7DA7" w:rsidP="005F0E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63" w:rsidRPr="002D2AF8" w:rsidP="005F0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7DA7">
      <w:t>UEPOPS028 Coordinate permit to work system</w:t>
    </w:r>
    <w:r w:rsidR="00757D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7DA7">
      <w:rPr>
        <w:noProof/>
      </w:rPr>
      <w:t>2 March 2025</w:t>
    </w:r>
    <w:r>
      <w:fldChar w:fldCharType="end"/>
    </w:r>
  </w:p>
  <w:p w:rsidR="005F0E63" w:rsidP="005F0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022D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A48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26D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E63"/>
  </w:style>
  <w:style w:type="character" w:customStyle="1" w:styleId="Heading1Char">
    <w:name w:val="Heading 1 Char"/>
    <w:basedOn w:val="DefaultParagraphFont"/>
    <w:link w:val="Heading1"/>
    <w:rsid w:val="005F0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E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E63"/>
    <w:rPr>
      <w:b/>
      <w:spacing w:val="0"/>
    </w:rPr>
  </w:style>
  <w:style w:type="paragraph" w:styleId="ListBullet2">
    <w:name w:val="List Bullet 2"/>
    <w:basedOn w:val="List2"/>
    <w:rsid w:val="005F0E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0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0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E63"/>
    <w:rPr>
      <w:i/>
    </w:rPr>
  </w:style>
  <w:style w:type="paragraph" w:styleId="Caption">
    <w:name w:val="caption"/>
    <w:basedOn w:val="BodyText"/>
    <w:next w:val="Normal"/>
    <w:qFormat/>
    <w:rsid w:val="005F0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E63"/>
  </w:style>
  <w:style w:type="paragraph" w:styleId="TableofFigures">
    <w:name w:val="table of figures"/>
    <w:basedOn w:val="Normal"/>
    <w:next w:val="Normal"/>
    <w:semiHidden/>
    <w:rsid w:val="005F0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E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E63"/>
    <w:rPr>
      <w:rFonts w:ascii="Wingdings" w:hAnsi="Wingdings"/>
    </w:rPr>
  </w:style>
  <w:style w:type="paragraph" w:customStyle="1" w:styleId="TableHeading">
    <w:name w:val="Table Heading"/>
    <w:basedOn w:val="HeadingBase"/>
    <w:rsid w:val="005F0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E63"/>
    <w:rPr>
      <w:color w:val="0033CC"/>
      <w:u w:val="none"/>
    </w:rPr>
  </w:style>
  <w:style w:type="paragraph" w:customStyle="1" w:styleId="BodyTextRight">
    <w:name w:val="Body Text Right"/>
    <w:basedOn w:val="BodyText"/>
    <w:rsid w:val="005F0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E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E63"/>
    <w:rPr>
      <w:sz w:val="32"/>
    </w:rPr>
  </w:style>
  <w:style w:type="paragraph" w:customStyle="1" w:styleId="HeadingProcedure">
    <w:name w:val="Heading Procedure"/>
    <w:basedOn w:val="HeadingBase"/>
    <w:next w:val="Normal"/>
    <w:rsid w:val="005F0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E63"/>
    <w:pPr>
      <w:spacing w:before="60" w:after="60"/>
    </w:pPr>
  </w:style>
  <w:style w:type="paragraph" w:styleId="ListContinue">
    <w:name w:val="List Continue"/>
    <w:basedOn w:val="List"/>
    <w:rsid w:val="005F0E63"/>
    <w:pPr>
      <w:ind w:firstLine="0"/>
    </w:pPr>
  </w:style>
  <w:style w:type="paragraph" w:customStyle="1" w:styleId="ListNote">
    <w:name w:val="List Note"/>
    <w:basedOn w:val="List"/>
    <w:rsid w:val="005F0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E63"/>
    <w:rPr>
      <w:rFonts w:ascii="Courier New" w:hAnsi="Courier New"/>
    </w:rPr>
  </w:style>
  <w:style w:type="paragraph" w:customStyle="1" w:styleId="NoteBullet">
    <w:name w:val="Note Bullet"/>
    <w:basedOn w:val="Note"/>
    <w:rsid w:val="005F0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E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E63"/>
    <w:rPr>
      <w:b/>
      <w:smallCaps/>
    </w:rPr>
  </w:style>
  <w:style w:type="paragraph" w:customStyle="1" w:styleId="TableListNumber">
    <w:name w:val="Table List Number"/>
    <w:basedOn w:val="ListNumber"/>
    <w:rsid w:val="005F0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E63"/>
    <w:pPr>
      <w:numPr>
        <w:numId w:val="9"/>
      </w:numPr>
    </w:pPr>
  </w:style>
  <w:style w:type="paragraph" w:customStyle="1" w:styleId="ListAlpha2">
    <w:name w:val="List Alpha 2"/>
    <w:basedOn w:val="List2"/>
    <w:rsid w:val="005F0E63"/>
    <w:pPr>
      <w:numPr>
        <w:numId w:val="8"/>
      </w:numPr>
    </w:pPr>
  </w:style>
  <w:style w:type="paragraph" w:styleId="List2">
    <w:name w:val="List 2"/>
    <w:basedOn w:val="BodyText"/>
    <w:rsid w:val="005F0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E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E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E63"/>
    <w:pPr>
      <w:numPr>
        <w:numId w:val="4"/>
      </w:numPr>
    </w:pPr>
  </w:style>
  <w:style w:type="paragraph" w:styleId="ListContinue2">
    <w:name w:val="List Continue 2"/>
    <w:basedOn w:val="List2"/>
    <w:rsid w:val="005F0E63"/>
    <w:pPr>
      <w:ind w:firstLine="0"/>
    </w:pPr>
  </w:style>
  <w:style w:type="paragraph" w:styleId="ListContinue3">
    <w:name w:val="List Continue 3"/>
    <w:basedOn w:val="List3"/>
    <w:rsid w:val="005F0E63"/>
    <w:pPr>
      <w:ind w:left="1021" w:firstLine="0"/>
    </w:pPr>
  </w:style>
  <w:style w:type="paragraph" w:styleId="ListContinue4">
    <w:name w:val="List Continue 4"/>
    <w:basedOn w:val="List4"/>
    <w:rsid w:val="005F0E63"/>
    <w:pPr>
      <w:ind w:firstLine="0"/>
    </w:pPr>
  </w:style>
  <w:style w:type="paragraph" w:styleId="ListContinue5">
    <w:name w:val="List Continue 5"/>
    <w:basedOn w:val="List5"/>
    <w:rsid w:val="005F0E63"/>
    <w:pPr>
      <w:ind w:firstLine="0"/>
    </w:pPr>
  </w:style>
  <w:style w:type="paragraph" w:styleId="ListNumber3">
    <w:name w:val="List Number 3"/>
    <w:basedOn w:val="List3"/>
    <w:rsid w:val="005F0E63"/>
    <w:pPr>
      <w:numPr>
        <w:numId w:val="5"/>
      </w:numPr>
    </w:pPr>
  </w:style>
  <w:style w:type="paragraph" w:styleId="ListNumber4">
    <w:name w:val="List Number 4"/>
    <w:basedOn w:val="List4"/>
    <w:rsid w:val="005F0E63"/>
    <w:pPr>
      <w:numPr>
        <w:numId w:val="6"/>
      </w:numPr>
    </w:pPr>
  </w:style>
  <w:style w:type="paragraph" w:styleId="ListNumber5">
    <w:name w:val="List Number 5"/>
    <w:basedOn w:val="List5"/>
    <w:rsid w:val="005F0E63"/>
    <w:pPr>
      <w:numPr>
        <w:numId w:val="7"/>
      </w:numPr>
    </w:pPr>
  </w:style>
  <w:style w:type="paragraph" w:styleId="BlockText">
    <w:name w:val="Block Text"/>
    <w:basedOn w:val="Normal"/>
    <w:rsid w:val="005F0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E63"/>
    <w:rPr>
      <w:sz w:val="16"/>
      <w:vertAlign w:val="superscript"/>
    </w:rPr>
  </w:style>
  <w:style w:type="character" w:customStyle="1" w:styleId="Symbols">
    <w:name w:val="Symbols"/>
    <w:basedOn w:val="DefaultParagraphFont"/>
    <w:rsid w:val="005F0E63"/>
    <w:rPr>
      <w:rFonts w:ascii="Symbol" w:hAnsi="Symbol"/>
    </w:rPr>
  </w:style>
  <w:style w:type="character" w:customStyle="1" w:styleId="MenuOptions">
    <w:name w:val="Menu Options"/>
    <w:basedOn w:val="DefaultParagraphFont"/>
    <w:rsid w:val="005F0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E63"/>
    <w:rPr>
      <w:b/>
    </w:rPr>
  </w:style>
  <w:style w:type="character" w:customStyle="1" w:styleId="Underlined">
    <w:name w:val="Underlined"/>
    <w:basedOn w:val="DefaultParagraphFont"/>
    <w:rsid w:val="005F0E63"/>
    <w:rPr>
      <w:u w:val="single"/>
    </w:rPr>
  </w:style>
  <w:style w:type="paragraph" w:customStyle="1" w:styleId="TableBodyTextRight">
    <w:name w:val="Table Body Text Right"/>
    <w:basedOn w:val="TableBodyText"/>
    <w:rsid w:val="005F0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E63"/>
    <w:rPr>
      <w:sz w:val="18"/>
    </w:rPr>
  </w:style>
  <w:style w:type="paragraph" w:customStyle="1" w:styleId="BodySmallRight">
    <w:name w:val="Body Small Right"/>
    <w:basedOn w:val="BodyTextRight"/>
    <w:rsid w:val="005F0E63"/>
    <w:rPr>
      <w:sz w:val="18"/>
      <w:szCs w:val="18"/>
    </w:rPr>
  </w:style>
  <w:style w:type="paragraph" w:customStyle="1" w:styleId="MarginEdition">
    <w:name w:val="Margin Edition"/>
    <w:basedOn w:val="MarginNote"/>
    <w:rsid w:val="005F0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E63"/>
    <w:rPr>
      <w:sz w:val="2"/>
      <w:szCs w:val="2"/>
    </w:rPr>
  </w:style>
  <w:style w:type="character" w:customStyle="1" w:styleId="Small">
    <w:name w:val="Small"/>
    <w:basedOn w:val="DefaultParagraphFont"/>
    <w:rsid w:val="005F0E63"/>
    <w:rPr>
      <w:sz w:val="16"/>
    </w:rPr>
  </w:style>
  <w:style w:type="paragraph" w:customStyle="1" w:styleId="WideTable">
    <w:name w:val="Wide Table"/>
    <w:basedOn w:val="Normal"/>
    <w:rsid w:val="005F0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E63"/>
  </w:style>
  <w:style w:type="paragraph" w:styleId="Quote">
    <w:name w:val="Quote"/>
    <w:basedOn w:val="Heading1"/>
    <w:link w:val="QuoteChar"/>
    <w:qFormat/>
    <w:rsid w:val="005F0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E63"/>
    <w:pPr>
      <w:pageBreakBefore/>
    </w:pPr>
  </w:style>
  <w:style w:type="paragraph" w:customStyle="1" w:styleId="Border">
    <w:name w:val="Border"/>
    <w:basedOn w:val="Normal"/>
    <w:qFormat/>
    <w:rsid w:val="005F0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E63"/>
    <w:rPr>
      <w:u w:val="single"/>
    </w:rPr>
  </w:style>
  <w:style w:type="character" w:customStyle="1" w:styleId="BoldandItalics">
    <w:name w:val="Bold and Italics"/>
    <w:qFormat/>
    <w:rsid w:val="005F0E63"/>
    <w:rPr>
      <w:b/>
      <w:i/>
      <w:u w:val="none"/>
    </w:rPr>
  </w:style>
  <w:style w:type="paragraph" w:styleId="BalloonText">
    <w:name w:val="Balloon Text"/>
    <w:basedOn w:val="Normal"/>
    <w:link w:val="BalloonTextChar"/>
    <w:rsid w:val="005F0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E63"/>
    <w:pPr>
      <w:spacing w:before="0" w:after="0"/>
    </w:pPr>
  </w:style>
  <w:style w:type="paragraph" w:customStyle="1" w:styleId="BodyTextBold">
    <w:name w:val="Body Text Bold"/>
    <w:basedOn w:val="BodyText"/>
    <w:qFormat/>
    <w:rsid w:val="005F0E63"/>
    <w:rPr>
      <w:b/>
    </w:rPr>
  </w:style>
  <w:style w:type="character" w:styleId="Hyperlink">
    <w:name w:val="Hyperlink"/>
    <w:basedOn w:val="DefaultParagraphFont"/>
    <w:uiPriority w:val="99"/>
    <w:unhideWhenUsed/>
    <w:rsid w:val="00757D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7282</Characters>
  <Application>Microsoft Office Word</Application>
  <DocSecurity>0</DocSecurity>
  <Lines>260</Lines>
  <Paragraphs>139</Paragraphs>
  <ScaleCrop>false</ScaleCrop>
  <Company>Author-it Software Corporation Ltd.</Company>
  <LinksUpToDate>false</LinksUpToDate>
  <CharactersWithSpaces>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UEPOPS028 Coordinate permit to work system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