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68D" w:rsidP="00974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UEPOPS011 Conduct multiple energy source isolation procedures for permit to work</w:t>
      </w:r>
      <w:r>
        <w:fldChar w:fldCharType="end"/>
      </w:r>
    </w:p>
    <w:p w:rsidR="0097468D" w:rsidP="0097468D">
      <w:pPr>
        <w:pStyle w:val="Version"/>
        <w:sectPr w:rsidSect="00A92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79C" w:rsidP="00A9279C">
      <w:pPr>
        <w:pStyle w:val="SuperHeading"/>
      </w:pPr>
      <w:r w:rsidRPr="00A9279C">
        <w:t>Assessment Requirements for UEPOPS011 Conduct multiple energy source isolation procedures for permit to work</w:t>
      </w:r>
    </w:p>
    <w:p w:rsidR="00000000" w:rsidRPr="00A9279C" w:rsidP="00A9279C">
      <w:pPr>
        <w:pStyle w:val="Heading1"/>
      </w:pPr>
      <w:bookmarkStart w:id="1" w:name="O_1190184"/>
      <w:bookmarkEnd w:id="1"/>
      <w:r w:rsidRPr="00A927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9C" w:rsidP="00A9279C">
            <w:pPr>
              <w:pStyle w:val="BodyText"/>
            </w:pPr>
            <w:r w:rsidRPr="00A9279C">
              <w:t>Release 1. This is the first release of this unit of competency in the UEP Electricity Supply Industry –</w:t>
            </w:r>
            <w:r w:rsidRPr="00A9279C">
              <w:t xml:space="preserve"> Generation Sector Training Package Release 2.0.</w:t>
            </w:r>
          </w:p>
        </w:tc>
      </w:tr>
    </w:tbl>
    <w:p w:rsidR="00000000" w:rsidRPr="00A9279C" w:rsidP="00A9279C">
      <w:pPr>
        <w:pStyle w:val="NoPaddingFontSize1"/>
      </w:pPr>
    </w:p>
    <w:p w:rsidR="00000000" w:rsidRPr="00A9279C" w:rsidP="00A9279C">
      <w:pPr>
        <w:pStyle w:val="AllowPageBreak"/>
      </w:pPr>
    </w:p>
    <w:p w:rsidR="00000000" w:rsidRPr="00A9279C" w:rsidP="00A9279C">
      <w:pPr>
        <w:pStyle w:val="Heading1"/>
      </w:pPr>
      <w:bookmarkStart w:id="2" w:name="O_1190185"/>
      <w:bookmarkEnd w:id="2"/>
      <w:r w:rsidRPr="00A927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9C">
            <w:pPr>
              <w:pStyle w:val="BodyText"/>
              <w:rPr>
                <w:lang w:val="en-NZ"/>
              </w:rPr>
            </w:pPr>
            <w:r w:rsidRPr="00A9279C">
              <w:t>Evidence required to demonstrate competence in this unit must be relevant to and satisfy all the requirements of the elements and performance criteria on at least tw</w:t>
            </w:r>
            <w:r w:rsidRPr="00A9279C">
              <w:t xml:space="preserve">o separate occasions and include: </w:t>
            </w:r>
          </w:p>
        </w:tc>
      </w:tr>
      <w:tr w:rsidTr="00A92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9C" w:rsidP="00A9279C">
            <w:pPr>
              <w:pStyle w:val="ListBullet"/>
            </w:pPr>
            <w:r w:rsidRPr="00A9279C">
              <w:t>applying work health and safety (WHS)/occupational health and safety (OHS) requirements, including:</w:t>
            </w:r>
          </w:p>
          <w:p w:rsidR="00000000" w:rsidRPr="00A9279C" w:rsidP="00A9279C">
            <w:pPr>
              <w:pStyle w:val="ListBullet2"/>
            </w:pPr>
            <w:r w:rsidRPr="00A9279C">
              <w:t>emergency procedures</w:t>
            </w:r>
          </w:p>
          <w:p w:rsidR="00000000" w:rsidRPr="00A9279C" w:rsidP="00A9279C">
            <w:pPr>
              <w:pStyle w:val="ListBullet2"/>
            </w:pPr>
            <w:r w:rsidRPr="00A9279C">
              <w:t>hazard identification</w:t>
            </w:r>
          </w:p>
          <w:p w:rsidR="00000000" w:rsidRPr="00A9279C" w:rsidP="00A9279C">
            <w:pPr>
              <w:pStyle w:val="ListBullet2"/>
            </w:pPr>
            <w:r w:rsidRPr="00A9279C">
              <w:t>risk control measures</w:t>
            </w:r>
          </w:p>
          <w:p w:rsidR="00000000" w:rsidRPr="00A9279C" w:rsidP="00A9279C">
            <w:pPr>
              <w:pStyle w:val="ListBullet2"/>
            </w:pPr>
            <w:r w:rsidRPr="00A9279C">
              <w:t>safe working practices</w:t>
            </w:r>
          </w:p>
          <w:p w:rsidR="00000000" w:rsidRPr="00A9279C" w:rsidP="00A9279C">
            <w:pPr>
              <w:pStyle w:val="ListBullet"/>
            </w:pPr>
            <w:r w:rsidRPr="00A9279C">
              <w:t>communicating with personnel and stakeholders</w:t>
            </w:r>
          </w:p>
          <w:p w:rsidR="00000000" w:rsidRPr="00A9279C" w:rsidP="00A9279C">
            <w:pPr>
              <w:pStyle w:val="ListBullet"/>
            </w:pPr>
            <w:r w:rsidRPr="00A9279C">
              <w:t xml:space="preserve">completing documentation </w:t>
            </w:r>
          </w:p>
          <w:p w:rsidR="00000000" w:rsidRPr="00A9279C" w:rsidP="00A9279C">
            <w:pPr>
              <w:pStyle w:val="ListBullet"/>
            </w:pPr>
            <w:r w:rsidRPr="00A9279C">
              <w:t xml:space="preserve">coordinating and briefing others on permit to work </w:t>
            </w:r>
          </w:p>
          <w:p w:rsidR="00000000" w:rsidRPr="00A9279C" w:rsidP="00A9279C">
            <w:pPr>
              <w:pStyle w:val="ListBullet"/>
            </w:pPr>
            <w:r w:rsidRPr="00A9279C">
              <w:t>identifying power generating plant status</w:t>
            </w:r>
          </w:p>
          <w:p w:rsidR="00000000" w:rsidRPr="00A9279C" w:rsidP="00A9279C">
            <w:pPr>
              <w:pStyle w:val="ListBullet"/>
            </w:pPr>
            <w:r w:rsidRPr="00A9279C">
              <w:t>implementing regulations, legislative requirements, codes of practice, manufacturers’ reco</w:t>
            </w:r>
            <w:r w:rsidRPr="00A9279C">
              <w:t>mmendations and specifications, and environmental requirements</w:t>
            </w:r>
          </w:p>
          <w:p w:rsidR="00000000" w:rsidRPr="00A9279C" w:rsidP="00A9279C">
            <w:pPr>
              <w:pStyle w:val="ListBullet"/>
            </w:pPr>
            <w:r w:rsidRPr="00A9279C">
              <w:t>interpreting plant drawings, diagrams and manuals</w:t>
            </w:r>
          </w:p>
          <w:p w:rsidR="00000000" w:rsidRPr="00A9279C" w:rsidP="00A9279C">
            <w:pPr>
              <w:pStyle w:val="ListBullet"/>
            </w:pPr>
            <w:r w:rsidRPr="00A9279C">
              <w:t>performing isolations, de-isolations and restorations</w:t>
            </w:r>
          </w:p>
          <w:p w:rsidR="00000000" w:rsidRPr="00A9279C" w:rsidP="00A9279C">
            <w:pPr>
              <w:pStyle w:val="ListBullet"/>
            </w:pPr>
            <w:r w:rsidRPr="00A9279C">
              <w:t>planning and preparing for isolation, de-isolation and restoration</w:t>
            </w:r>
          </w:p>
          <w:p w:rsidR="00000000" w:rsidRPr="00A9279C" w:rsidP="00A9279C">
            <w:pPr>
              <w:pStyle w:val="ListBullet"/>
            </w:pPr>
            <w:r w:rsidRPr="00A9279C">
              <w:t>preparing power genera</w:t>
            </w:r>
            <w:r w:rsidRPr="00A9279C">
              <w:t>ting plant or equipment for isolation operation</w:t>
            </w:r>
          </w:p>
          <w:p w:rsidR="00000000" w:rsidRPr="00A9279C" w:rsidP="00A9279C">
            <w:pPr>
              <w:pStyle w:val="ListBullet"/>
            </w:pPr>
            <w:r w:rsidRPr="00A9279C">
              <w:t>using permit to work system</w:t>
            </w:r>
          </w:p>
          <w:p w:rsidR="00000000" w:rsidRPr="00A9279C" w:rsidP="00A9279C">
            <w:pPr>
              <w:pStyle w:val="ListBullet"/>
            </w:pPr>
            <w:r w:rsidRPr="00A9279C">
              <w:t>working with equipment, tools, materials and resources.</w:t>
            </w:r>
          </w:p>
        </w:tc>
      </w:tr>
    </w:tbl>
    <w:p w:rsidR="00000000" w:rsidRPr="00A9279C" w:rsidP="00A9279C">
      <w:pPr>
        <w:pStyle w:val="NoPaddingFontSize1"/>
      </w:pPr>
    </w:p>
    <w:p w:rsidR="00000000" w:rsidRPr="00A9279C" w:rsidP="00A9279C">
      <w:pPr>
        <w:pStyle w:val="AllowPageBreak"/>
      </w:pPr>
    </w:p>
    <w:p w:rsidR="00000000" w:rsidRPr="00A9279C" w:rsidP="00A9279C">
      <w:pPr>
        <w:pStyle w:val="Heading1"/>
      </w:pPr>
      <w:bookmarkStart w:id="3" w:name="O_1190186"/>
      <w:bookmarkEnd w:id="3"/>
      <w:r w:rsidRPr="00A927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9C">
            <w:pPr>
              <w:pStyle w:val="BodyText"/>
              <w:rPr>
                <w:lang w:val="en-NZ"/>
              </w:rPr>
            </w:pPr>
            <w:r w:rsidRPr="00A9279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92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9C" w:rsidP="00A9279C">
            <w:pPr>
              <w:pStyle w:val="ListBullet"/>
            </w:pPr>
            <w:r w:rsidRPr="00A9279C">
              <w:t>arrangements of power production plant</w:t>
            </w:r>
          </w:p>
          <w:p w:rsidR="00000000" w:rsidRPr="00A9279C" w:rsidP="00A9279C">
            <w:pPr>
              <w:pStyle w:val="ListBullet"/>
            </w:pPr>
            <w:r w:rsidRPr="00A9279C">
              <w:t>documentation requirements</w:t>
            </w:r>
          </w:p>
          <w:p w:rsidR="00000000" w:rsidRPr="00A9279C" w:rsidP="00A9279C">
            <w:pPr>
              <w:pStyle w:val="ListBullet"/>
            </w:pPr>
            <w:r w:rsidRPr="00A9279C">
              <w:t>isolation,</w:t>
            </w:r>
            <w:r w:rsidRPr="00A9279C">
              <w:t xml:space="preserve"> de-isolation and restoration techniques</w:t>
            </w:r>
          </w:p>
          <w:p w:rsidR="00000000" w:rsidRPr="00A9279C" w:rsidP="00A9279C">
            <w:pPr>
              <w:pStyle w:val="ListBullet"/>
            </w:pPr>
            <w:r w:rsidRPr="00A9279C">
              <w:t>mechanical and electrical equipment isolation techniques</w:t>
            </w:r>
          </w:p>
          <w:p w:rsidR="00000000" w:rsidRPr="00A9279C" w:rsidP="00A9279C">
            <w:pPr>
              <w:pStyle w:val="ListBullet"/>
            </w:pPr>
            <w:r w:rsidRPr="00A9279C">
              <w:t>mechanical and electrical isolation equipment types and characteristics</w:t>
            </w:r>
          </w:p>
          <w:p w:rsidR="00000000" w:rsidRPr="00A9279C" w:rsidP="00A9279C">
            <w:pPr>
              <w:pStyle w:val="ListBullet"/>
            </w:pPr>
            <w:r w:rsidRPr="00A9279C">
              <w:t>permit to work system</w:t>
            </w:r>
          </w:p>
          <w:p w:rsidR="00000000" w:rsidRPr="00A9279C" w:rsidP="00A9279C">
            <w:pPr>
              <w:pStyle w:val="ListBullet"/>
            </w:pPr>
            <w:r w:rsidRPr="00A9279C">
              <w:t>plant drawings, diagrams and manuals</w:t>
            </w:r>
          </w:p>
          <w:p w:rsidR="00000000" w:rsidRPr="00A9279C" w:rsidP="00A9279C">
            <w:pPr>
              <w:pStyle w:val="ListBullet"/>
            </w:pPr>
            <w:r w:rsidRPr="00A9279C">
              <w:t xml:space="preserve">power generating plant and </w:t>
            </w:r>
            <w:r w:rsidRPr="00A9279C">
              <w:t>equipment, location and operating parameters</w:t>
            </w:r>
          </w:p>
          <w:p w:rsidR="00000000" w:rsidRPr="00A9279C" w:rsidP="00A9279C">
            <w:pPr>
              <w:pStyle w:val="ListBullet"/>
            </w:pPr>
            <w:r w:rsidRPr="00A9279C">
              <w:t>power generating plant status</w:t>
            </w:r>
          </w:p>
          <w:p w:rsidR="00000000" w:rsidRPr="00A9279C" w:rsidP="00A9279C">
            <w:pPr>
              <w:pStyle w:val="ListBullet"/>
            </w:pPr>
            <w:r w:rsidRPr="00A9279C">
              <w:t xml:space="preserve">regulations, legislative requirements, codes of practice, manufacturers’ recommendations and specifications, and environmental requirements’ </w:t>
            </w:r>
          </w:p>
          <w:p w:rsidR="00000000" w:rsidRPr="00A9279C" w:rsidP="00A9279C">
            <w:pPr>
              <w:pStyle w:val="ListBullet"/>
            </w:pPr>
            <w:r w:rsidRPr="00A9279C">
              <w:t xml:space="preserve">tools, materials and resources  </w:t>
            </w:r>
          </w:p>
          <w:p w:rsidR="00000000" w:rsidRPr="00A9279C" w:rsidP="00A9279C">
            <w:pPr>
              <w:pStyle w:val="ListBullet"/>
            </w:pPr>
            <w:r w:rsidRPr="00A9279C">
              <w:t>WHS/OHS requirements, including:</w:t>
            </w:r>
          </w:p>
          <w:p w:rsidR="00000000" w:rsidRPr="00A9279C" w:rsidP="00A9279C">
            <w:pPr>
              <w:pStyle w:val="ListBullet2"/>
            </w:pPr>
            <w:r w:rsidRPr="00A9279C">
              <w:t>emergency procedures</w:t>
            </w:r>
          </w:p>
          <w:p w:rsidR="00000000" w:rsidRPr="00A9279C" w:rsidP="00A9279C">
            <w:pPr>
              <w:pStyle w:val="ListBullet2"/>
            </w:pPr>
            <w:r w:rsidRPr="00A9279C">
              <w:t>hazard identification</w:t>
            </w:r>
          </w:p>
          <w:p w:rsidR="00000000" w:rsidRPr="00A9279C" w:rsidP="00A9279C">
            <w:pPr>
              <w:pStyle w:val="ListBullet2"/>
            </w:pPr>
            <w:r w:rsidRPr="00A9279C">
              <w:t>risk control measures</w:t>
            </w:r>
          </w:p>
          <w:p w:rsidR="00000000" w:rsidRPr="00A9279C" w:rsidP="00A9279C">
            <w:pPr>
              <w:pStyle w:val="ListBullet2"/>
            </w:pPr>
            <w:r w:rsidRPr="00A9279C">
              <w:t>safe working practices</w:t>
            </w:r>
          </w:p>
          <w:p w:rsidR="00000000" w:rsidRPr="00A9279C" w:rsidP="00A9279C">
            <w:pPr>
              <w:pStyle w:val="ListBullet"/>
            </w:pPr>
            <w:r w:rsidRPr="00A9279C">
              <w:t>workplace documentation</w:t>
            </w:r>
          </w:p>
          <w:p w:rsidR="00000000" w:rsidRPr="00A9279C" w:rsidP="00A9279C">
            <w:pPr>
              <w:pStyle w:val="ListBullet"/>
            </w:pPr>
            <w:r w:rsidRPr="00A9279C">
              <w:t>workplace policies and procedures.</w:t>
            </w:r>
          </w:p>
        </w:tc>
      </w:tr>
    </w:tbl>
    <w:p w:rsidR="00000000" w:rsidRPr="00A9279C" w:rsidP="00A9279C">
      <w:pPr>
        <w:pStyle w:val="NoPaddingFontSize1"/>
      </w:pPr>
    </w:p>
    <w:p w:rsidR="00000000" w:rsidRPr="00A9279C" w:rsidP="00A9279C">
      <w:pPr>
        <w:pStyle w:val="AllowPageBreak"/>
      </w:pPr>
    </w:p>
    <w:p w:rsidR="00000000" w:rsidRPr="00A9279C" w:rsidP="00A9279C">
      <w:pPr>
        <w:pStyle w:val="Heading1"/>
      </w:pPr>
      <w:bookmarkStart w:id="4" w:name="O_1190187"/>
      <w:bookmarkEnd w:id="4"/>
      <w:r w:rsidRPr="00A927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9C" w:rsidP="00A9279C">
            <w:pPr>
              <w:pStyle w:val="BodyText"/>
            </w:pPr>
            <w:r w:rsidRPr="00A9279C">
              <w:t xml:space="preserve">Assessors must hold credentials specified within the Standards for Registered Training Organisations current at the time of assessment. </w:t>
            </w:r>
          </w:p>
          <w:p w:rsidR="00000000" w:rsidRPr="00A9279C" w:rsidP="00A9279C">
            <w:pPr>
              <w:pStyle w:val="BodyText"/>
            </w:pPr>
            <w:r w:rsidRPr="00A9279C">
              <w:t>Assessment must satisfy the Principles of Assessment and Rules of Evidence and all regulatory requirements included wit</w:t>
            </w:r>
            <w:r w:rsidRPr="00A9279C">
              <w:t>hin the Standards for Registered Training Organisations current at the time of assessment.</w:t>
            </w:r>
          </w:p>
          <w:p w:rsidR="00000000" w:rsidRPr="00A9279C" w:rsidP="00A9279C">
            <w:pPr>
              <w:pStyle w:val="BodyText"/>
            </w:pPr>
            <w:r w:rsidRPr="00A9279C">
              <w:t>Assessment must occur in workplace operational situations where it is appropriate to do so; where this is not appropriate, assessment must occur in simulated workpla</w:t>
            </w:r>
            <w:r w:rsidRPr="00A9279C">
              <w:t>ce operational situations that replicate workplace conditions.</w:t>
            </w:r>
          </w:p>
          <w:p w:rsidR="00000000" w:rsidRPr="00A9279C" w:rsidP="00A9279C">
            <w:pPr>
              <w:pStyle w:val="BodyText"/>
            </w:pPr>
            <w:r w:rsidRPr="00A9279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9279C" w:rsidP="00A9279C">
            <w:pPr>
              <w:pStyle w:val="BodyText"/>
            </w:pPr>
            <w:r w:rsidRPr="00A9279C">
              <w:t xml:space="preserve">Resources for assessment </w:t>
            </w:r>
            <w:r w:rsidRPr="00A9279C">
              <w:t>must include access to:</w:t>
            </w:r>
          </w:p>
          <w:p w:rsidR="00000000" w:rsidRPr="00A9279C" w:rsidP="00A9279C">
            <w:pPr>
              <w:pStyle w:val="ListBullet"/>
            </w:pPr>
            <w:r w:rsidRPr="00A9279C">
              <w:t>a range of relevant exercises, case studies and/or other simulations</w:t>
            </w:r>
          </w:p>
          <w:p w:rsidR="00000000" w:rsidRPr="00A9279C" w:rsidP="00A9279C">
            <w:pPr>
              <w:pStyle w:val="ListBullet"/>
            </w:pPr>
            <w:r w:rsidRPr="00A9279C">
              <w:t xml:space="preserve">relevant and appropriate materials, tools, equipment and personal protective equipment (PPE) currently used in industry </w:t>
            </w:r>
          </w:p>
          <w:p w:rsidR="00000000" w:rsidRPr="00A9279C" w:rsidP="00A9279C">
            <w:pPr>
              <w:pStyle w:val="ListBullet"/>
            </w:pPr>
            <w:r w:rsidRPr="00A9279C">
              <w:t>applicable documentation, including workp</w:t>
            </w:r>
            <w:r w:rsidRPr="00A9279C">
              <w:t>lace procedures, equipment specifications, regulations, codes of practice and operation manuals.</w:t>
            </w:r>
          </w:p>
        </w:tc>
      </w:tr>
    </w:tbl>
    <w:p w:rsidR="00000000" w:rsidRPr="00A9279C" w:rsidP="00A9279C">
      <w:pPr>
        <w:pStyle w:val="NoPaddingFontSize1"/>
      </w:pPr>
    </w:p>
    <w:p w:rsidR="00000000" w:rsidRPr="00A9279C" w:rsidP="00A9279C">
      <w:pPr>
        <w:pStyle w:val="AllowPageBreak"/>
      </w:pPr>
    </w:p>
    <w:p w:rsidR="00000000" w:rsidRPr="00A9279C" w:rsidP="00A9279C">
      <w:pPr>
        <w:pStyle w:val="Heading1"/>
      </w:pPr>
      <w:bookmarkStart w:id="5" w:name="O_1190190"/>
      <w:bookmarkEnd w:id="5"/>
      <w:r w:rsidRPr="00A9279C">
        <w:t>Links</w:t>
      </w:r>
    </w:p>
    <w:p w:rsidR="00000000" w:rsidRPr="00A9279C" w:rsidP="0097468D">
      <w:pPr>
        <w:pStyle w:val="BodyText"/>
      </w:pPr>
      <w:r w:rsidRPr="00A9279C">
        <w:t>Companion Volume implementation guides are found in VETN</w:t>
      </w:r>
      <w:r w:rsidRPr="00A9279C">
        <w:t xml:space="preserve">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42DA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9279C" w:rsidP="00A9279C"/>
    <w:sectPr w:rsidSect="00A927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C" w:rsidRPr="0097468D" w:rsidP="00974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8D" w:rsidP="00A92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68D" w:rsidP="00A92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468D" w:rsidP="00A92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79C" w:rsidRPr="0097468D" w:rsidP="00974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8D" w:rsidRPr="002D2AF8" w:rsidP="00A92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UEPOPS011 Conduct multiple energy source isolation procedures for permit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7468D" w:rsidP="00A92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502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063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E6C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79C"/>
  </w:style>
  <w:style w:type="character" w:customStyle="1" w:styleId="Heading1Char">
    <w:name w:val="Heading 1 Char"/>
    <w:basedOn w:val="DefaultParagraphFont"/>
    <w:link w:val="Heading1"/>
    <w:rsid w:val="00A92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7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27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2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2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79C"/>
    <w:rPr>
      <w:b/>
      <w:spacing w:val="0"/>
    </w:rPr>
  </w:style>
  <w:style w:type="paragraph" w:customStyle="1" w:styleId="SuperTitle">
    <w:name w:val="SuperTitle"/>
    <w:basedOn w:val="Title"/>
    <w:rsid w:val="00A92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79C"/>
    <w:rPr>
      <w:i/>
    </w:rPr>
  </w:style>
  <w:style w:type="paragraph" w:styleId="Caption">
    <w:name w:val="caption"/>
    <w:basedOn w:val="BodyText"/>
    <w:next w:val="Normal"/>
    <w:qFormat/>
    <w:rsid w:val="00A92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79C"/>
  </w:style>
  <w:style w:type="paragraph" w:styleId="TableofFigures">
    <w:name w:val="table of figures"/>
    <w:basedOn w:val="Normal"/>
    <w:next w:val="Normal"/>
    <w:semiHidden/>
    <w:rsid w:val="00A92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279C"/>
    <w:rPr>
      <w:rFonts w:ascii="Wingdings" w:hAnsi="Wingdings"/>
    </w:rPr>
  </w:style>
  <w:style w:type="paragraph" w:customStyle="1" w:styleId="TableHeading">
    <w:name w:val="Table Heading"/>
    <w:basedOn w:val="HeadingBase"/>
    <w:rsid w:val="00A92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79C"/>
    <w:rPr>
      <w:color w:val="0033CC"/>
      <w:u w:val="none"/>
    </w:rPr>
  </w:style>
  <w:style w:type="paragraph" w:customStyle="1" w:styleId="BodyTextRight">
    <w:name w:val="Body Text Right"/>
    <w:basedOn w:val="BodyText"/>
    <w:rsid w:val="00A92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79C"/>
    <w:rPr>
      <w:sz w:val="32"/>
    </w:rPr>
  </w:style>
  <w:style w:type="paragraph" w:customStyle="1" w:styleId="HeadingProcedure">
    <w:name w:val="Heading Procedure"/>
    <w:basedOn w:val="HeadingBase"/>
    <w:next w:val="Normal"/>
    <w:rsid w:val="00A92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79C"/>
    <w:pPr>
      <w:spacing w:before="60" w:after="60"/>
    </w:pPr>
  </w:style>
  <w:style w:type="paragraph" w:styleId="ListContinue">
    <w:name w:val="List Continue"/>
    <w:basedOn w:val="List"/>
    <w:rsid w:val="00A9279C"/>
    <w:pPr>
      <w:ind w:firstLine="0"/>
    </w:pPr>
  </w:style>
  <w:style w:type="paragraph" w:customStyle="1" w:styleId="ListNote">
    <w:name w:val="List Note"/>
    <w:basedOn w:val="List"/>
    <w:rsid w:val="00A92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79C"/>
    <w:rPr>
      <w:rFonts w:ascii="Courier New" w:hAnsi="Courier New"/>
    </w:rPr>
  </w:style>
  <w:style w:type="paragraph" w:customStyle="1" w:styleId="NoteBullet">
    <w:name w:val="Note Bullet"/>
    <w:basedOn w:val="Note"/>
    <w:rsid w:val="00A92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2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79C"/>
    <w:rPr>
      <w:b/>
      <w:smallCaps/>
    </w:rPr>
  </w:style>
  <w:style w:type="paragraph" w:customStyle="1" w:styleId="TableListNumber">
    <w:name w:val="Table List Number"/>
    <w:basedOn w:val="ListNumber"/>
    <w:rsid w:val="00A92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79C"/>
    <w:pPr>
      <w:numPr>
        <w:numId w:val="9"/>
      </w:numPr>
    </w:pPr>
  </w:style>
  <w:style w:type="paragraph" w:customStyle="1" w:styleId="ListAlpha2">
    <w:name w:val="List Alpha 2"/>
    <w:basedOn w:val="List2"/>
    <w:rsid w:val="00A9279C"/>
    <w:pPr>
      <w:numPr>
        <w:numId w:val="8"/>
      </w:numPr>
    </w:pPr>
  </w:style>
  <w:style w:type="paragraph" w:styleId="List2">
    <w:name w:val="List 2"/>
    <w:basedOn w:val="BodyText"/>
    <w:rsid w:val="00A92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279C"/>
    <w:pPr>
      <w:numPr>
        <w:numId w:val="4"/>
      </w:numPr>
    </w:pPr>
  </w:style>
  <w:style w:type="paragraph" w:styleId="ListContinue2">
    <w:name w:val="List Continue 2"/>
    <w:basedOn w:val="List2"/>
    <w:rsid w:val="00A9279C"/>
    <w:pPr>
      <w:ind w:firstLine="0"/>
    </w:pPr>
  </w:style>
  <w:style w:type="paragraph" w:styleId="ListContinue3">
    <w:name w:val="List Continue 3"/>
    <w:basedOn w:val="List3"/>
    <w:rsid w:val="00A9279C"/>
    <w:pPr>
      <w:ind w:left="1021" w:firstLine="0"/>
    </w:pPr>
  </w:style>
  <w:style w:type="paragraph" w:styleId="ListContinue4">
    <w:name w:val="List Continue 4"/>
    <w:basedOn w:val="List4"/>
    <w:rsid w:val="00A9279C"/>
    <w:pPr>
      <w:ind w:firstLine="0"/>
    </w:pPr>
  </w:style>
  <w:style w:type="paragraph" w:styleId="ListContinue5">
    <w:name w:val="List Continue 5"/>
    <w:basedOn w:val="List5"/>
    <w:rsid w:val="00A9279C"/>
    <w:pPr>
      <w:ind w:firstLine="0"/>
    </w:pPr>
  </w:style>
  <w:style w:type="paragraph" w:styleId="ListNumber3">
    <w:name w:val="List Number 3"/>
    <w:basedOn w:val="List3"/>
    <w:rsid w:val="00A9279C"/>
    <w:pPr>
      <w:numPr>
        <w:numId w:val="5"/>
      </w:numPr>
    </w:pPr>
  </w:style>
  <w:style w:type="paragraph" w:styleId="ListNumber4">
    <w:name w:val="List Number 4"/>
    <w:basedOn w:val="List4"/>
    <w:rsid w:val="00A9279C"/>
    <w:pPr>
      <w:numPr>
        <w:numId w:val="6"/>
      </w:numPr>
    </w:pPr>
  </w:style>
  <w:style w:type="paragraph" w:styleId="ListNumber5">
    <w:name w:val="List Number 5"/>
    <w:basedOn w:val="List5"/>
    <w:rsid w:val="00A9279C"/>
    <w:pPr>
      <w:numPr>
        <w:numId w:val="7"/>
      </w:numPr>
    </w:pPr>
  </w:style>
  <w:style w:type="paragraph" w:styleId="BlockText">
    <w:name w:val="Block Text"/>
    <w:basedOn w:val="Normal"/>
    <w:rsid w:val="00A92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79C"/>
    <w:rPr>
      <w:sz w:val="16"/>
      <w:vertAlign w:val="superscript"/>
    </w:rPr>
  </w:style>
  <w:style w:type="character" w:customStyle="1" w:styleId="Symbols">
    <w:name w:val="Symbols"/>
    <w:basedOn w:val="DefaultParagraphFont"/>
    <w:rsid w:val="00A9279C"/>
    <w:rPr>
      <w:rFonts w:ascii="Symbol" w:hAnsi="Symbol"/>
    </w:rPr>
  </w:style>
  <w:style w:type="character" w:customStyle="1" w:styleId="MenuOptions">
    <w:name w:val="Menu Options"/>
    <w:basedOn w:val="DefaultParagraphFont"/>
    <w:rsid w:val="00A92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79C"/>
    <w:rPr>
      <w:b/>
    </w:rPr>
  </w:style>
  <w:style w:type="character" w:customStyle="1" w:styleId="Underlined">
    <w:name w:val="Underlined"/>
    <w:basedOn w:val="DefaultParagraphFont"/>
    <w:rsid w:val="00A9279C"/>
    <w:rPr>
      <w:u w:val="single"/>
    </w:rPr>
  </w:style>
  <w:style w:type="paragraph" w:customStyle="1" w:styleId="TableBodyTextRight">
    <w:name w:val="Table Body Text Right"/>
    <w:basedOn w:val="TableBodyText"/>
    <w:rsid w:val="00A92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79C"/>
    <w:rPr>
      <w:sz w:val="18"/>
    </w:rPr>
  </w:style>
  <w:style w:type="paragraph" w:customStyle="1" w:styleId="BodySmallRight">
    <w:name w:val="Body Small Right"/>
    <w:basedOn w:val="BodyTextRight"/>
    <w:rsid w:val="00A9279C"/>
    <w:rPr>
      <w:sz w:val="18"/>
      <w:szCs w:val="18"/>
    </w:rPr>
  </w:style>
  <w:style w:type="paragraph" w:customStyle="1" w:styleId="MarginEdition">
    <w:name w:val="Margin Edition"/>
    <w:basedOn w:val="MarginNote"/>
    <w:rsid w:val="00A92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79C"/>
    <w:rPr>
      <w:sz w:val="2"/>
      <w:szCs w:val="2"/>
    </w:rPr>
  </w:style>
  <w:style w:type="character" w:customStyle="1" w:styleId="Small">
    <w:name w:val="Small"/>
    <w:basedOn w:val="DefaultParagraphFont"/>
    <w:rsid w:val="00A9279C"/>
    <w:rPr>
      <w:sz w:val="16"/>
    </w:rPr>
  </w:style>
  <w:style w:type="paragraph" w:customStyle="1" w:styleId="WideTable">
    <w:name w:val="Wide Table"/>
    <w:basedOn w:val="Normal"/>
    <w:rsid w:val="00A92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79C"/>
  </w:style>
  <w:style w:type="paragraph" w:styleId="Quote">
    <w:name w:val="Quote"/>
    <w:basedOn w:val="Heading1"/>
    <w:link w:val="QuoteChar"/>
    <w:qFormat/>
    <w:rsid w:val="00A92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79C"/>
    <w:pPr>
      <w:pageBreakBefore/>
    </w:pPr>
  </w:style>
  <w:style w:type="paragraph" w:customStyle="1" w:styleId="Border">
    <w:name w:val="Border"/>
    <w:basedOn w:val="Normal"/>
    <w:qFormat/>
    <w:rsid w:val="00A92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79C"/>
    <w:rPr>
      <w:u w:val="single"/>
    </w:rPr>
  </w:style>
  <w:style w:type="character" w:customStyle="1" w:styleId="BoldandItalics">
    <w:name w:val="Bold and Italics"/>
    <w:qFormat/>
    <w:rsid w:val="00A9279C"/>
    <w:rPr>
      <w:b/>
      <w:i/>
      <w:u w:val="none"/>
    </w:rPr>
  </w:style>
  <w:style w:type="paragraph" w:styleId="BalloonText">
    <w:name w:val="Balloon Text"/>
    <w:basedOn w:val="Normal"/>
    <w:link w:val="BalloonTextChar"/>
    <w:rsid w:val="00A92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79C"/>
    <w:pPr>
      <w:spacing w:before="0" w:after="0"/>
    </w:pPr>
  </w:style>
  <w:style w:type="paragraph" w:customStyle="1" w:styleId="BodyTextBold">
    <w:name w:val="Body Text Bold"/>
    <w:basedOn w:val="BodyText"/>
    <w:qFormat/>
    <w:rsid w:val="00A9279C"/>
    <w:rPr>
      <w:b/>
    </w:rPr>
  </w:style>
  <w:style w:type="character" w:styleId="Hyperlink">
    <w:name w:val="Hyperlink"/>
    <w:basedOn w:val="DefaultParagraphFont"/>
    <w:uiPriority w:val="99"/>
    <w:unhideWhenUsed/>
    <w:rsid w:val="00974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3415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UEPOPS011 Conduct multiple energy source isolation procedures for permit to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