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B35" w:rsidP="0069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UEPOPS006 Collect and analyse hydrological and meteorological data</w:t>
      </w:r>
      <w:r>
        <w:fldChar w:fldCharType="end"/>
      </w:r>
    </w:p>
    <w:p w:rsidR="00695B35" w:rsidP="00695B35">
      <w:pPr>
        <w:pStyle w:val="Version"/>
        <w:sectPr w:rsidSect="00A84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3F0" w:rsidP="00A843F0">
      <w:pPr>
        <w:pStyle w:val="SuperHeading"/>
      </w:pPr>
      <w:r w:rsidRPr="00A843F0">
        <w:t>UEPOPS006 Collect and analyse hydrological and meteorological data</w:t>
      </w:r>
    </w:p>
    <w:p w:rsidR="00000000" w:rsidRPr="00A843F0" w:rsidP="00A843F0">
      <w:pPr>
        <w:pStyle w:val="Heading1"/>
      </w:pPr>
      <w:bookmarkStart w:id="1" w:name="O_1190079"/>
      <w:bookmarkEnd w:id="1"/>
      <w:r w:rsidRPr="00A843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 xml:space="preserve">Release 1. This is the first release of this unit of competency in the UEP Electricity Supply Industry – Generation Sector Training Package </w:t>
            </w:r>
            <w:r w:rsidRPr="00A843F0">
              <w:t>Release 2.0.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2" w:name="O_1190080"/>
      <w:bookmarkEnd w:id="2"/>
      <w:r w:rsidRPr="00A843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This unit involves the skills and knowledge required to predict and determine inflows in catchment areas within a hydro-powered electricity generation system.</w:t>
            </w:r>
          </w:p>
          <w:p w:rsidR="00000000" w:rsidRPr="00A843F0" w:rsidP="00A843F0">
            <w:pPr>
              <w:pStyle w:val="BodyText"/>
            </w:pPr>
            <w:r w:rsidRPr="00A843F0">
              <w:t>Inflow forecasting for hydro-powered electricity ge</w:t>
            </w:r>
            <w:r w:rsidRPr="00A843F0">
              <w:t>neration systems depends on several elements such as weather, snow cover, ground conditions and the run-off process in catchment areas. All these elements help give insight into future water availability.</w:t>
            </w:r>
          </w:p>
          <w:p w:rsidR="00000000" w:rsidRPr="00A843F0" w:rsidP="00A843F0">
            <w:pPr>
              <w:pStyle w:val="BodyText"/>
            </w:pPr>
            <w:r w:rsidRPr="00A843F0">
              <w:t>Competency in this unit requires the ability to pla</w:t>
            </w:r>
            <w:r w:rsidRPr="00A843F0">
              <w:t>n for work,</w:t>
            </w:r>
            <w:r w:rsidRPr="00A843F0">
              <w:rPr>
                <w:rStyle w:val="SpecialBold"/>
              </w:rPr>
              <w:t xml:space="preserve"> </w:t>
            </w:r>
            <w:r w:rsidRPr="00A843F0">
              <w:t xml:space="preserve">plan and prepare to conduct data collection, undertake data collection, verify and report data collection and complete documentation. Individuals will, in general, work under supervision, in a power generation facility as an operator.  </w:t>
            </w:r>
          </w:p>
          <w:p w:rsidR="00000000" w:rsidRPr="00A843F0" w:rsidP="00A843F0">
            <w:pPr>
              <w:pStyle w:val="BodyText"/>
            </w:pPr>
            <w:r w:rsidRPr="00A843F0">
              <w:t>No lice</w:t>
            </w:r>
            <w:r w:rsidRPr="00A843F0">
              <w:t>nsing, legislative or certification requirements apply to this unit at the time of publication.</w:t>
            </w:r>
          </w:p>
          <w:p w:rsidR="00000000" w:rsidRPr="00A843F0" w:rsidP="00A843F0">
            <w:pPr>
              <w:pStyle w:val="BodyText"/>
            </w:pP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3" w:name="O_1190081"/>
      <w:bookmarkEnd w:id="3"/>
      <w:r w:rsidRPr="00A843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UEPOPS122 Perform process plant inspection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4" w:name="O_1190082"/>
      <w:bookmarkEnd w:id="4"/>
      <w:r w:rsidRPr="00A843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Operations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5" w:name="O_1190083"/>
      <w:bookmarkEnd w:id="5"/>
      <w:r w:rsidRPr="00A843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Electricity generation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6" w:name="O_1190084"/>
      <w:bookmarkEnd w:id="6"/>
      <w:r w:rsidRPr="00A843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PERFORMANCE CRITERIA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Performance criteria describe the performance needed to demonstrate achievement of the element.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Plan for work related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Work health and safety (WHS)/Occupational health and safety (OHS) regulations, legislative requirements, codes of practice,</w:t>
            </w:r>
            <w:r w:rsidRPr="00A843F0">
              <w:t xml:space="preserve"> manufacturers’ recommendations and specifications, environmental requirements and workplace procedures are identified, applied and monitored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Work requirements are identified from relevant personnel and documentation in accordance with workplace pr</w:t>
            </w:r>
            <w:r w:rsidRPr="00A843F0">
              <w:t xml:space="preserve">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 xml:space="preserve">Preoperational check on hydrological and meteorological equipment is carried out in accordance with workplace procedures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Plan and prepare to conduct data collection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Hydrological and meteorological equipment is selected to conduct data collection in accordance with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Hydrological and meteorological equipment is recalibrated for preparation of survey in accordance with manufacturers</w:t>
            </w:r>
            <w:r>
              <w:t>’</w:t>
            </w:r>
            <w:r w:rsidRPr="00A843F0">
              <w:t xml:space="preserve"> recommenda</w:t>
            </w:r>
            <w:r w:rsidRPr="00A843F0">
              <w:t>tions and specifications, and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Potential hydrological and meteorological hazards are assessed, and risk control measures are implemented in accordance with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Meteorological charts and data are assessed f</w:t>
            </w:r>
            <w:r w:rsidRPr="00A843F0">
              <w:t xml:space="preserve">or use in accordance with workplace procedures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Undertake data collection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 xml:space="preserve">Measurement site in catchment area is established in accordance with workplace procedures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Hydrological and meteorological instrumentation is set out in the catchment area in accordance with manufacturers</w:t>
            </w:r>
            <w:r>
              <w:t>’</w:t>
            </w:r>
            <w:r w:rsidRPr="00A843F0">
              <w:t xml:space="preserve"> recommendations and specifications, and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 xml:space="preserve">Measurements are taken in accordance with workplace procedures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Me</w:t>
            </w:r>
            <w:r w:rsidRPr="00A843F0">
              <w:t xml:space="preserve">asurements are recorded in accordance with workplace procedures 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>Tools and equipment are cleaned and stored in accordance with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rPr>
                <w:rStyle w:val="SpecialBold"/>
              </w:rPr>
              <w:t xml:space="preserve">Verify and report data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t xml:space="preserve">Measurements are analysed to verify accuracy of </w:t>
            </w:r>
            <w:r w:rsidRPr="00A843F0">
              <w:t>findings, and data is entered into data system in accordance with workplace procedures</w:t>
            </w:r>
          </w:p>
        </w:tc>
      </w:tr>
      <w:tr w:rsidTr="00A843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3F0">
            <w:pPr>
              <w:pStyle w:val="BodyText"/>
              <w:rPr>
                <w:lang w:val="en-NZ"/>
              </w:rPr>
            </w:pPr>
            <w:r w:rsidRPr="00A843F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Work order requirements are completed in accordance with workplace procedures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7" w:name="O_1190085"/>
      <w:bookmarkEnd w:id="7"/>
      <w:r w:rsidRPr="00A843F0">
        <w:t>Foundation Skil</w:t>
      </w:r>
      <w:r w:rsidRPr="00A843F0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Foundation skills essential to performance are explicit in the performance criteria of this unit of competency.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8" w:name="O_1190086"/>
      <w:bookmarkEnd w:id="8"/>
      <w:r w:rsidRPr="00A843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 xml:space="preserve">Range is </w:t>
            </w:r>
            <w:r w:rsidRPr="00A843F0">
              <w:t>restricted to essential operating conditions and any other variables essential to the work environment.</w:t>
            </w:r>
          </w:p>
          <w:p w:rsidR="00000000" w:rsidRPr="00A843F0" w:rsidP="00A843F0">
            <w:pPr>
              <w:pStyle w:val="BodyText"/>
            </w:pPr>
            <w:r w:rsidRPr="00A843F0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9" w:name="O_1190087"/>
      <w:bookmarkEnd w:id="9"/>
      <w:r w:rsidRPr="00A843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3F0" w:rsidP="00A843F0">
            <w:pPr>
              <w:pStyle w:val="BodyText"/>
            </w:pPr>
            <w:r w:rsidRPr="00A843F0">
              <w:t>This unit replaces and is equivalent to UEPOPS431 Collect and analyse hydrological and meteorological data.</w:t>
            </w:r>
          </w:p>
        </w:tc>
      </w:tr>
    </w:tbl>
    <w:p w:rsidR="00000000" w:rsidRPr="00A843F0" w:rsidP="00A843F0">
      <w:pPr>
        <w:pStyle w:val="NoPaddingFontSize1"/>
      </w:pPr>
    </w:p>
    <w:p w:rsidR="00000000" w:rsidRPr="00A843F0" w:rsidP="00A843F0">
      <w:pPr>
        <w:pStyle w:val="AllowPageBreak"/>
      </w:pPr>
    </w:p>
    <w:p w:rsidR="00000000" w:rsidRPr="00A843F0" w:rsidP="00A843F0">
      <w:pPr>
        <w:pStyle w:val="Heading1"/>
      </w:pPr>
      <w:bookmarkStart w:id="10" w:name="O_1190094"/>
      <w:bookmarkEnd w:id="10"/>
      <w:r w:rsidRPr="00A843F0">
        <w:t>Links</w:t>
      </w:r>
    </w:p>
    <w:p w:rsidR="00000000" w:rsidRPr="00A843F0" w:rsidP="00695B35">
      <w:pPr>
        <w:pStyle w:val="BodyText"/>
      </w:pPr>
      <w:r w:rsidRPr="00A84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D49F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843F0" w:rsidP="00A843F0"/>
    <w:sectPr w:rsidSect="00A843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3F0" w:rsidRPr="00695B35" w:rsidP="0069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35" w:rsidP="00A84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5B35" w:rsidP="00A84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5B35" w:rsidP="00A84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3F0" w:rsidRPr="00695B35" w:rsidP="00695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B35" w:rsidRPr="002D2AF8" w:rsidP="00A84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UEPOPS006 Collect and analyse hydrological and meteorological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95B35" w:rsidP="00A84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3F0"/>
  </w:style>
  <w:style w:type="character" w:customStyle="1" w:styleId="Heading1Char">
    <w:name w:val="Heading 1 Char"/>
    <w:basedOn w:val="DefaultParagraphFont"/>
    <w:link w:val="Heading1"/>
    <w:rsid w:val="00A84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3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3F0"/>
    <w:rPr>
      <w:b/>
      <w:spacing w:val="0"/>
    </w:rPr>
  </w:style>
  <w:style w:type="paragraph" w:customStyle="1" w:styleId="SuperHeading">
    <w:name w:val="SuperHeading"/>
    <w:basedOn w:val="Normal"/>
    <w:rsid w:val="00A84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4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3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3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3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3F0"/>
    <w:rPr>
      <w:i/>
    </w:rPr>
  </w:style>
  <w:style w:type="paragraph" w:styleId="Caption">
    <w:name w:val="caption"/>
    <w:basedOn w:val="BodyText"/>
    <w:next w:val="Normal"/>
    <w:qFormat/>
    <w:rsid w:val="00A84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3F0"/>
  </w:style>
  <w:style w:type="paragraph" w:styleId="TableofFigures">
    <w:name w:val="table of figures"/>
    <w:basedOn w:val="Normal"/>
    <w:next w:val="Normal"/>
    <w:semiHidden/>
    <w:rsid w:val="00A84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3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3F0"/>
    <w:rPr>
      <w:rFonts w:ascii="Wingdings" w:hAnsi="Wingdings"/>
    </w:rPr>
  </w:style>
  <w:style w:type="paragraph" w:customStyle="1" w:styleId="TableHeading">
    <w:name w:val="Table Heading"/>
    <w:basedOn w:val="HeadingBase"/>
    <w:rsid w:val="00A84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3F0"/>
    <w:rPr>
      <w:color w:val="0033CC"/>
      <w:u w:val="none"/>
    </w:rPr>
  </w:style>
  <w:style w:type="paragraph" w:customStyle="1" w:styleId="BodyTextRight">
    <w:name w:val="Body Text Right"/>
    <w:basedOn w:val="BodyText"/>
    <w:rsid w:val="00A84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3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3F0"/>
    <w:rPr>
      <w:sz w:val="32"/>
    </w:rPr>
  </w:style>
  <w:style w:type="paragraph" w:customStyle="1" w:styleId="HeadingProcedure">
    <w:name w:val="Heading Procedure"/>
    <w:basedOn w:val="HeadingBase"/>
    <w:next w:val="Normal"/>
    <w:rsid w:val="00A84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3F0"/>
    <w:pPr>
      <w:spacing w:before="60" w:after="60"/>
    </w:pPr>
  </w:style>
  <w:style w:type="paragraph" w:styleId="ListContinue">
    <w:name w:val="List Continue"/>
    <w:basedOn w:val="List"/>
    <w:rsid w:val="00A843F0"/>
    <w:pPr>
      <w:ind w:firstLine="0"/>
    </w:pPr>
  </w:style>
  <w:style w:type="paragraph" w:customStyle="1" w:styleId="ListNote">
    <w:name w:val="List Note"/>
    <w:basedOn w:val="List"/>
    <w:rsid w:val="00A84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3F0"/>
    <w:rPr>
      <w:rFonts w:ascii="Courier New" w:hAnsi="Courier New"/>
    </w:rPr>
  </w:style>
  <w:style w:type="paragraph" w:customStyle="1" w:styleId="NoteBullet">
    <w:name w:val="Note Bullet"/>
    <w:basedOn w:val="Note"/>
    <w:rsid w:val="00A84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3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3F0"/>
    <w:rPr>
      <w:b/>
      <w:smallCaps/>
    </w:rPr>
  </w:style>
  <w:style w:type="paragraph" w:customStyle="1" w:styleId="TableListNumber">
    <w:name w:val="Table List Number"/>
    <w:basedOn w:val="ListNumber"/>
    <w:rsid w:val="00A84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3F0"/>
    <w:pPr>
      <w:numPr>
        <w:numId w:val="7"/>
      </w:numPr>
    </w:pPr>
  </w:style>
  <w:style w:type="paragraph" w:customStyle="1" w:styleId="ListAlpha2">
    <w:name w:val="List Alpha 2"/>
    <w:basedOn w:val="List2"/>
    <w:rsid w:val="00A843F0"/>
    <w:pPr>
      <w:numPr>
        <w:numId w:val="6"/>
      </w:numPr>
    </w:pPr>
  </w:style>
  <w:style w:type="paragraph" w:styleId="List2">
    <w:name w:val="List 2"/>
    <w:basedOn w:val="BodyText"/>
    <w:rsid w:val="00A84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3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3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3F0"/>
    <w:pPr>
      <w:numPr>
        <w:numId w:val="2"/>
      </w:numPr>
    </w:pPr>
  </w:style>
  <w:style w:type="paragraph" w:styleId="ListContinue2">
    <w:name w:val="List Continue 2"/>
    <w:basedOn w:val="List2"/>
    <w:rsid w:val="00A843F0"/>
    <w:pPr>
      <w:ind w:firstLine="0"/>
    </w:pPr>
  </w:style>
  <w:style w:type="paragraph" w:styleId="ListContinue3">
    <w:name w:val="List Continue 3"/>
    <w:basedOn w:val="List3"/>
    <w:rsid w:val="00A843F0"/>
    <w:pPr>
      <w:ind w:left="1021" w:firstLine="0"/>
    </w:pPr>
  </w:style>
  <w:style w:type="paragraph" w:styleId="ListContinue4">
    <w:name w:val="List Continue 4"/>
    <w:basedOn w:val="List4"/>
    <w:rsid w:val="00A843F0"/>
    <w:pPr>
      <w:ind w:firstLine="0"/>
    </w:pPr>
  </w:style>
  <w:style w:type="paragraph" w:styleId="ListContinue5">
    <w:name w:val="List Continue 5"/>
    <w:basedOn w:val="List5"/>
    <w:rsid w:val="00A843F0"/>
    <w:pPr>
      <w:ind w:firstLine="0"/>
    </w:pPr>
  </w:style>
  <w:style w:type="paragraph" w:styleId="ListNumber3">
    <w:name w:val="List Number 3"/>
    <w:basedOn w:val="List3"/>
    <w:rsid w:val="00A843F0"/>
    <w:pPr>
      <w:numPr>
        <w:numId w:val="3"/>
      </w:numPr>
    </w:pPr>
  </w:style>
  <w:style w:type="paragraph" w:styleId="ListNumber4">
    <w:name w:val="List Number 4"/>
    <w:basedOn w:val="List4"/>
    <w:rsid w:val="00A843F0"/>
    <w:pPr>
      <w:numPr>
        <w:numId w:val="4"/>
      </w:numPr>
    </w:pPr>
  </w:style>
  <w:style w:type="paragraph" w:styleId="ListNumber5">
    <w:name w:val="List Number 5"/>
    <w:basedOn w:val="List5"/>
    <w:rsid w:val="00A843F0"/>
    <w:pPr>
      <w:numPr>
        <w:numId w:val="5"/>
      </w:numPr>
    </w:pPr>
  </w:style>
  <w:style w:type="paragraph" w:styleId="BlockText">
    <w:name w:val="Block Text"/>
    <w:basedOn w:val="Normal"/>
    <w:rsid w:val="00A84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3F0"/>
    <w:rPr>
      <w:sz w:val="16"/>
      <w:vertAlign w:val="superscript"/>
    </w:rPr>
  </w:style>
  <w:style w:type="character" w:customStyle="1" w:styleId="Symbols">
    <w:name w:val="Symbols"/>
    <w:basedOn w:val="DefaultParagraphFont"/>
    <w:rsid w:val="00A843F0"/>
    <w:rPr>
      <w:rFonts w:ascii="Symbol" w:hAnsi="Symbol"/>
    </w:rPr>
  </w:style>
  <w:style w:type="character" w:customStyle="1" w:styleId="MenuOptions">
    <w:name w:val="Menu Options"/>
    <w:basedOn w:val="DefaultParagraphFont"/>
    <w:rsid w:val="00A84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3F0"/>
    <w:rPr>
      <w:b/>
    </w:rPr>
  </w:style>
  <w:style w:type="character" w:customStyle="1" w:styleId="Underlined">
    <w:name w:val="Underlined"/>
    <w:basedOn w:val="DefaultParagraphFont"/>
    <w:rsid w:val="00A843F0"/>
    <w:rPr>
      <w:u w:val="single"/>
    </w:rPr>
  </w:style>
  <w:style w:type="paragraph" w:customStyle="1" w:styleId="TableBodyTextRight">
    <w:name w:val="Table Body Text Right"/>
    <w:basedOn w:val="TableBodyText"/>
    <w:rsid w:val="00A84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3F0"/>
    <w:rPr>
      <w:sz w:val="18"/>
    </w:rPr>
  </w:style>
  <w:style w:type="paragraph" w:customStyle="1" w:styleId="BodySmallRight">
    <w:name w:val="Body Small Right"/>
    <w:basedOn w:val="BodyTextRight"/>
    <w:rsid w:val="00A843F0"/>
    <w:rPr>
      <w:sz w:val="18"/>
      <w:szCs w:val="18"/>
    </w:rPr>
  </w:style>
  <w:style w:type="paragraph" w:customStyle="1" w:styleId="MarginEdition">
    <w:name w:val="Margin Edition"/>
    <w:basedOn w:val="MarginNote"/>
    <w:rsid w:val="00A84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3F0"/>
    <w:rPr>
      <w:sz w:val="2"/>
      <w:szCs w:val="2"/>
    </w:rPr>
  </w:style>
  <w:style w:type="character" w:customStyle="1" w:styleId="Small">
    <w:name w:val="Small"/>
    <w:basedOn w:val="DefaultParagraphFont"/>
    <w:rsid w:val="00A843F0"/>
    <w:rPr>
      <w:sz w:val="16"/>
    </w:rPr>
  </w:style>
  <w:style w:type="paragraph" w:customStyle="1" w:styleId="WideTable">
    <w:name w:val="Wide Table"/>
    <w:basedOn w:val="Normal"/>
    <w:rsid w:val="00A84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3F0"/>
  </w:style>
  <w:style w:type="paragraph" w:styleId="Quote">
    <w:name w:val="Quote"/>
    <w:basedOn w:val="Heading1"/>
    <w:link w:val="QuoteChar"/>
    <w:qFormat/>
    <w:rsid w:val="00A84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3F0"/>
    <w:pPr>
      <w:pageBreakBefore/>
    </w:pPr>
  </w:style>
  <w:style w:type="paragraph" w:customStyle="1" w:styleId="Border">
    <w:name w:val="Border"/>
    <w:basedOn w:val="Normal"/>
    <w:qFormat/>
    <w:rsid w:val="00A84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3F0"/>
    <w:rPr>
      <w:u w:val="single"/>
    </w:rPr>
  </w:style>
  <w:style w:type="character" w:customStyle="1" w:styleId="BoldandItalics">
    <w:name w:val="Bold and Italics"/>
    <w:qFormat/>
    <w:rsid w:val="00A843F0"/>
    <w:rPr>
      <w:b/>
      <w:i/>
      <w:u w:val="none"/>
    </w:rPr>
  </w:style>
  <w:style w:type="paragraph" w:styleId="BalloonText">
    <w:name w:val="Balloon Text"/>
    <w:basedOn w:val="Normal"/>
    <w:link w:val="BalloonTextChar"/>
    <w:rsid w:val="00A84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3F0"/>
    <w:pPr>
      <w:spacing w:before="0" w:after="0"/>
    </w:pPr>
  </w:style>
  <w:style w:type="paragraph" w:customStyle="1" w:styleId="BodyTextBold">
    <w:name w:val="Body Text Bold"/>
    <w:basedOn w:val="BodyText"/>
    <w:qFormat/>
    <w:rsid w:val="00A843F0"/>
    <w:rPr>
      <w:b/>
    </w:rPr>
  </w:style>
  <w:style w:type="character" w:styleId="Hyperlink">
    <w:name w:val="Hyperlink"/>
    <w:basedOn w:val="DefaultParagraphFont"/>
    <w:uiPriority w:val="99"/>
    <w:unhideWhenUsed/>
    <w:rsid w:val="00695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3766</Characters>
  <Application>Microsoft Office Word</Application>
  <DocSecurity>0</DocSecurity>
  <Lines>163</Lines>
  <Paragraphs>80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UEPOPS006 Collect and analyse hydrological and meteorological data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