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572" w:rsidP="00C15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UEPOPL003 Licence to operate a reciprocating steam engine</w:t>
      </w:r>
      <w:r>
        <w:fldChar w:fldCharType="end"/>
      </w:r>
    </w:p>
    <w:p w:rsidR="00C15572" w:rsidP="00C15572">
      <w:pPr>
        <w:pStyle w:val="Version"/>
        <w:sectPr w:rsidSect="00AB7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100" w:rsidP="00AB7100">
      <w:pPr>
        <w:pStyle w:val="SuperHeading"/>
      </w:pPr>
      <w:r w:rsidRPr="00AB7100">
        <w:t>Assessment Requirements for UEPOPL003 Licence to operate a reciprocating steam engine</w:t>
      </w:r>
    </w:p>
    <w:p w:rsidR="00000000" w:rsidRPr="00AB7100" w:rsidP="00AB7100">
      <w:pPr>
        <w:pStyle w:val="Heading1"/>
      </w:pPr>
      <w:bookmarkStart w:id="1" w:name="O_1189956"/>
      <w:bookmarkEnd w:id="1"/>
      <w:r w:rsidRPr="00AB71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00" w:rsidP="00AB7100">
            <w:pPr>
              <w:pStyle w:val="BodyText"/>
            </w:pPr>
            <w:r w:rsidRPr="00AB7100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B7100" w:rsidP="00AB7100">
      <w:pPr>
        <w:pStyle w:val="NoPaddingFontSize1"/>
      </w:pPr>
    </w:p>
    <w:p w:rsidR="00000000" w:rsidRPr="00AB7100" w:rsidP="00AB7100">
      <w:pPr>
        <w:pStyle w:val="AllowPageBreak"/>
      </w:pPr>
    </w:p>
    <w:p w:rsidR="00000000" w:rsidRPr="00AB7100" w:rsidP="00AB7100">
      <w:pPr>
        <w:pStyle w:val="Heading1"/>
      </w:pPr>
      <w:bookmarkStart w:id="2" w:name="O_1189957"/>
      <w:bookmarkEnd w:id="2"/>
      <w:r w:rsidRPr="00AB710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00">
            <w:pPr>
              <w:pStyle w:val="BodyText"/>
              <w:rPr>
                <w:lang w:val="en-NZ"/>
              </w:rPr>
            </w:pPr>
            <w:r w:rsidRPr="00AB7100">
              <w:t>Evidence required to demonstrate competence in this unit must</w:t>
            </w:r>
            <w:r w:rsidRPr="00AB7100">
              <w:t xml:space="preserve"> be relevant to and satisfy all the requirements of the elements, performance criteria and range of conditions on at least one occasion and include: </w:t>
            </w:r>
          </w:p>
        </w:tc>
      </w:tr>
      <w:tr w:rsidTr="00AB7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00" w:rsidP="00AB7100">
            <w:pPr>
              <w:pStyle w:val="ListBullet"/>
            </w:pPr>
            <w:r w:rsidRPr="00AB7100">
              <w:tab/>
              <w:t xml:space="preserve">applying work health and safety (WHS)/occupational health and safety (OHS) regulations, including: </w:t>
            </w:r>
          </w:p>
          <w:p w:rsidR="00000000" w:rsidRPr="00AB7100" w:rsidP="00AB7100">
            <w:pPr>
              <w:pStyle w:val="ListBullet2"/>
            </w:pPr>
            <w:r w:rsidRPr="00AB7100">
              <w:t>em</w:t>
            </w:r>
            <w:r w:rsidRPr="00AB7100">
              <w:t>ergency procedures</w:t>
            </w:r>
          </w:p>
          <w:p w:rsidR="00000000" w:rsidRPr="00AB7100" w:rsidP="00AB7100">
            <w:pPr>
              <w:pStyle w:val="ListBullet2"/>
            </w:pPr>
            <w:r w:rsidRPr="00AB7100">
              <w:t>risk control measures</w:t>
            </w:r>
          </w:p>
          <w:p w:rsidR="00000000" w:rsidRPr="00AB7100" w:rsidP="00AB7100">
            <w:pPr>
              <w:pStyle w:val="ListBullet2"/>
            </w:pPr>
            <w:r w:rsidRPr="00AB7100">
              <w:t>safe working practices</w:t>
            </w:r>
          </w:p>
          <w:p w:rsidR="00000000" w:rsidRPr="00AB7100" w:rsidP="00AB7100">
            <w:pPr>
              <w:pStyle w:val="ListBullet"/>
            </w:pPr>
            <w:r w:rsidRPr="00AB7100">
              <w:t>communicating effectively and working safely with others in the work area</w:t>
            </w:r>
          </w:p>
          <w:p w:rsidR="00000000" w:rsidRPr="00AB7100" w:rsidP="00AB7100">
            <w:pPr>
              <w:pStyle w:val="ListBullet"/>
            </w:pPr>
            <w:r w:rsidRPr="00AB7100">
              <w:t>completing verification of problems and equipment faults and demonstrating relevant response procedures</w:t>
            </w:r>
          </w:p>
          <w:p w:rsidR="00000000" w:rsidRPr="00AB7100" w:rsidP="00AB7100">
            <w:pPr>
              <w:pStyle w:val="ListBullet"/>
            </w:pPr>
            <w:r w:rsidRPr="00AB7100">
              <w:t xml:space="preserve">complying with Commonwealth, state or territory regulations for the acquisition of a high-risk work (HRW) licence for reciprocating steam engine operation </w:t>
            </w:r>
          </w:p>
          <w:p w:rsidR="00000000" w:rsidRPr="00AB7100" w:rsidP="00AB7100">
            <w:pPr>
              <w:pStyle w:val="ListBullet"/>
            </w:pPr>
            <w:r w:rsidRPr="00AB7100">
              <w:t>complying with legislation, regulations, standards, codes of practice and established safe practices</w:t>
            </w:r>
            <w:r w:rsidRPr="00AB7100">
              <w:t xml:space="preserve"> and procedures for starting, operating, shutting down and maintaining a reciprocating steam engine</w:t>
            </w:r>
          </w:p>
          <w:p w:rsidR="00000000" w:rsidRPr="00AB7100" w:rsidP="00AB7100">
            <w:pPr>
              <w:pStyle w:val="ListBullet"/>
            </w:pPr>
            <w:r w:rsidRPr="00AB7100">
              <w:t>complying with organisational and site policies and procedures, including quality requirements and state or territory legislation, applicable to workplace o</w:t>
            </w:r>
            <w:r w:rsidRPr="00AB7100">
              <w:t>perations</w:t>
            </w:r>
          </w:p>
          <w:p w:rsidR="00000000" w:rsidRPr="00AB7100" w:rsidP="00AB7100">
            <w:pPr>
              <w:pStyle w:val="ListBullet"/>
            </w:pPr>
            <w:r w:rsidRPr="00AB7100">
              <w:t>complying with regulations, legislative requirements, codes of practice, manufacturers’ recommendations and specifications, and environmental requirements</w:t>
            </w:r>
          </w:p>
          <w:p w:rsidR="00000000" w:rsidRPr="00AB7100" w:rsidP="00AB7100">
            <w:pPr>
              <w:pStyle w:val="ListBullet"/>
            </w:pPr>
            <w:r w:rsidRPr="00AB7100">
              <w:t>identifying hazards associated with the operation of the reciprocating steam engine and put</w:t>
            </w:r>
            <w:r w:rsidRPr="00AB7100">
              <w:t>ting in place effective hazard controls for those hazards identified</w:t>
            </w:r>
          </w:p>
          <w:p w:rsidR="00000000" w:rsidRPr="00AB7100" w:rsidP="00AB7100">
            <w:pPr>
              <w:pStyle w:val="ListBullet"/>
            </w:pPr>
            <w:r w:rsidRPr="00AB7100">
              <w:t>performing efficiently and safely when starting, operating, shutting down and maintaining a reciprocating steam engine</w:t>
            </w:r>
          </w:p>
          <w:p w:rsidR="00000000" w:rsidRPr="00AB7100" w:rsidP="00AB7100">
            <w:pPr>
              <w:pStyle w:val="ListBullet"/>
            </w:pPr>
            <w:r w:rsidRPr="00AB7100">
              <w:t>recording accurately and maintaining information relating to operati</w:t>
            </w:r>
            <w:r w:rsidRPr="00AB7100">
              <w:t>on of a reciprocating steam engine</w:t>
            </w:r>
          </w:p>
          <w:p w:rsidR="00000000" w:rsidRPr="00AB7100" w:rsidP="00AB7100">
            <w:pPr>
              <w:pStyle w:val="ListBullet"/>
            </w:pPr>
            <w:r w:rsidRPr="00AB7100">
              <w:t>starting up, monitoring and shutting down a reciprocating steam engine effectively that meets the definition of this licence class</w:t>
            </w:r>
          </w:p>
          <w:p w:rsidR="00000000" w:rsidRPr="00AB7100" w:rsidP="00AB7100">
            <w:pPr>
              <w:pStyle w:val="ListBullet"/>
            </w:pPr>
            <w:r w:rsidRPr="00AB7100">
              <w:t>undertaking diagnostic and testing techniques for reciprocating steam engines</w:t>
            </w:r>
          </w:p>
          <w:p w:rsidR="00000000" w:rsidRPr="00AB7100" w:rsidP="00AB7100">
            <w:pPr>
              <w:pStyle w:val="ListBullet"/>
            </w:pPr>
            <w:r w:rsidRPr="00AB7100">
              <w:t>using releva</w:t>
            </w:r>
            <w:r w:rsidRPr="00AB7100">
              <w:t>nt communication techniques with colleagues and others</w:t>
            </w:r>
          </w:p>
          <w:p w:rsidR="00000000" w:rsidRPr="00AB7100" w:rsidP="00AB7100">
            <w:pPr>
              <w:pStyle w:val="ListBullet"/>
            </w:pPr>
            <w:r w:rsidRPr="00AB7100">
              <w:t>utilising relevant tools and equipment.</w:t>
            </w:r>
          </w:p>
        </w:tc>
      </w:tr>
    </w:tbl>
    <w:p w:rsidR="00000000" w:rsidRPr="00AB7100" w:rsidP="00AB7100">
      <w:pPr>
        <w:pStyle w:val="NoPaddingFontSize1"/>
      </w:pPr>
    </w:p>
    <w:p w:rsidR="00000000" w:rsidRPr="00AB7100" w:rsidP="00AB7100">
      <w:pPr>
        <w:pStyle w:val="AllowPageBreak"/>
      </w:pPr>
    </w:p>
    <w:p w:rsidR="00000000" w:rsidRPr="00AB7100" w:rsidP="00AB7100">
      <w:pPr>
        <w:pStyle w:val="Heading1"/>
      </w:pPr>
      <w:bookmarkStart w:id="3" w:name="O_1189958"/>
      <w:bookmarkEnd w:id="3"/>
      <w:r w:rsidRPr="00AB710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00">
            <w:pPr>
              <w:pStyle w:val="BodyText"/>
              <w:rPr>
                <w:lang w:val="en-NZ"/>
              </w:rPr>
            </w:pPr>
            <w:r w:rsidRPr="00AB7100">
              <w:t xml:space="preserve">Evidence required to demonstrate competence in this unit must be relevant to and satisfy all the requirements of the elements, performance criteria and range of conditions and include knowledge of: </w:t>
            </w:r>
          </w:p>
        </w:tc>
      </w:tr>
      <w:tr w:rsidTr="00AB7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00" w:rsidP="00AB7100">
            <w:pPr>
              <w:pStyle w:val="ListBullet"/>
            </w:pPr>
            <w:r w:rsidRPr="00AB7100">
              <w:t xml:space="preserve">confined space awareness and the limits for entry into </w:t>
            </w:r>
            <w:r w:rsidRPr="00AB7100">
              <w:t>a confined space</w:t>
            </w:r>
          </w:p>
          <w:p w:rsidR="00000000" w:rsidRPr="00AB7100" w:rsidP="00AB7100">
            <w:pPr>
              <w:pStyle w:val="ListBullet"/>
            </w:pPr>
            <w:r w:rsidRPr="00AB7100">
              <w:t>engine speed control equipment</w:t>
            </w:r>
          </w:p>
          <w:p w:rsidR="00000000" w:rsidRPr="00AB7100" w:rsidP="00AB7100">
            <w:pPr>
              <w:pStyle w:val="ListBullet"/>
            </w:pPr>
            <w:r w:rsidRPr="00AB7100">
              <w:t>environmental protection requirements relating to the disposal of waste material and storage of environmentally hazardous materials</w:t>
            </w:r>
          </w:p>
          <w:p w:rsidR="00000000" w:rsidRPr="00AB7100" w:rsidP="00AB7100">
            <w:pPr>
              <w:pStyle w:val="ListBullet"/>
            </w:pPr>
            <w:r w:rsidRPr="00AB7100">
              <w:t>established communication channels and protocols in the workplace</w:t>
            </w:r>
          </w:p>
          <w:p w:rsidR="00000000" w:rsidRPr="00AB7100" w:rsidP="00AB7100">
            <w:pPr>
              <w:pStyle w:val="ListBullet"/>
            </w:pPr>
            <w:r w:rsidRPr="00AB7100">
              <w:t xml:space="preserve">hierarchy </w:t>
            </w:r>
            <w:r w:rsidRPr="00AB7100">
              <w:t>of hazard identification and control</w:t>
            </w:r>
          </w:p>
          <w:p w:rsidR="00000000" w:rsidRPr="00AB7100" w:rsidP="00AB7100">
            <w:pPr>
              <w:pStyle w:val="ListBullet"/>
            </w:pPr>
            <w:r w:rsidRPr="00AB7100">
              <w:t>organisational and workplace standards, requirements, policies and procedures for starting, operating, shutting down and maintaining a reciprocating steam engine</w:t>
            </w:r>
          </w:p>
          <w:p w:rsidR="00000000" w:rsidRPr="00AB7100" w:rsidP="00AB7100">
            <w:pPr>
              <w:pStyle w:val="ListBullet"/>
            </w:pPr>
            <w:r w:rsidRPr="00AB7100">
              <w:t>principles of heat transfer and thermodynamics</w:t>
            </w:r>
          </w:p>
          <w:p w:rsidR="00000000" w:rsidRPr="00AB7100" w:rsidP="00AB7100">
            <w:pPr>
              <w:pStyle w:val="ListBullet"/>
            </w:pPr>
            <w:r w:rsidRPr="00AB7100">
              <w:t>procedures</w:t>
            </w:r>
            <w:r w:rsidRPr="00AB7100">
              <w:t xml:space="preserve"> for the recording, reporting and maintenance of workplace records and information</w:t>
            </w:r>
          </w:p>
          <w:p w:rsidR="00000000" w:rsidRPr="00AB7100" w:rsidP="00AB7100">
            <w:pPr>
              <w:pStyle w:val="ListBullet"/>
            </w:pPr>
            <w:r w:rsidRPr="00AB7100">
              <w:t>reciprocating steam engine capabilities and components</w:t>
            </w:r>
          </w:p>
          <w:p w:rsidR="00000000" w:rsidRPr="00AB7100" w:rsidP="00AB7100">
            <w:pPr>
              <w:pStyle w:val="ListBullet"/>
            </w:pPr>
            <w:r w:rsidRPr="00AB7100">
              <w:t>reciprocating steam engine fault-finding and problem-solving techniques</w:t>
            </w:r>
          </w:p>
          <w:p w:rsidR="00000000" w:rsidRPr="00AB7100" w:rsidP="00AB7100">
            <w:pPr>
              <w:pStyle w:val="ListBullet"/>
            </w:pPr>
            <w:r w:rsidRPr="00AB7100">
              <w:t>reciprocating steam engine operations and operating techniques</w:t>
            </w:r>
          </w:p>
          <w:p w:rsidR="00000000" w:rsidRPr="00AB7100" w:rsidP="00AB7100">
            <w:pPr>
              <w:pStyle w:val="ListBullet"/>
            </w:pPr>
            <w:r w:rsidRPr="00AB7100">
              <w:t>reciprocating steam engine safety devices and testing techniques</w:t>
            </w:r>
          </w:p>
          <w:p w:rsidR="00000000" w:rsidRPr="00AB7100" w:rsidP="00AB7100">
            <w:pPr>
              <w:pStyle w:val="ListBullet"/>
            </w:pPr>
            <w:r w:rsidRPr="00AB7100">
              <w:t>regulations, legislative requirements, codes of practice, manufacturers’ recommendations and specifications, and environmental r</w:t>
            </w:r>
            <w:r w:rsidRPr="00AB7100">
              <w:t>equirements relevant to the full range of techniques for operating reciprocating steam engines</w:t>
            </w:r>
          </w:p>
          <w:p w:rsidR="00000000" w:rsidRPr="00AB7100" w:rsidP="00AB7100">
            <w:pPr>
              <w:pStyle w:val="ListBullet"/>
            </w:pPr>
            <w:r w:rsidRPr="00AB7100">
              <w:t>routine problems encountered in the process and equipment and adjustments required for correction</w:t>
            </w:r>
          </w:p>
          <w:p w:rsidR="00000000" w:rsidRPr="00AB7100" w:rsidP="00AB7100">
            <w:pPr>
              <w:pStyle w:val="ListBullet"/>
            </w:pPr>
            <w:r w:rsidRPr="00AB7100">
              <w:t>safety data sheets (SDS) and material handling methods</w:t>
            </w:r>
          </w:p>
          <w:p w:rsidR="00000000" w:rsidRPr="00AB7100" w:rsidP="00AB7100">
            <w:pPr>
              <w:pStyle w:val="ListBullet"/>
            </w:pPr>
            <w:r w:rsidRPr="00AB7100">
              <w:t>system c</w:t>
            </w:r>
            <w:r w:rsidRPr="00AB7100">
              <w:t>omponents and interaction with other plant and equipment</w:t>
            </w:r>
          </w:p>
          <w:p w:rsidR="00000000" w:rsidRPr="00AB7100" w:rsidP="00AB7100">
            <w:pPr>
              <w:pStyle w:val="ListBullet"/>
            </w:pPr>
            <w:r w:rsidRPr="00AB7100">
              <w:t>types of tools and equipment and procedures for use, operation and maintenance</w:t>
            </w:r>
          </w:p>
          <w:p w:rsidR="00000000" w:rsidRPr="00AB7100" w:rsidP="00AB7100">
            <w:pPr>
              <w:pStyle w:val="ListBullet"/>
            </w:pPr>
            <w:r w:rsidRPr="00AB7100">
              <w:t>WHS/OHS requirements, including:</w:t>
            </w:r>
          </w:p>
          <w:p w:rsidR="00000000" w:rsidRPr="00AB7100" w:rsidP="00AB7100">
            <w:pPr>
              <w:pStyle w:val="ListBullet2"/>
            </w:pPr>
            <w:r w:rsidRPr="00AB7100">
              <w:t>emergency procedures</w:t>
            </w:r>
          </w:p>
          <w:p w:rsidR="00000000" w:rsidRPr="00AB7100" w:rsidP="00AB7100">
            <w:pPr>
              <w:pStyle w:val="ListBullet2"/>
            </w:pPr>
            <w:r w:rsidRPr="00AB7100">
              <w:t>risk control measures</w:t>
            </w:r>
          </w:p>
          <w:p w:rsidR="00000000" w:rsidRPr="00AB7100" w:rsidP="00AB7100">
            <w:pPr>
              <w:pStyle w:val="ListBullet2"/>
            </w:pPr>
            <w:r w:rsidRPr="00AB7100">
              <w:t>safe working practices.</w:t>
            </w:r>
          </w:p>
        </w:tc>
      </w:tr>
    </w:tbl>
    <w:p w:rsidR="00000000" w:rsidRPr="00AB7100" w:rsidP="00AB7100">
      <w:pPr>
        <w:pStyle w:val="NoPaddingFontSize1"/>
      </w:pPr>
    </w:p>
    <w:p w:rsidR="00000000" w:rsidRPr="00AB7100" w:rsidP="00AB7100">
      <w:pPr>
        <w:pStyle w:val="AllowPageBreak"/>
      </w:pPr>
    </w:p>
    <w:p w:rsidR="00000000" w:rsidRPr="00AB7100" w:rsidP="00AB7100">
      <w:pPr>
        <w:pStyle w:val="Heading1"/>
      </w:pPr>
      <w:bookmarkStart w:id="4" w:name="O_1189959"/>
      <w:bookmarkEnd w:id="4"/>
      <w:r w:rsidRPr="00AB710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00" w:rsidP="00AB7100">
            <w:pPr>
              <w:pStyle w:val="BodyText"/>
            </w:pPr>
            <w:r w:rsidRPr="00AB7100">
              <w:t xml:space="preserve">Assessments must be conducted by an assessor accredited for this HRW licence class in the Commonwealth, state or territory where the licence will be obtained (i.e. an assessor authorised by a Commonwealth, state or territory </w:t>
            </w:r>
            <w:r w:rsidRPr="00AB7100">
              <w:t>WHS/OHS regulator).</w:t>
            </w:r>
          </w:p>
          <w:p w:rsidR="00000000" w:rsidRPr="00AB7100" w:rsidP="00AB7100">
            <w:pPr>
              <w:pStyle w:val="BodyText"/>
            </w:pPr>
            <w:r w:rsidRPr="00AB7100">
              <w:t>Assessment must occur in suitable workplace operational situations where it is appropriate to do so; where this is not appropriate, assessment must occur in simulated suitable workplace operational situations that replicate workplace co</w:t>
            </w:r>
            <w:r w:rsidRPr="00AB7100">
              <w:t>nditions.</w:t>
            </w:r>
          </w:p>
          <w:p w:rsidR="00000000" w:rsidRPr="00AB7100" w:rsidP="00AB7100">
            <w:pPr>
              <w:pStyle w:val="BodyText"/>
            </w:pPr>
            <w:r w:rsidRPr="00AB7100">
              <w:t xml:space="preserve">Assessment processes and techniques must be appropriate to the language, literacy and numeracy </w:t>
            </w:r>
            <w:r w:rsidRPr="00AB7100">
              <w:t>requirements of the work being performed and the needs of the candidate.</w:t>
            </w:r>
          </w:p>
          <w:p w:rsidR="00000000" w:rsidRPr="00AB7100" w:rsidP="00AB7100">
            <w:pPr>
              <w:pStyle w:val="BodyText"/>
            </w:pPr>
            <w:r w:rsidRPr="00AB7100">
              <w:t>Assessment of performance must be undertaken in the workplace and/or under rea</w:t>
            </w:r>
            <w:r w:rsidRPr="00AB7100">
              <w:t>listic workplace conditions which typically reflect:</w:t>
            </w:r>
          </w:p>
          <w:p w:rsidR="00000000" w:rsidRPr="00AB7100" w:rsidP="00AB7100">
            <w:pPr>
              <w:pStyle w:val="ListBullet"/>
            </w:pPr>
            <w:r w:rsidRPr="00AB7100">
              <w:t xml:space="preserve">performing tasks and activities within timelines that would be expected in a workplace </w:t>
            </w:r>
          </w:p>
          <w:p w:rsidR="00000000" w:rsidRPr="00AB7100" w:rsidP="00AB7100">
            <w:pPr>
              <w:pStyle w:val="ListBullet"/>
            </w:pPr>
            <w:r w:rsidRPr="00AB7100">
              <w:t xml:space="preserve">standard and authorised work practices, safety requirements and environmental constraints </w:t>
            </w:r>
          </w:p>
          <w:p w:rsidR="00000000" w:rsidRPr="00AB7100" w:rsidP="00AB7100">
            <w:pPr>
              <w:pStyle w:val="ListBullet"/>
            </w:pPr>
            <w:r w:rsidRPr="00AB7100">
              <w:t>using full scale equipm</w:t>
            </w:r>
            <w:r w:rsidRPr="00AB7100">
              <w:t xml:space="preserve">ent </w:t>
            </w:r>
          </w:p>
          <w:p w:rsidR="00000000" w:rsidRPr="00AB7100" w:rsidP="00AB7100">
            <w:pPr>
              <w:pStyle w:val="BodyText"/>
            </w:pPr>
            <w:r w:rsidRPr="00AB7100">
              <w:t>The use of simulators in the assessment of this unit of competency is not acceptable.</w:t>
            </w:r>
          </w:p>
          <w:p w:rsidR="00000000" w:rsidRPr="00AB7100" w:rsidP="00AB7100">
            <w:pPr>
              <w:pStyle w:val="BodyText"/>
            </w:pPr>
            <w:r w:rsidRPr="00AB7100">
              <w:t>Resources for assessment must include access to:</w:t>
            </w:r>
          </w:p>
          <w:p w:rsidR="00000000" w:rsidRPr="00AB7100" w:rsidP="00AB7100">
            <w:pPr>
              <w:pStyle w:val="ListBullet"/>
            </w:pPr>
            <w:r w:rsidRPr="00AB7100">
              <w:t>a range of relevant exercises, case studies and/or other simulations</w:t>
            </w:r>
          </w:p>
          <w:p w:rsidR="00000000" w:rsidRPr="00AB7100" w:rsidP="00AB7100">
            <w:pPr>
              <w:pStyle w:val="ListBullet"/>
            </w:pPr>
            <w:r w:rsidRPr="00AB7100">
              <w:t xml:space="preserve">relevant and appropriate materials, tools and </w:t>
            </w:r>
            <w:r w:rsidRPr="00AB7100">
              <w:t>equipment and currently used in industry, including:</w:t>
            </w:r>
          </w:p>
          <w:p w:rsidR="00000000" w:rsidRPr="00AB7100" w:rsidP="00AB7100">
            <w:pPr>
              <w:pStyle w:val="ListBullet2"/>
            </w:pPr>
            <w:r w:rsidRPr="00AB7100">
              <w:t>personal protective equipment (PPE) for performance assessment</w:t>
            </w:r>
          </w:p>
          <w:p w:rsidR="00000000" w:rsidRPr="00AB7100" w:rsidP="00AB7100">
            <w:pPr>
              <w:pStyle w:val="ListBullet2"/>
            </w:pPr>
            <w:r w:rsidRPr="00AB7100">
              <w:t>appropriate safety equipment in safe condition</w:t>
            </w:r>
          </w:p>
          <w:p w:rsidR="00000000" w:rsidRPr="00AB7100" w:rsidP="00AB7100">
            <w:pPr>
              <w:pStyle w:val="ListBullet2"/>
            </w:pPr>
            <w:r w:rsidRPr="00AB7100">
              <w:t>appropriate reciprocating steam engine and associated equipment in safe condition</w:t>
            </w:r>
          </w:p>
          <w:p w:rsidR="00000000" w:rsidRPr="00AB7100" w:rsidP="00AB7100">
            <w:pPr>
              <w:pStyle w:val="ListBullet2"/>
            </w:pPr>
            <w:r w:rsidRPr="00AB7100">
              <w:t>communication equipment, as required</w:t>
            </w:r>
          </w:p>
          <w:p w:rsidR="00000000" w:rsidRPr="00AB7100" w:rsidP="00AB7100">
            <w:pPr>
              <w:pStyle w:val="ListBullet"/>
            </w:pPr>
            <w:r w:rsidRPr="00AB7100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AB7100" w:rsidP="00AB7100">
      <w:pPr>
        <w:pStyle w:val="NoPaddingFontSize1"/>
      </w:pPr>
    </w:p>
    <w:p w:rsidR="00000000" w:rsidRPr="00AB7100" w:rsidP="00AB7100">
      <w:pPr>
        <w:pStyle w:val="AllowPageBreak"/>
      </w:pPr>
    </w:p>
    <w:p w:rsidR="00000000" w:rsidRPr="00AB7100" w:rsidP="00AB7100">
      <w:pPr>
        <w:pStyle w:val="Heading1"/>
      </w:pPr>
      <w:bookmarkStart w:id="5" w:name="O_1189962"/>
      <w:bookmarkEnd w:id="5"/>
      <w:r w:rsidRPr="00AB7100">
        <w:t>Links</w:t>
      </w:r>
    </w:p>
    <w:p w:rsidR="00000000" w:rsidRPr="00AB7100" w:rsidP="00C15572">
      <w:pPr>
        <w:pStyle w:val="BodyText"/>
      </w:pPr>
      <w:r w:rsidRPr="00AB71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80F0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B7100" w:rsidP="00AB7100"/>
    <w:sectPr w:rsidSect="00AB7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00" w:rsidRPr="00C15572" w:rsidP="00C15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72" w:rsidP="00AB7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572" w:rsidP="00AB7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5572" w:rsidP="00AB7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100" w:rsidRPr="00C15572" w:rsidP="00C15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72" w:rsidRPr="002D2AF8" w:rsidP="00AB7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UEPOPL003 Licence to operate a reciprocating steam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15572" w:rsidP="00AB7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84C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DCD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22C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100"/>
  </w:style>
  <w:style w:type="character" w:customStyle="1" w:styleId="Heading1Char">
    <w:name w:val="Heading 1 Char"/>
    <w:basedOn w:val="DefaultParagraphFont"/>
    <w:link w:val="Heading1"/>
    <w:rsid w:val="00AB7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1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71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7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7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100"/>
    <w:rPr>
      <w:b/>
      <w:spacing w:val="0"/>
    </w:rPr>
  </w:style>
  <w:style w:type="paragraph" w:customStyle="1" w:styleId="SuperTitle">
    <w:name w:val="SuperTitle"/>
    <w:basedOn w:val="Title"/>
    <w:rsid w:val="00AB7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100"/>
    <w:rPr>
      <w:i/>
    </w:rPr>
  </w:style>
  <w:style w:type="paragraph" w:styleId="Caption">
    <w:name w:val="caption"/>
    <w:basedOn w:val="BodyText"/>
    <w:next w:val="Normal"/>
    <w:qFormat/>
    <w:rsid w:val="00AB7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100"/>
  </w:style>
  <w:style w:type="paragraph" w:styleId="TableofFigures">
    <w:name w:val="table of figures"/>
    <w:basedOn w:val="Normal"/>
    <w:next w:val="Normal"/>
    <w:semiHidden/>
    <w:rsid w:val="00AB7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1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7100"/>
    <w:rPr>
      <w:rFonts w:ascii="Wingdings" w:hAnsi="Wingdings"/>
    </w:rPr>
  </w:style>
  <w:style w:type="paragraph" w:customStyle="1" w:styleId="TableHeading">
    <w:name w:val="Table Heading"/>
    <w:basedOn w:val="HeadingBase"/>
    <w:rsid w:val="00AB7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100"/>
    <w:rPr>
      <w:color w:val="0033CC"/>
      <w:u w:val="none"/>
    </w:rPr>
  </w:style>
  <w:style w:type="paragraph" w:customStyle="1" w:styleId="BodyTextRight">
    <w:name w:val="Body Text Right"/>
    <w:basedOn w:val="BodyText"/>
    <w:rsid w:val="00AB7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1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100"/>
    <w:rPr>
      <w:sz w:val="32"/>
    </w:rPr>
  </w:style>
  <w:style w:type="paragraph" w:customStyle="1" w:styleId="HeadingProcedure">
    <w:name w:val="Heading Procedure"/>
    <w:basedOn w:val="HeadingBase"/>
    <w:next w:val="Normal"/>
    <w:rsid w:val="00AB7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100"/>
    <w:pPr>
      <w:spacing w:before="60" w:after="60"/>
    </w:pPr>
  </w:style>
  <w:style w:type="paragraph" w:styleId="ListContinue">
    <w:name w:val="List Continue"/>
    <w:basedOn w:val="List"/>
    <w:rsid w:val="00AB7100"/>
    <w:pPr>
      <w:ind w:firstLine="0"/>
    </w:pPr>
  </w:style>
  <w:style w:type="paragraph" w:customStyle="1" w:styleId="ListNote">
    <w:name w:val="List Note"/>
    <w:basedOn w:val="List"/>
    <w:rsid w:val="00AB7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100"/>
    <w:rPr>
      <w:rFonts w:ascii="Courier New" w:hAnsi="Courier New"/>
    </w:rPr>
  </w:style>
  <w:style w:type="paragraph" w:customStyle="1" w:styleId="NoteBullet">
    <w:name w:val="Note Bullet"/>
    <w:basedOn w:val="Note"/>
    <w:rsid w:val="00AB7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1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100"/>
    <w:rPr>
      <w:b/>
      <w:smallCaps/>
    </w:rPr>
  </w:style>
  <w:style w:type="paragraph" w:customStyle="1" w:styleId="TableListNumber">
    <w:name w:val="Table List Number"/>
    <w:basedOn w:val="ListNumber"/>
    <w:rsid w:val="00AB7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100"/>
    <w:pPr>
      <w:numPr>
        <w:numId w:val="9"/>
      </w:numPr>
    </w:pPr>
  </w:style>
  <w:style w:type="paragraph" w:customStyle="1" w:styleId="ListAlpha2">
    <w:name w:val="List Alpha 2"/>
    <w:basedOn w:val="List2"/>
    <w:rsid w:val="00AB7100"/>
    <w:pPr>
      <w:numPr>
        <w:numId w:val="8"/>
      </w:numPr>
    </w:pPr>
  </w:style>
  <w:style w:type="paragraph" w:styleId="List2">
    <w:name w:val="List 2"/>
    <w:basedOn w:val="BodyText"/>
    <w:rsid w:val="00AB7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1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1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7100"/>
    <w:pPr>
      <w:numPr>
        <w:numId w:val="4"/>
      </w:numPr>
    </w:pPr>
  </w:style>
  <w:style w:type="paragraph" w:styleId="ListContinue2">
    <w:name w:val="List Continue 2"/>
    <w:basedOn w:val="List2"/>
    <w:rsid w:val="00AB7100"/>
    <w:pPr>
      <w:ind w:firstLine="0"/>
    </w:pPr>
  </w:style>
  <w:style w:type="paragraph" w:styleId="ListContinue3">
    <w:name w:val="List Continue 3"/>
    <w:basedOn w:val="List3"/>
    <w:rsid w:val="00AB7100"/>
    <w:pPr>
      <w:ind w:left="1021" w:firstLine="0"/>
    </w:pPr>
  </w:style>
  <w:style w:type="paragraph" w:styleId="ListContinue4">
    <w:name w:val="List Continue 4"/>
    <w:basedOn w:val="List4"/>
    <w:rsid w:val="00AB7100"/>
    <w:pPr>
      <w:ind w:firstLine="0"/>
    </w:pPr>
  </w:style>
  <w:style w:type="paragraph" w:styleId="ListContinue5">
    <w:name w:val="List Continue 5"/>
    <w:basedOn w:val="List5"/>
    <w:rsid w:val="00AB7100"/>
    <w:pPr>
      <w:ind w:firstLine="0"/>
    </w:pPr>
  </w:style>
  <w:style w:type="paragraph" w:styleId="ListNumber3">
    <w:name w:val="List Number 3"/>
    <w:basedOn w:val="List3"/>
    <w:rsid w:val="00AB7100"/>
    <w:pPr>
      <w:numPr>
        <w:numId w:val="5"/>
      </w:numPr>
    </w:pPr>
  </w:style>
  <w:style w:type="paragraph" w:styleId="ListNumber4">
    <w:name w:val="List Number 4"/>
    <w:basedOn w:val="List4"/>
    <w:rsid w:val="00AB7100"/>
    <w:pPr>
      <w:numPr>
        <w:numId w:val="6"/>
      </w:numPr>
    </w:pPr>
  </w:style>
  <w:style w:type="paragraph" w:styleId="ListNumber5">
    <w:name w:val="List Number 5"/>
    <w:basedOn w:val="List5"/>
    <w:rsid w:val="00AB7100"/>
    <w:pPr>
      <w:numPr>
        <w:numId w:val="7"/>
      </w:numPr>
    </w:pPr>
  </w:style>
  <w:style w:type="paragraph" w:styleId="BlockText">
    <w:name w:val="Block Text"/>
    <w:basedOn w:val="Normal"/>
    <w:rsid w:val="00AB7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100"/>
    <w:rPr>
      <w:sz w:val="16"/>
      <w:vertAlign w:val="superscript"/>
    </w:rPr>
  </w:style>
  <w:style w:type="character" w:customStyle="1" w:styleId="Symbols">
    <w:name w:val="Symbols"/>
    <w:basedOn w:val="DefaultParagraphFont"/>
    <w:rsid w:val="00AB7100"/>
    <w:rPr>
      <w:rFonts w:ascii="Symbol" w:hAnsi="Symbol"/>
    </w:rPr>
  </w:style>
  <w:style w:type="character" w:customStyle="1" w:styleId="MenuOptions">
    <w:name w:val="Menu Options"/>
    <w:basedOn w:val="DefaultParagraphFont"/>
    <w:rsid w:val="00AB7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100"/>
    <w:rPr>
      <w:b/>
    </w:rPr>
  </w:style>
  <w:style w:type="character" w:customStyle="1" w:styleId="Underlined">
    <w:name w:val="Underlined"/>
    <w:basedOn w:val="DefaultParagraphFont"/>
    <w:rsid w:val="00AB7100"/>
    <w:rPr>
      <w:u w:val="single"/>
    </w:rPr>
  </w:style>
  <w:style w:type="paragraph" w:customStyle="1" w:styleId="TableBodyTextRight">
    <w:name w:val="Table Body Text Right"/>
    <w:basedOn w:val="TableBodyText"/>
    <w:rsid w:val="00AB7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100"/>
    <w:rPr>
      <w:sz w:val="18"/>
    </w:rPr>
  </w:style>
  <w:style w:type="paragraph" w:customStyle="1" w:styleId="BodySmallRight">
    <w:name w:val="Body Small Right"/>
    <w:basedOn w:val="BodyTextRight"/>
    <w:rsid w:val="00AB7100"/>
    <w:rPr>
      <w:sz w:val="18"/>
      <w:szCs w:val="18"/>
    </w:rPr>
  </w:style>
  <w:style w:type="paragraph" w:customStyle="1" w:styleId="MarginEdition">
    <w:name w:val="Margin Edition"/>
    <w:basedOn w:val="MarginNote"/>
    <w:rsid w:val="00AB7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100"/>
    <w:rPr>
      <w:sz w:val="2"/>
      <w:szCs w:val="2"/>
    </w:rPr>
  </w:style>
  <w:style w:type="character" w:customStyle="1" w:styleId="Small">
    <w:name w:val="Small"/>
    <w:basedOn w:val="DefaultParagraphFont"/>
    <w:rsid w:val="00AB7100"/>
    <w:rPr>
      <w:sz w:val="16"/>
    </w:rPr>
  </w:style>
  <w:style w:type="paragraph" w:customStyle="1" w:styleId="WideTable">
    <w:name w:val="Wide Table"/>
    <w:basedOn w:val="Normal"/>
    <w:rsid w:val="00AB7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100"/>
  </w:style>
  <w:style w:type="paragraph" w:styleId="Quote">
    <w:name w:val="Quote"/>
    <w:basedOn w:val="Heading1"/>
    <w:link w:val="QuoteChar"/>
    <w:qFormat/>
    <w:rsid w:val="00AB7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100"/>
    <w:pPr>
      <w:pageBreakBefore/>
    </w:pPr>
  </w:style>
  <w:style w:type="paragraph" w:customStyle="1" w:styleId="Border">
    <w:name w:val="Border"/>
    <w:basedOn w:val="Normal"/>
    <w:qFormat/>
    <w:rsid w:val="00AB7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100"/>
    <w:rPr>
      <w:u w:val="single"/>
    </w:rPr>
  </w:style>
  <w:style w:type="character" w:customStyle="1" w:styleId="BoldandItalics">
    <w:name w:val="Bold and Italics"/>
    <w:qFormat/>
    <w:rsid w:val="00AB7100"/>
    <w:rPr>
      <w:b/>
      <w:i/>
      <w:u w:val="none"/>
    </w:rPr>
  </w:style>
  <w:style w:type="paragraph" w:styleId="BalloonText">
    <w:name w:val="Balloon Text"/>
    <w:basedOn w:val="Normal"/>
    <w:link w:val="BalloonTextChar"/>
    <w:rsid w:val="00AB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100"/>
    <w:pPr>
      <w:spacing w:before="0" w:after="0"/>
    </w:pPr>
  </w:style>
  <w:style w:type="paragraph" w:customStyle="1" w:styleId="BodyTextBold">
    <w:name w:val="Body Text Bold"/>
    <w:basedOn w:val="BodyText"/>
    <w:qFormat/>
    <w:rsid w:val="00AB7100"/>
    <w:rPr>
      <w:b/>
    </w:rPr>
  </w:style>
  <w:style w:type="character" w:styleId="Hyperlink">
    <w:name w:val="Hyperlink"/>
    <w:basedOn w:val="DefaultParagraphFont"/>
    <w:uiPriority w:val="99"/>
    <w:unhideWhenUsed/>
    <w:rsid w:val="00C15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5318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UEPOPL003 Licence to operate a reciprocating steam engine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