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3802" w:rsidP="00B038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UEPMNT450 Test and commission wind turbine generators</w:t>
      </w:r>
      <w:r>
        <w:fldChar w:fldCharType="end"/>
      </w:r>
    </w:p>
    <w:p w:rsidR="00B03802" w:rsidP="00B03802">
      <w:pPr>
        <w:pStyle w:val="Version"/>
        <w:sectPr w:rsidSect="007706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066E" w:rsidP="0077066E">
      <w:pPr>
        <w:pStyle w:val="SuperHeading"/>
      </w:pPr>
      <w:r w:rsidRPr="0077066E">
        <w:t>UEPMNT450 Test and commission wind turbine generators</w:t>
      </w:r>
    </w:p>
    <w:p w:rsidR="00000000" w:rsidRPr="0077066E" w:rsidP="0077066E">
      <w:pPr>
        <w:pStyle w:val="Heading1"/>
      </w:pPr>
      <w:bookmarkStart w:id="1" w:name="O_981999"/>
      <w:bookmarkEnd w:id="1"/>
      <w:r w:rsidRPr="0077066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6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 w:rsidP="0077066E">
            <w:pPr>
              <w:pStyle w:val="BodyText"/>
            </w:pPr>
            <w:r w:rsidRPr="0077066E">
              <w:rPr>
                <w:rStyle w:val="SpecialBold"/>
              </w:rPr>
              <w:t>Release 1</w:t>
            </w:r>
            <w:r w:rsidRPr="0077066E">
              <w:t>. This is the first release of this unit of competency in the UEP Generation Training Package.</w:t>
            </w:r>
          </w:p>
        </w:tc>
      </w:tr>
    </w:tbl>
    <w:p w:rsidR="00000000" w:rsidRPr="0077066E" w:rsidP="0077066E">
      <w:pPr>
        <w:pStyle w:val="NoPaddingFontSize1"/>
      </w:pPr>
    </w:p>
    <w:p w:rsidR="00000000" w:rsidRPr="0077066E" w:rsidP="0077066E">
      <w:pPr>
        <w:pStyle w:val="AllowPageBreak"/>
      </w:pPr>
    </w:p>
    <w:p w:rsidR="00000000" w:rsidRPr="0077066E" w:rsidP="0077066E">
      <w:pPr>
        <w:pStyle w:val="Heading1"/>
      </w:pPr>
      <w:bookmarkStart w:id="2" w:name="O_982000"/>
      <w:bookmarkEnd w:id="2"/>
      <w:r w:rsidRPr="0077066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6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 w:rsidP="0077066E">
            <w:pPr>
              <w:pStyle w:val="BodyText"/>
            </w:pPr>
            <w:r w:rsidRPr="0077066E">
              <w:t>This unit involves the skills and knowledge required to conduct testing and commissi</w:t>
            </w:r>
            <w:r w:rsidRPr="0077066E">
              <w:t xml:space="preserve">oning of a wind turbine generator. </w:t>
            </w:r>
          </w:p>
          <w:p w:rsidR="00000000" w:rsidRPr="0077066E" w:rsidP="0077066E">
            <w:pPr>
              <w:pStyle w:val="BodyText"/>
            </w:pPr>
            <w:r w:rsidRPr="0077066E">
              <w:t>Testing and commissioning of wind turbine generators includes the assessment and verification that all equipment and components are operating efficiently and are meeting operational requirements.</w:t>
            </w:r>
          </w:p>
          <w:p w:rsidR="00000000" w:rsidRPr="0077066E" w:rsidP="0077066E">
            <w:pPr>
              <w:pStyle w:val="BodyText"/>
            </w:pPr>
            <w:r w:rsidRPr="0077066E">
              <w:t xml:space="preserve">Competency in this unit </w:t>
            </w:r>
            <w:r w:rsidRPr="0077066E">
              <w:t xml:space="preserve">requires the ability to plan work, test systems equipment, test system and complete all work tasks. Individuals will, in general, work under supervision in an electrical, electronic and/or mechanical equipment repair workshop or on site. </w:t>
            </w:r>
          </w:p>
          <w:p w:rsidR="00000000" w:rsidRPr="0077066E" w:rsidP="0077066E">
            <w:pPr>
              <w:pStyle w:val="BodyText"/>
            </w:pPr>
            <w:r w:rsidRPr="0077066E">
              <w:t xml:space="preserve">Power generation </w:t>
            </w:r>
            <w:r w:rsidRPr="0077066E">
              <w:t>maintenance personnel are typically trained and authorised to receive permits to work.</w:t>
            </w:r>
          </w:p>
          <w:p w:rsidR="00000000" w:rsidRPr="0077066E" w:rsidP="0077066E">
            <w:pPr>
              <w:pStyle w:val="BodyText"/>
            </w:pPr>
            <w:r w:rsidRPr="0077066E">
              <w:t>No licensing, legislative or certification requirements apply to this unit at the time of publication.</w:t>
            </w:r>
          </w:p>
          <w:p w:rsidR="00000000" w:rsidRPr="0077066E" w:rsidP="0077066E">
            <w:pPr>
              <w:pStyle w:val="BodyText"/>
            </w:pPr>
            <w:r w:rsidRPr="0077066E">
              <w:rPr>
                <w:rStyle w:val="SpecialBold"/>
              </w:rPr>
              <w:t>Note: Workplace practice</w:t>
            </w:r>
          </w:p>
          <w:p w:rsidR="00000000" w:rsidRPr="0077066E" w:rsidP="0077066E">
            <w:pPr>
              <w:pStyle w:val="BodyText"/>
            </w:pPr>
            <w:r w:rsidRPr="0077066E">
              <w:t>The application of the skills and knowled</w:t>
            </w:r>
            <w:r w:rsidRPr="0077066E">
              <w:t>ge described in this unit of competency may require a licence or training permit to practice in the workplace, where work is carried out on gas and electrical installations. Additional and/or other conditions may apply under state and territory legislative</w:t>
            </w:r>
            <w:r w:rsidRPr="0077066E">
              <w:t xml:space="preserve"> and regulatory licensing requirements. </w:t>
            </w:r>
          </w:p>
        </w:tc>
      </w:tr>
    </w:tbl>
    <w:p w:rsidR="00000000" w:rsidRPr="0077066E" w:rsidP="0077066E">
      <w:pPr>
        <w:pStyle w:val="NoPaddingFontSize1"/>
      </w:pPr>
    </w:p>
    <w:p w:rsidR="00000000" w:rsidRPr="0077066E" w:rsidP="0077066E">
      <w:pPr>
        <w:pStyle w:val="AllowPageBreak"/>
      </w:pPr>
    </w:p>
    <w:p w:rsidR="00000000" w:rsidRPr="0077066E" w:rsidP="0077066E">
      <w:pPr>
        <w:pStyle w:val="Heading1"/>
      </w:pPr>
      <w:bookmarkStart w:id="3" w:name="O_982001"/>
      <w:bookmarkEnd w:id="3"/>
      <w:r w:rsidRPr="0077066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6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 w:rsidP="0077066E">
            <w:pPr>
              <w:pStyle w:val="BodyText"/>
            </w:pPr>
            <w:r w:rsidRPr="0077066E">
              <w:t>UEPMNT371 Maintain large scale wind turbine generators</w:t>
            </w:r>
          </w:p>
          <w:p w:rsidR="00000000" w:rsidRPr="0077066E" w:rsidP="0077066E">
            <w:pPr>
              <w:pStyle w:val="BodyText"/>
            </w:pPr>
            <w:r w:rsidRPr="0077066E">
              <w:t>UEPMNT444 Maintain wind turbine generator mechanical systems</w:t>
            </w:r>
          </w:p>
          <w:p w:rsidR="00000000" w:rsidRPr="0077066E" w:rsidP="0077066E">
            <w:pPr>
              <w:pStyle w:val="BodyText"/>
            </w:pPr>
            <w:r w:rsidRPr="0077066E">
              <w:t>UEPMNT443 Maintain wind turbine generator control systems</w:t>
            </w:r>
          </w:p>
          <w:p w:rsidR="00000000" w:rsidRPr="0077066E" w:rsidP="0077066E">
            <w:pPr>
              <w:pStyle w:val="BodyText"/>
            </w:pPr>
            <w:r w:rsidRPr="0077066E">
              <w:t>UEP</w:t>
            </w:r>
            <w:r w:rsidRPr="0077066E">
              <w:t>MNT448 Diagnose and repair faults in wind turbine generator control systems</w:t>
            </w:r>
          </w:p>
          <w:p w:rsidR="00000000" w:rsidRPr="0077066E" w:rsidP="0077066E">
            <w:pPr>
              <w:pStyle w:val="BodyText"/>
            </w:pPr>
            <w:r w:rsidRPr="0077066E">
              <w:t>UEPMNT449 Diagnose and repair mechanical systems faults in wind turbine generators</w:t>
            </w:r>
          </w:p>
          <w:p w:rsidR="00000000" w:rsidRPr="0077066E" w:rsidP="0077066E">
            <w:pPr>
              <w:pStyle w:val="BodyText"/>
            </w:pPr>
            <w:r w:rsidRPr="0077066E">
              <w:t>UEPMNT445 Diagnose and repair faults in large scale wind turbine generators</w:t>
            </w:r>
          </w:p>
          <w:p w:rsidR="00000000" w:rsidRPr="0077066E" w:rsidP="0077066E">
            <w:pPr>
              <w:pStyle w:val="BodyText"/>
            </w:pPr>
            <w:r w:rsidRPr="0077066E">
              <w:t>UEENEEG108A Troubleshoot and repair faults in low voltage electrical apparatus and circuits</w:t>
            </w:r>
          </w:p>
          <w:p w:rsidR="00000000" w:rsidRPr="0077066E" w:rsidP="0077066E">
            <w:pPr>
              <w:pStyle w:val="BodyText"/>
            </w:pPr>
            <w:r w:rsidRPr="0077066E">
              <w:t>UEENEEE102A Fabricate, assemble and dismantle utilities industry components</w:t>
            </w:r>
          </w:p>
          <w:p w:rsidR="00000000" w:rsidRPr="0077066E" w:rsidP="0077066E">
            <w:pPr>
              <w:pStyle w:val="BodyText"/>
            </w:pPr>
            <w:r w:rsidRPr="0077066E">
              <w:t>UEENEEE104A Solve problems in D.C. circuits</w:t>
            </w:r>
          </w:p>
          <w:p w:rsidR="00000000" w:rsidRPr="0077066E" w:rsidP="0077066E">
            <w:pPr>
              <w:pStyle w:val="BodyText"/>
            </w:pPr>
            <w:r w:rsidRPr="0077066E">
              <w:t>UEENEEE105A Fix and secure electrotechnology</w:t>
            </w:r>
            <w:r w:rsidRPr="0077066E">
              <w:t xml:space="preserve"> equipment</w:t>
            </w:r>
          </w:p>
          <w:p w:rsidR="00000000" w:rsidRPr="0077066E" w:rsidP="0077066E">
            <w:pPr>
              <w:pStyle w:val="BodyText"/>
            </w:pPr>
            <w:r w:rsidRPr="0077066E">
              <w:t>UEENEEE107A Use drawings, diagrams, schedules, standards, codes and specifications</w:t>
            </w:r>
          </w:p>
          <w:p w:rsidR="00000000" w:rsidRPr="0077066E" w:rsidP="0077066E">
            <w:pPr>
              <w:pStyle w:val="BodyText"/>
            </w:pPr>
            <w:r w:rsidRPr="0077066E">
              <w:t>UEENEEG006A Solve problems in single and three phase low voltage machines</w:t>
            </w:r>
          </w:p>
          <w:p w:rsidR="00000000" w:rsidRPr="0077066E" w:rsidP="0077066E">
            <w:pPr>
              <w:pStyle w:val="BodyText"/>
            </w:pPr>
            <w:r w:rsidRPr="0077066E">
              <w:t>UEENEEG033A Solve problems in single and three phase low voltage electrical apparatus an</w:t>
            </w:r>
            <w:r w:rsidRPr="0077066E">
              <w:t>d circuits</w:t>
            </w:r>
          </w:p>
          <w:p w:rsidR="00000000" w:rsidRPr="0077066E" w:rsidP="0077066E">
            <w:pPr>
              <w:pStyle w:val="BodyText"/>
            </w:pPr>
            <w:r w:rsidRPr="0077066E">
              <w:t>UEENEEG063A Arrange circuits, control and protection for general electrical installations</w:t>
            </w:r>
          </w:p>
          <w:p w:rsidR="00000000" w:rsidRPr="0077066E" w:rsidP="0077066E">
            <w:pPr>
              <w:pStyle w:val="BodyText"/>
            </w:pPr>
            <w:r w:rsidRPr="0077066E">
              <w:t>UEENEEG101A Solve problems in electromagnetic devices and related circuits</w:t>
            </w:r>
          </w:p>
          <w:p w:rsidR="00000000" w:rsidRPr="0077066E" w:rsidP="0077066E">
            <w:pPr>
              <w:pStyle w:val="BodyText"/>
            </w:pPr>
            <w:r w:rsidRPr="0077066E">
              <w:t>UEENEEG102A Solve problems in low voltage A.C. circuits</w:t>
            </w:r>
          </w:p>
          <w:p w:rsidR="00000000" w:rsidRPr="0077066E" w:rsidP="0077066E">
            <w:pPr>
              <w:pStyle w:val="BodyText"/>
            </w:pPr>
            <w:r w:rsidRPr="0077066E">
              <w:t>UEENEEG106A Terminate ca</w:t>
            </w:r>
            <w:r w:rsidRPr="0077066E">
              <w:t xml:space="preserve">bles, cords and accessories for </w:t>
            </w:r>
          </w:p>
        </w:tc>
      </w:tr>
    </w:tbl>
    <w:p w:rsidR="00000000" w:rsidRPr="0077066E" w:rsidP="0077066E">
      <w:pPr>
        <w:pStyle w:val="NoPaddingFontSize1"/>
      </w:pPr>
    </w:p>
    <w:p w:rsidR="00000000" w:rsidRPr="0077066E" w:rsidP="0077066E">
      <w:pPr>
        <w:pStyle w:val="AllowPageBreak"/>
      </w:pPr>
    </w:p>
    <w:p w:rsidR="00000000" w:rsidRPr="0077066E" w:rsidP="0077066E">
      <w:pPr>
        <w:pStyle w:val="Heading1"/>
      </w:pPr>
      <w:bookmarkStart w:id="4" w:name="O_982002"/>
      <w:bookmarkEnd w:id="4"/>
      <w:r w:rsidRPr="0077066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6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 w:rsidP="0077066E">
            <w:pPr>
              <w:pStyle w:val="BodyText"/>
            </w:pPr>
            <w:r w:rsidRPr="0077066E">
              <w:t>Maintenance</w:t>
            </w:r>
          </w:p>
        </w:tc>
      </w:tr>
    </w:tbl>
    <w:p w:rsidR="00000000" w:rsidRPr="0077066E" w:rsidP="0077066E">
      <w:pPr>
        <w:pStyle w:val="NoPaddingFontSize1"/>
      </w:pPr>
    </w:p>
    <w:p w:rsidR="00000000" w:rsidRPr="0077066E" w:rsidP="0077066E">
      <w:pPr>
        <w:pStyle w:val="AllowPageBreak"/>
      </w:pPr>
    </w:p>
    <w:p w:rsidR="00000000" w:rsidRPr="0077066E" w:rsidP="0077066E">
      <w:pPr>
        <w:pStyle w:val="Heading1"/>
      </w:pPr>
      <w:bookmarkStart w:id="5" w:name="O_982003"/>
      <w:bookmarkEnd w:id="5"/>
      <w:r w:rsidRPr="0077066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6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 w:rsidP="0077066E">
            <w:pPr>
              <w:pStyle w:val="BodyText"/>
            </w:pPr>
            <w:r w:rsidRPr="0077066E">
              <w:t>Electricity generation</w:t>
            </w:r>
          </w:p>
        </w:tc>
      </w:tr>
    </w:tbl>
    <w:p w:rsidR="00000000" w:rsidRPr="0077066E" w:rsidP="0077066E">
      <w:pPr>
        <w:pStyle w:val="NoPaddingFontSize1"/>
      </w:pPr>
    </w:p>
    <w:p w:rsidR="00000000" w:rsidRPr="0077066E" w:rsidP="0077066E">
      <w:pPr>
        <w:pStyle w:val="AllowPageBreak"/>
      </w:pPr>
    </w:p>
    <w:p w:rsidR="00000000" w:rsidRPr="0077066E" w:rsidP="0077066E">
      <w:pPr>
        <w:pStyle w:val="Heading1"/>
      </w:pPr>
      <w:bookmarkStart w:id="6" w:name="O_982004"/>
      <w:bookmarkEnd w:id="6"/>
      <w:r w:rsidRPr="0077066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706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 w:rsidP="0077066E">
            <w:pPr>
              <w:pStyle w:val="BodyText"/>
            </w:pPr>
            <w:r w:rsidRPr="0077066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rPr>
                <w:rStyle w:val="SpecialBold"/>
              </w:rPr>
              <w:t>PERFORMANCE CRITERIA</w:t>
            </w:r>
          </w:p>
        </w:tc>
      </w:tr>
      <w:tr w:rsidTr="007706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t>Performance criteria describe the performance needed to demonstrate achievement of the element.</w:t>
            </w:r>
          </w:p>
        </w:tc>
      </w:tr>
      <w:tr w:rsidTr="007706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 w:rsidP="0077066E">
            <w:pPr>
              <w:pStyle w:val="BodyText"/>
            </w:pPr>
            <w:r w:rsidRPr="0077066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 w:rsidP="0077066E">
            <w:pPr>
              <w:pStyle w:val="BodyText"/>
            </w:pPr>
            <w:r w:rsidRPr="0077066E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7706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t>Work, Health and Safety (WHS)/Occupational Health and Safety (OHS) regulat</w:t>
            </w:r>
            <w:r w:rsidRPr="0077066E">
              <w:t xml:space="preserve">ions, legislative requirements, industry standards, codes of practice, manufacturers’ specifications, environmental obligations and workplace procedures are reviewed in preparation for work </w:t>
            </w:r>
          </w:p>
        </w:tc>
      </w:tr>
      <w:tr w:rsidTr="007706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t>Resources are obtained and inspected for compliance with j</w:t>
            </w:r>
            <w:r w:rsidRPr="0077066E">
              <w:t>ob specification</w:t>
            </w:r>
          </w:p>
        </w:tc>
      </w:tr>
      <w:tr w:rsidTr="007706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t xml:space="preserve">Relevant plans, drawings and manuals are selected and used, in accordance with workplace procedures </w:t>
            </w:r>
          </w:p>
        </w:tc>
      </w:tr>
      <w:tr w:rsidTr="007706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t xml:space="preserve">Correct materials and components for work are   obtained and inspected for compliance with job </w:t>
            </w:r>
            <w:r w:rsidRPr="0077066E">
              <w:t>specification</w:t>
            </w:r>
          </w:p>
        </w:tc>
      </w:tr>
      <w:tr w:rsidTr="007706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t xml:space="preserve">Commissioning is planned, sequenced and prioritised, in accordance with workplace procedures </w:t>
            </w:r>
          </w:p>
        </w:tc>
      </w:tr>
      <w:tr w:rsidTr="007706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t>Potential hazards are identified and risk control measures are implemented, in accordance with workplace procedures</w:t>
            </w:r>
          </w:p>
        </w:tc>
      </w:tr>
      <w:tr w:rsidTr="007706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t>Work area is accessed and prepar</w:t>
            </w:r>
            <w:r w:rsidRPr="0077066E">
              <w:t>ed, in accordance with workplace procedures</w:t>
            </w:r>
          </w:p>
        </w:tc>
      </w:tr>
      <w:tr w:rsidTr="007706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 w:rsidP="0077066E">
            <w:pPr>
              <w:pStyle w:val="BodyText"/>
            </w:pPr>
            <w:r w:rsidRPr="0077066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 w:rsidP="0077066E">
            <w:pPr>
              <w:pStyle w:val="BodyText"/>
            </w:pPr>
            <w:r w:rsidRPr="0077066E">
              <w:rPr>
                <w:rStyle w:val="SpecialBold"/>
              </w:rPr>
              <w:t>Test systems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t xml:space="preserve">Isolations are confirmed, where appropriate, in accordance with workplace procedures </w:t>
            </w:r>
          </w:p>
        </w:tc>
      </w:tr>
      <w:tr w:rsidTr="007706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t xml:space="preserve">Wind turbine generator system equipment </w:t>
            </w:r>
            <w:r w:rsidRPr="0077066E">
              <w:t>is visually inspected to ensure absence of any damage, defects and deterioration, in accordance with workplace procedures and commissioning plan</w:t>
            </w:r>
          </w:p>
        </w:tc>
      </w:tr>
      <w:tr w:rsidTr="007706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t>Wind turbine generator system equipment is tested, in conjunction with other related systems and equipme</w:t>
            </w:r>
            <w:r w:rsidRPr="0077066E">
              <w:t>nt, to ensure correct operation, in accordance with workplace procedures and commissioning plan</w:t>
            </w:r>
          </w:p>
        </w:tc>
      </w:tr>
      <w:tr w:rsidTr="007706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t>Wind turbine generator wiring systems are checked and tested, in conjunction with other related systems and equipment, in accordance with workplace proce</w:t>
            </w:r>
            <w:r w:rsidRPr="0077066E">
              <w:t>dures and commissioning plan</w:t>
            </w:r>
          </w:p>
        </w:tc>
      </w:tr>
      <w:tr w:rsidTr="007706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 w:rsidP="0077066E">
            <w:pPr>
              <w:pStyle w:val="BodyText"/>
            </w:pPr>
            <w:r w:rsidRPr="0077066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 w:rsidP="0077066E">
            <w:pPr>
              <w:pStyle w:val="BodyText"/>
            </w:pPr>
            <w:r w:rsidRPr="0077066E">
              <w:rPr>
                <w:rStyle w:val="SpecialBold"/>
              </w:rPr>
              <w:t>Test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t xml:space="preserve">Isolations are confirmed, where appropriate, in accordance with workplace procedures </w:t>
            </w:r>
          </w:p>
        </w:tc>
      </w:tr>
      <w:tr w:rsidTr="007706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t>Wind turbine generator system, plant and equipment are set up and calibrated, in accordance with workplace procedures, operational requirements and manufacturers</w:t>
            </w:r>
            <w:r>
              <w:t>’</w:t>
            </w:r>
            <w:r w:rsidRPr="0077066E">
              <w:t xml:space="preserve"> specifications</w:t>
            </w:r>
          </w:p>
        </w:tc>
      </w:tr>
      <w:tr w:rsidTr="007706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t xml:space="preserve">Wind turbine generator system is commissioned using appropriate plans, </w:t>
            </w:r>
            <w:r w:rsidRPr="0077066E">
              <w:t>drawings and manuals, in accordance with workplace procedures and commissioning plan</w:t>
            </w:r>
          </w:p>
        </w:tc>
      </w:tr>
      <w:tr w:rsidTr="007706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rPr>
                <w:rStyle w:val="SpecialBold"/>
              </w:rPr>
              <w:t>3.</w:t>
            </w:r>
            <w:r w:rsidRPr="0077066E">
              <w:t>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t>Wind turbine generator system is commissioned, in conjunction with other related systems and equipment, in accordance with workplace procedures and commissioning pl</w:t>
            </w:r>
            <w:r w:rsidRPr="0077066E">
              <w:t>an</w:t>
            </w:r>
          </w:p>
        </w:tc>
      </w:tr>
      <w:tr w:rsidTr="007706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t>Wind turbine generator equipment is commissioned, in accordance with workplace procedures and commissioning plan</w:t>
            </w:r>
          </w:p>
        </w:tc>
      </w:tr>
      <w:tr w:rsidTr="007706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t>Faulty wind turbine generator equipment is repaired or reported, in accordance with workplace procedures</w:t>
            </w:r>
          </w:p>
        </w:tc>
      </w:tr>
      <w:tr w:rsidTr="007706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t>Final inspection is carried out, in accordance with workplace procedures and commissioning plan</w:t>
            </w:r>
          </w:p>
        </w:tc>
      </w:tr>
      <w:tr w:rsidTr="007706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 w:rsidP="0077066E">
            <w:pPr>
              <w:pStyle w:val="BodyText"/>
            </w:pPr>
            <w:r w:rsidRPr="0077066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 w:rsidP="0077066E">
            <w:pPr>
              <w:pStyle w:val="BodyText"/>
            </w:pPr>
            <w:r w:rsidRPr="0077066E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t xml:space="preserve">Wind turbine generator commissioning is completed and appropriate personnel are notified, in accordance with workplace procedures </w:t>
            </w:r>
          </w:p>
        </w:tc>
      </w:tr>
      <w:tr w:rsidTr="007706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t>W</w:t>
            </w:r>
            <w:r w:rsidRPr="0077066E">
              <w:t>ork area is cleared of waste, cleaned, restored and secured, in accordance with workplace procedures</w:t>
            </w:r>
          </w:p>
        </w:tc>
      </w:tr>
      <w:tr w:rsidTr="007706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t>Tools and equipment are maintained and stored, in accordance with workplace procedures</w:t>
            </w:r>
          </w:p>
        </w:tc>
      </w:tr>
      <w:tr w:rsidTr="007706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66E">
            <w:pPr>
              <w:pStyle w:val="BodyText"/>
              <w:rPr>
                <w:lang w:val="en-NZ"/>
              </w:rPr>
            </w:pPr>
            <w:r w:rsidRPr="0077066E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 w:rsidP="0077066E">
            <w:pPr>
              <w:pStyle w:val="BodyText"/>
            </w:pPr>
            <w:r w:rsidRPr="0077066E">
              <w:t>Work completion details are finalised, in accordance with workplace procedures</w:t>
            </w:r>
          </w:p>
        </w:tc>
      </w:tr>
    </w:tbl>
    <w:p w:rsidR="00000000" w:rsidRPr="0077066E" w:rsidP="0077066E">
      <w:pPr>
        <w:pStyle w:val="NoPaddingFontSize1"/>
      </w:pPr>
    </w:p>
    <w:p w:rsidR="00000000" w:rsidRPr="0077066E" w:rsidP="0077066E">
      <w:pPr>
        <w:pStyle w:val="AllowPageBreak"/>
      </w:pPr>
    </w:p>
    <w:p w:rsidR="00000000" w:rsidRPr="0077066E" w:rsidP="0077066E">
      <w:pPr>
        <w:pStyle w:val="Heading1"/>
      </w:pPr>
      <w:bookmarkStart w:id="7" w:name="O_982005"/>
      <w:bookmarkEnd w:id="7"/>
      <w:r w:rsidRPr="0077066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6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 w:rsidP="0077066E">
            <w:pPr>
              <w:pStyle w:val="BodyText"/>
            </w:pPr>
            <w:r w:rsidRPr="0077066E">
              <w:t>Foundation skills essential to performance are explicit in the performance criteria of this unit of competency.</w:t>
            </w:r>
          </w:p>
        </w:tc>
      </w:tr>
    </w:tbl>
    <w:p w:rsidR="00000000" w:rsidRPr="0077066E" w:rsidP="0077066E">
      <w:pPr>
        <w:pStyle w:val="NoPaddingFontSize1"/>
      </w:pPr>
    </w:p>
    <w:p w:rsidR="00000000" w:rsidRPr="0077066E" w:rsidP="0077066E">
      <w:pPr>
        <w:pStyle w:val="AllowPageBreak"/>
      </w:pPr>
    </w:p>
    <w:p w:rsidR="00000000" w:rsidRPr="0077066E" w:rsidP="0077066E">
      <w:pPr>
        <w:pStyle w:val="Heading1"/>
      </w:pPr>
      <w:bookmarkStart w:id="8" w:name="O_982006"/>
      <w:bookmarkEnd w:id="8"/>
      <w:r w:rsidRPr="0077066E">
        <w:t xml:space="preserve">Range of </w:t>
      </w:r>
      <w:r w:rsidRPr="0077066E">
        <w:t>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6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 w:rsidP="0077066E">
            <w:pPr>
              <w:pStyle w:val="BodyText"/>
            </w:pPr>
            <w:r w:rsidRPr="0077066E">
              <w:t>Range is restricted to essential operating conditions and any other variables essential to the work environment.</w:t>
            </w:r>
          </w:p>
          <w:p w:rsidR="00000000" w:rsidRPr="0077066E" w:rsidP="0077066E">
            <w:pPr>
              <w:pStyle w:val="BodyText"/>
            </w:pPr>
            <w:r w:rsidRPr="0077066E">
              <w:t>Non-essential conditions may be found in the Companion Volume Implementation Guide.</w:t>
            </w:r>
          </w:p>
        </w:tc>
      </w:tr>
    </w:tbl>
    <w:p w:rsidR="00000000" w:rsidRPr="0077066E" w:rsidP="0077066E">
      <w:pPr>
        <w:pStyle w:val="NoPaddingFontSize1"/>
      </w:pPr>
    </w:p>
    <w:p w:rsidR="00000000" w:rsidRPr="0077066E" w:rsidP="0077066E">
      <w:pPr>
        <w:pStyle w:val="AllowPageBreak"/>
      </w:pPr>
    </w:p>
    <w:p w:rsidR="00000000" w:rsidRPr="0077066E" w:rsidP="0077066E">
      <w:pPr>
        <w:pStyle w:val="Heading1"/>
      </w:pPr>
      <w:bookmarkStart w:id="9" w:name="O_982007"/>
      <w:bookmarkEnd w:id="9"/>
      <w:r w:rsidRPr="0077066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06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66E" w:rsidP="0077066E">
            <w:pPr>
              <w:pStyle w:val="BodyText"/>
            </w:pPr>
            <w:r w:rsidRPr="0077066E">
              <w:t>This unit replaces and is equivalent to UEPMNT450A Test and commission wind turbine generators.</w:t>
            </w:r>
          </w:p>
        </w:tc>
      </w:tr>
    </w:tbl>
    <w:p w:rsidR="00000000" w:rsidRPr="0077066E" w:rsidP="0077066E">
      <w:pPr>
        <w:pStyle w:val="NoPaddingFontSize1"/>
      </w:pPr>
    </w:p>
    <w:p w:rsidR="00000000" w:rsidRPr="0077066E" w:rsidP="0077066E">
      <w:pPr>
        <w:pStyle w:val="AllowPageBreak"/>
      </w:pPr>
    </w:p>
    <w:p w:rsidR="00000000" w:rsidRPr="0077066E" w:rsidP="0077066E">
      <w:pPr>
        <w:pStyle w:val="Heading1"/>
      </w:pPr>
      <w:bookmarkStart w:id="10" w:name="O_982014"/>
      <w:bookmarkEnd w:id="10"/>
      <w:r w:rsidRPr="0077066E">
        <w:t>Links</w:t>
      </w:r>
    </w:p>
    <w:p w:rsidR="00000000" w:rsidRPr="0077066E" w:rsidP="00B03802">
      <w:pPr>
        <w:pStyle w:val="BodyText"/>
      </w:pPr>
      <w:r w:rsidRPr="007706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528B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7066E" w:rsidP="0077066E"/>
    <w:sectPr w:rsidSect="007706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6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66E" w:rsidRPr="00B03802" w:rsidP="00B038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6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802" w:rsidP="007706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3802" w:rsidP="007706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03802" w:rsidP="007706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6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8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066E" w:rsidRPr="00B03802" w:rsidP="00B038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6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802" w:rsidRPr="002D2AF8" w:rsidP="007706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UEPMNT450 Test and commission wind turbine generators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B03802" w:rsidP="007706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6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06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06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06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06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06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06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06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06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06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06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066E"/>
  </w:style>
  <w:style w:type="character" w:customStyle="1" w:styleId="Heading1Char">
    <w:name w:val="Heading 1 Char"/>
    <w:basedOn w:val="DefaultParagraphFont"/>
    <w:link w:val="Heading1"/>
    <w:rsid w:val="007706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06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066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7066E"/>
    <w:rPr>
      <w:b/>
      <w:spacing w:val="0"/>
    </w:rPr>
  </w:style>
  <w:style w:type="paragraph" w:customStyle="1" w:styleId="SuperHeading">
    <w:name w:val="SuperHeading"/>
    <w:basedOn w:val="Normal"/>
    <w:rsid w:val="007706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06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706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06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06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06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06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06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06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06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06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06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06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06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06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06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06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06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06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06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06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066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706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06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06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06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066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06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06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06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06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06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06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06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06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06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066E"/>
    <w:rPr>
      <w:i/>
    </w:rPr>
  </w:style>
  <w:style w:type="paragraph" w:styleId="Caption">
    <w:name w:val="caption"/>
    <w:basedOn w:val="BodyText"/>
    <w:next w:val="Normal"/>
    <w:qFormat/>
    <w:rsid w:val="007706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06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06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066E"/>
  </w:style>
  <w:style w:type="paragraph" w:styleId="TableofFigures">
    <w:name w:val="table of figures"/>
    <w:basedOn w:val="Normal"/>
    <w:next w:val="Normal"/>
    <w:semiHidden/>
    <w:rsid w:val="007706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066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7066E"/>
    <w:rPr>
      <w:rFonts w:ascii="Wingdings" w:hAnsi="Wingdings"/>
    </w:rPr>
  </w:style>
  <w:style w:type="paragraph" w:customStyle="1" w:styleId="TableHeading">
    <w:name w:val="Table Heading"/>
    <w:basedOn w:val="HeadingBase"/>
    <w:rsid w:val="007706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066E"/>
    <w:rPr>
      <w:color w:val="0033CC"/>
      <w:u w:val="none"/>
    </w:rPr>
  </w:style>
  <w:style w:type="paragraph" w:customStyle="1" w:styleId="BodyTextRight">
    <w:name w:val="Body Text Right"/>
    <w:basedOn w:val="BodyText"/>
    <w:rsid w:val="007706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06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066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06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06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06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066E"/>
    <w:rPr>
      <w:sz w:val="32"/>
    </w:rPr>
  </w:style>
  <w:style w:type="paragraph" w:customStyle="1" w:styleId="HeadingProcedure">
    <w:name w:val="Heading Procedure"/>
    <w:basedOn w:val="HeadingBase"/>
    <w:next w:val="Normal"/>
    <w:rsid w:val="007706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066E"/>
    <w:pPr>
      <w:spacing w:before="60" w:after="60"/>
    </w:pPr>
  </w:style>
  <w:style w:type="paragraph" w:styleId="ListContinue">
    <w:name w:val="List Continue"/>
    <w:basedOn w:val="List"/>
    <w:rsid w:val="0077066E"/>
    <w:pPr>
      <w:ind w:firstLine="0"/>
    </w:pPr>
  </w:style>
  <w:style w:type="paragraph" w:customStyle="1" w:styleId="ListNote">
    <w:name w:val="List Note"/>
    <w:basedOn w:val="List"/>
    <w:rsid w:val="007706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06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06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066E"/>
    <w:rPr>
      <w:rFonts w:ascii="Courier New" w:hAnsi="Courier New"/>
    </w:rPr>
  </w:style>
  <w:style w:type="paragraph" w:customStyle="1" w:styleId="NoteBullet">
    <w:name w:val="Note Bullet"/>
    <w:basedOn w:val="Note"/>
    <w:rsid w:val="007706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06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06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06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066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706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06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066E"/>
    <w:rPr>
      <w:b/>
      <w:smallCaps/>
    </w:rPr>
  </w:style>
  <w:style w:type="paragraph" w:customStyle="1" w:styleId="TableListNumber">
    <w:name w:val="Table List Number"/>
    <w:basedOn w:val="ListNumber"/>
    <w:rsid w:val="007706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06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066E"/>
    <w:pPr>
      <w:numPr>
        <w:numId w:val="7"/>
      </w:numPr>
    </w:pPr>
  </w:style>
  <w:style w:type="paragraph" w:customStyle="1" w:styleId="ListAlpha2">
    <w:name w:val="List Alpha 2"/>
    <w:basedOn w:val="List2"/>
    <w:rsid w:val="0077066E"/>
    <w:pPr>
      <w:numPr>
        <w:numId w:val="6"/>
      </w:numPr>
    </w:pPr>
  </w:style>
  <w:style w:type="paragraph" w:styleId="List2">
    <w:name w:val="List 2"/>
    <w:basedOn w:val="BodyText"/>
    <w:rsid w:val="007706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06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06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06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066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066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7066E"/>
    <w:pPr>
      <w:numPr>
        <w:numId w:val="2"/>
      </w:numPr>
    </w:pPr>
  </w:style>
  <w:style w:type="paragraph" w:styleId="ListContinue2">
    <w:name w:val="List Continue 2"/>
    <w:basedOn w:val="List2"/>
    <w:rsid w:val="0077066E"/>
    <w:pPr>
      <w:ind w:firstLine="0"/>
    </w:pPr>
  </w:style>
  <w:style w:type="paragraph" w:styleId="ListContinue3">
    <w:name w:val="List Continue 3"/>
    <w:basedOn w:val="List3"/>
    <w:rsid w:val="0077066E"/>
    <w:pPr>
      <w:ind w:left="1021" w:firstLine="0"/>
    </w:pPr>
  </w:style>
  <w:style w:type="paragraph" w:styleId="ListContinue4">
    <w:name w:val="List Continue 4"/>
    <w:basedOn w:val="List4"/>
    <w:rsid w:val="0077066E"/>
    <w:pPr>
      <w:ind w:firstLine="0"/>
    </w:pPr>
  </w:style>
  <w:style w:type="paragraph" w:styleId="ListContinue5">
    <w:name w:val="List Continue 5"/>
    <w:basedOn w:val="List5"/>
    <w:rsid w:val="0077066E"/>
    <w:pPr>
      <w:ind w:firstLine="0"/>
    </w:pPr>
  </w:style>
  <w:style w:type="paragraph" w:styleId="ListNumber3">
    <w:name w:val="List Number 3"/>
    <w:basedOn w:val="List3"/>
    <w:rsid w:val="0077066E"/>
    <w:pPr>
      <w:numPr>
        <w:numId w:val="3"/>
      </w:numPr>
    </w:pPr>
  </w:style>
  <w:style w:type="paragraph" w:styleId="ListNumber4">
    <w:name w:val="List Number 4"/>
    <w:basedOn w:val="List4"/>
    <w:rsid w:val="0077066E"/>
    <w:pPr>
      <w:numPr>
        <w:numId w:val="4"/>
      </w:numPr>
    </w:pPr>
  </w:style>
  <w:style w:type="paragraph" w:styleId="ListNumber5">
    <w:name w:val="List Number 5"/>
    <w:basedOn w:val="List5"/>
    <w:rsid w:val="0077066E"/>
    <w:pPr>
      <w:numPr>
        <w:numId w:val="5"/>
      </w:numPr>
    </w:pPr>
  </w:style>
  <w:style w:type="paragraph" w:styleId="BlockText">
    <w:name w:val="Block Text"/>
    <w:basedOn w:val="Normal"/>
    <w:rsid w:val="007706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06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066E"/>
    <w:rPr>
      <w:sz w:val="16"/>
      <w:vertAlign w:val="superscript"/>
    </w:rPr>
  </w:style>
  <w:style w:type="character" w:customStyle="1" w:styleId="Symbols">
    <w:name w:val="Symbols"/>
    <w:basedOn w:val="DefaultParagraphFont"/>
    <w:rsid w:val="0077066E"/>
    <w:rPr>
      <w:rFonts w:ascii="Symbol" w:hAnsi="Symbol"/>
    </w:rPr>
  </w:style>
  <w:style w:type="character" w:customStyle="1" w:styleId="MenuOptions">
    <w:name w:val="Menu Options"/>
    <w:basedOn w:val="DefaultParagraphFont"/>
    <w:rsid w:val="007706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066E"/>
    <w:rPr>
      <w:b/>
    </w:rPr>
  </w:style>
  <w:style w:type="character" w:customStyle="1" w:styleId="Underlined">
    <w:name w:val="Underlined"/>
    <w:basedOn w:val="DefaultParagraphFont"/>
    <w:rsid w:val="0077066E"/>
    <w:rPr>
      <w:u w:val="single"/>
    </w:rPr>
  </w:style>
  <w:style w:type="paragraph" w:customStyle="1" w:styleId="TableBodyTextRight">
    <w:name w:val="Table Body Text Right"/>
    <w:basedOn w:val="TableBodyText"/>
    <w:rsid w:val="007706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066E"/>
    <w:rPr>
      <w:sz w:val="18"/>
    </w:rPr>
  </w:style>
  <w:style w:type="paragraph" w:customStyle="1" w:styleId="BodySmallRight">
    <w:name w:val="Body Small Right"/>
    <w:basedOn w:val="BodyTextRight"/>
    <w:rsid w:val="0077066E"/>
    <w:rPr>
      <w:sz w:val="18"/>
      <w:szCs w:val="18"/>
    </w:rPr>
  </w:style>
  <w:style w:type="paragraph" w:customStyle="1" w:styleId="MarginEdition">
    <w:name w:val="Margin Edition"/>
    <w:basedOn w:val="MarginNote"/>
    <w:rsid w:val="007706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066E"/>
    <w:rPr>
      <w:sz w:val="2"/>
      <w:szCs w:val="2"/>
    </w:rPr>
  </w:style>
  <w:style w:type="character" w:customStyle="1" w:styleId="Small">
    <w:name w:val="Small"/>
    <w:basedOn w:val="DefaultParagraphFont"/>
    <w:rsid w:val="0077066E"/>
    <w:rPr>
      <w:sz w:val="16"/>
    </w:rPr>
  </w:style>
  <w:style w:type="paragraph" w:customStyle="1" w:styleId="WideTable">
    <w:name w:val="Wide Table"/>
    <w:basedOn w:val="Normal"/>
    <w:rsid w:val="007706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066E"/>
  </w:style>
  <w:style w:type="paragraph" w:styleId="Quote">
    <w:name w:val="Quote"/>
    <w:basedOn w:val="Heading1"/>
    <w:link w:val="QuoteChar"/>
    <w:qFormat/>
    <w:rsid w:val="007706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06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066E"/>
    <w:pPr>
      <w:pageBreakBefore/>
    </w:pPr>
  </w:style>
  <w:style w:type="paragraph" w:customStyle="1" w:styleId="Border">
    <w:name w:val="Border"/>
    <w:basedOn w:val="Normal"/>
    <w:qFormat/>
    <w:rsid w:val="007706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06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6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6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06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06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06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06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06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066E"/>
    <w:rPr>
      <w:u w:val="single"/>
    </w:rPr>
  </w:style>
  <w:style w:type="character" w:customStyle="1" w:styleId="BoldandItalics">
    <w:name w:val="Bold and Italics"/>
    <w:qFormat/>
    <w:rsid w:val="0077066E"/>
    <w:rPr>
      <w:b/>
      <w:i/>
      <w:u w:val="none"/>
    </w:rPr>
  </w:style>
  <w:style w:type="paragraph" w:styleId="BalloonText">
    <w:name w:val="Balloon Text"/>
    <w:basedOn w:val="Normal"/>
    <w:link w:val="BalloonTextChar"/>
    <w:rsid w:val="00770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06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06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06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06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06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066E"/>
    <w:pPr>
      <w:spacing w:before="0" w:after="0"/>
    </w:pPr>
  </w:style>
  <w:style w:type="paragraph" w:customStyle="1" w:styleId="BodyTextBold">
    <w:name w:val="Body Text Bold"/>
    <w:basedOn w:val="BodyText"/>
    <w:qFormat/>
    <w:rsid w:val="0077066E"/>
    <w:rPr>
      <w:b/>
    </w:rPr>
  </w:style>
  <w:style w:type="character" w:styleId="Hyperlink">
    <w:name w:val="Hyperlink"/>
    <w:basedOn w:val="DefaultParagraphFont"/>
    <w:uiPriority w:val="99"/>
    <w:unhideWhenUsed/>
    <w:rsid w:val="00B038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925</Words>
  <Characters>5998</Characters>
  <Application>Microsoft Office Word</Application>
  <DocSecurity>0</DocSecurity>
  <Lines>239</Lines>
  <Paragraphs>123</Paragraphs>
  <ScaleCrop>false</ScaleCrop>
  <Company>Author-it Software Corporation Ltd.</Company>
  <LinksUpToDate>false</LinksUpToDate>
  <CharactersWithSpaces>6800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UEPMNT450 Test and commission wind turbine generators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2021-04-21T07:51:00Z</dcterms:created>
  <dcterms:modified xsi:type="dcterms:W3CDTF">2021-04-21T07:51:00Z</dcterms:modified>
</cp:coreProperties>
</file>