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46C" w:rsidP="001154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UEPMNT431 Test and commission electronic instrumentation equipment</w:t>
      </w:r>
      <w:r>
        <w:fldChar w:fldCharType="end"/>
      </w:r>
    </w:p>
    <w:p w:rsidR="0011546C" w:rsidP="0011546C">
      <w:pPr>
        <w:pStyle w:val="Version"/>
        <w:sectPr w:rsidSect="001F47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47BE" w:rsidP="001F47BE">
      <w:pPr>
        <w:pStyle w:val="SuperHeading"/>
      </w:pPr>
      <w:r w:rsidRPr="001F47BE">
        <w:t>UEPMNT431 Test and commission electronic instrumentation equipment</w:t>
      </w:r>
    </w:p>
    <w:p w:rsidR="00000000" w:rsidRPr="001F47BE" w:rsidP="001F47BE">
      <w:pPr>
        <w:pStyle w:val="Heading1"/>
      </w:pPr>
      <w:bookmarkStart w:id="1" w:name="O_981695"/>
      <w:bookmarkEnd w:id="1"/>
      <w:r w:rsidRPr="001F47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rPr>
                <w:rStyle w:val="SpecialBold"/>
              </w:rPr>
              <w:t>Release 1</w:t>
            </w:r>
            <w:r w:rsidRPr="001F47BE">
              <w:t>. This is the first release of this unit of competency in the UEP Generation Training Package.</w:t>
            </w:r>
          </w:p>
        </w:tc>
      </w:tr>
    </w:tbl>
    <w:p w:rsidR="00000000" w:rsidRPr="001F47BE" w:rsidP="001F47BE">
      <w:pPr>
        <w:pStyle w:val="NoPaddingFontSize1"/>
      </w:pPr>
    </w:p>
    <w:p w:rsidR="00000000" w:rsidRPr="001F47BE" w:rsidP="001F47BE">
      <w:pPr>
        <w:pStyle w:val="AllowPageBreak"/>
      </w:pPr>
    </w:p>
    <w:p w:rsidR="00000000" w:rsidRPr="001F47BE" w:rsidP="001F47BE">
      <w:pPr>
        <w:pStyle w:val="Heading1"/>
      </w:pPr>
      <w:bookmarkStart w:id="2" w:name="O_981696"/>
      <w:bookmarkEnd w:id="2"/>
      <w:r w:rsidRPr="001F47B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t>This unit involves the skills and knowledge required to conduct testing and commissioning of electronic wiring systems and complex digital/analogue equipment including, but not limited to, process control instrumentation, power grid energy control, supervi</w:t>
            </w:r>
            <w:r w:rsidRPr="001F47BE">
              <w:t>sory instrumentation and security equipment including Closed Circuit Television (CCTV).</w:t>
            </w:r>
          </w:p>
          <w:p w:rsidR="00000000" w:rsidRPr="001F47BE" w:rsidP="001F47BE">
            <w:pPr>
              <w:pStyle w:val="BodyText"/>
            </w:pPr>
            <w:r w:rsidRPr="001F47BE">
              <w:t xml:space="preserve">Commissioning and testing ensures that electronic instrumentation equipment, which is used to measure, monitor, automate and control processes and equipment in a power </w:t>
            </w:r>
            <w:r w:rsidRPr="001F47BE">
              <w:t>generation facility, is working efficiently and is meeting operational requirements.</w:t>
            </w:r>
          </w:p>
          <w:p w:rsidR="00000000" w:rsidRPr="001F47BE" w:rsidP="001F47BE">
            <w:pPr>
              <w:pStyle w:val="BodyText"/>
            </w:pPr>
            <w:r w:rsidRPr="001F47BE">
              <w:t>Competency in this unit requires the ability to plan work, test electronic instrumentation equipment wiring systems, test electronic instrumentation equipment piping and t</w:t>
            </w:r>
            <w:r w:rsidRPr="001F47BE">
              <w:t>ubing systems, test electronic instrumentation equipment, commission electronic instrumentation equipment and to report on all completed work tasks. Individuals will, in general, work under supervision in an electrical, electronic and/or mechanical equipme</w:t>
            </w:r>
            <w:r w:rsidRPr="001F47BE">
              <w:t xml:space="preserve">nt repair workshop or on site. </w:t>
            </w:r>
          </w:p>
          <w:p w:rsidR="00000000" w:rsidRPr="001F47BE" w:rsidP="001F47BE">
            <w:pPr>
              <w:pStyle w:val="BodyText"/>
            </w:pPr>
            <w:r w:rsidRPr="001F47BE">
              <w:t xml:space="preserve">Power generation maintenance personnel are typically trained and authorised to receive permits to work. </w:t>
            </w:r>
          </w:p>
          <w:p w:rsidR="00000000" w:rsidRPr="001F47BE" w:rsidP="001F47BE">
            <w:pPr>
              <w:pStyle w:val="BodyText"/>
            </w:pPr>
            <w:r w:rsidRPr="001F47BE">
              <w:t>No licensing, legislative or certification requirements apply to this unit at the time of publication.</w:t>
            </w:r>
          </w:p>
          <w:p w:rsidR="00000000" w:rsidRPr="001F47BE" w:rsidP="001F47BE">
            <w:pPr>
              <w:pStyle w:val="BodyText"/>
            </w:pPr>
            <w:r w:rsidRPr="001F47BE">
              <w:rPr>
                <w:rStyle w:val="SpecialBold"/>
              </w:rPr>
              <w:t xml:space="preserve">Note: Workplace </w:t>
            </w:r>
            <w:r w:rsidRPr="001F47BE">
              <w:rPr>
                <w:rStyle w:val="SpecialBold"/>
              </w:rPr>
              <w:t>practice</w:t>
            </w:r>
          </w:p>
          <w:p w:rsidR="00000000" w:rsidRPr="001F47BE" w:rsidP="001F47BE">
            <w:pPr>
              <w:pStyle w:val="BodyText"/>
            </w:pPr>
            <w:r w:rsidRPr="001F47BE">
              <w:t>The application of the skills and knowledge described in this unit of competency may require a licence or training permit to practice in the workplace, where work is carried out on gas and electrical installations. Additional and/or other conditio</w:t>
            </w:r>
            <w:r w:rsidRPr="001F47BE">
              <w:t xml:space="preserve">ns may apply under state and territory legislative and regulatory licensing requirements. </w:t>
            </w:r>
          </w:p>
        </w:tc>
      </w:tr>
    </w:tbl>
    <w:p w:rsidR="00000000" w:rsidRPr="001F47BE" w:rsidP="001F47BE">
      <w:pPr>
        <w:pStyle w:val="NoPaddingFontSize1"/>
      </w:pPr>
    </w:p>
    <w:p w:rsidR="00000000" w:rsidRPr="001F47BE" w:rsidP="001F47BE">
      <w:pPr>
        <w:pStyle w:val="AllowPageBreak"/>
      </w:pPr>
    </w:p>
    <w:p w:rsidR="00000000" w:rsidRPr="001F47BE" w:rsidP="001F47BE">
      <w:pPr>
        <w:pStyle w:val="Heading1"/>
      </w:pPr>
      <w:bookmarkStart w:id="3" w:name="O_981697"/>
      <w:bookmarkEnd w:id="3"/>
      <w:r w:rsidRPr="001F47B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t>UEPMNT359 Test and commission instrumentation systems</w:t>
            </w:r>
          </w:p>
          <w:p w:rsidR="00000000" w:rsidRPr="001F47BE" w:rsidP="001F47BE">
            <w:pPr>
              <w:pStyle w:val="BodyText"/>
            </w:pPr>
            <w:r w:rsidRPr="001F47BE">
              <w:t>UEENEEI001B Install and set up transducers and sensing devices</w:t>
            </w:r>
          </w:p>
          <w:p w:rsidR="00000000" w:rsidRPr="001F47BE" w:rsidP="001F47BE">
            <w:pPr>
              <w:pStyle w:val="BodyText"/>
            </w:pPr>
            <w:r w:rsidRPr="001F47BE">
              <w:t>UEENEEE102</w:t>
            </w:r>
            <w:r w:rsidRPr="001F47BE">
              <w:t>A Fabricate, assemble and dismantle utilities industry components</w:t>
            </w:r>
          </w:p>
          <w:p w:rsidR="00000000" w:rsidRPr="001F47BE" w:rsidP="001F47BE">
            <w:pPr>
              <w:pStyle w:val="BodyText"/>
            </w:pPr>
            <w:r w:rsidRPr="001F47BE">
              <w:t>UEENEEE105A Fix and secure electrotechnology equipment</w:t>
            </w:r>
          </w:p>
          <w:p w:rsidR="00000000" w:rsidRPr="001F47BE" w:rsidP="001F47BE">
            <w:pPr>
              <w:pStyle w:val="BodyText"/>
            </w:pPr>
            <w:r w:rsidRPr="001F47BE">
              <w:t>UEENEEE107A Use drawings, diagrams, schedules, standards, codes and specifications</w:t>
            </w:r>
          </w:p>
        </w:tc>
      </w:tr>
    </w:tbl>
    <w:p w:rsidR="00000000" w:rsidRPr="001F47BE" w:rsidP="001F47BE">
      <w:pPr>
        <w:pStyle w:val="NoPaddingFontSize1"/>
      </w:pPr>
    </w:p>
    <w:p w:rsidR="00000000" w:rsidRPr="001F47BE" w:rsidP="001F47BE">
      <w:pPr>
        <w:pStyle w:val="AllowPageBreak"/>
      </w:pPr>
    </w:p>
    <w:p w:rsidR="00000000" w:rsidRPr="001F47BE" w:rsidP="001F47BE">
      <w:pPr>
        <w:pStyle w:val="Heading1"/>
      </w:pPr>
      <w:bookmarkStart w:id="4" w:name="O_981698"/>
      <w:bookmarkEnd w:id="4"/>
      <w:r w:rsidRPr="001F47B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t>Maintenance</w:t>
            </w:r>
          </w:p>
        </w:tc>
      </w:tr>
    </w:tbl>
    <w:p w:rsidR="00000000" w:rsidRPr="001F47BE" w:rsidP="001F47BE">
      <w:pPr>
        <w:pStyle w:val="NoPaddingFontSize1"/>
      </w:pPr>
    </w:p>
    <w:p w:rsidR="00000000" w:rsidRPr="001F47BE" w:rsidP="001F47BE">
      <w:pPr>
        <w:pStyle w:val="AllowPageBreak"/>
      </w:pPr>
    </w:p>
    <w:p w:rsidR="00000000" w:rsidRPr="001F47BE" w:rsidP="001F47BE">
      <w:pPr>
        <w:pStyle w:val="Heading1"/>
      </w:pPr>
      <w:bookmarkStart w:id="5" w:name="O_981699"/>
      <w:bookmarkEnd w:id="5"/>
      <w:r w:rsidRPr="001F47B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t>Electricity generation</w:t>
            </w:r>
          </w:p>
        </w:tc>
      </w:tr>
    </w:tbl>
    <w:p w:rsidR="00000000" w:rsidRPr="001F47BE" w:rsidP="001F47BE">
      <w:pPr>
        <w:pStyle w:val="NoPaddingFontSize1"/>
      </w:pPr>
    </w:p>
    <w:p w:rsidR="00000000" w:rsidRPr="001F47BE" w:rsidP="001F47BE">
      <w:pPr>
        <w:pStyle w:val="AllowPageBreak"/>
      </w:pPr>
    </w:p>
    <w:p w:rsidR="00000000" w:rsidRPr="001F47BE" w:rsidP="001F47BE">
      <w:pPr>
        <w:pStyle w:val="Heading1"/>
      </w:pPr>
      <w:bookmarkStart w:id="6" w:name="O_981700"/>
      <w:bookmarkEnd w:id="6"/>
      <w:r w:rsidRPr="001F47B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PERFORMANCE CRITERIA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>Performance criteria describe the performance needed to demonstrate achievement of the element.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>Requirements including scope of work and assigned roles are identified and confirmed with appropriate personnel or by site in</w:t>
            </w:r>
            <w:r w:rsidRPr="001F47BE">
              <w:t>spection, in accordance with workplace procedures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>Work, Health and Safety (WHS)/Occupational Health and Safety (OHS) regulations, legislative requirements, industry standards, codes of practice, manufacturers’ specifications, environmental obligatio</w:t>
            </w:r>
            <w:r w:rsidRPr="001F47BE">
              <w:t xml:space="preserve">ns and workplace procedures are reviewed in preparation for work 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>Resources are obtained and inspected for compliance with job specification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 xml:space="preserve">Relevant plans, drawings and manuals are selected and used, in accordance with workplace procedures 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>Correct materials and components for work are obtained and inspected, in accordance with workplace procedures, for compliance with job specification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 xml:space="preserve">Work is planned, sequenced and prioritised, in accordance with workplace procedures 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>Potential hazards are identified, and risk control measures are selected and implemented, in accordance with the workplace procedures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>Work area is prepared, in accordance with workplace procedures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rPr>
                <w:rStyle w:val="SpecialBold"/>
              </w:rPr>
              <w:t>Test 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>Isolations for work are c</w:t>
            </w:r>
            <w:r w:rsidRPr="001F47BE">
              <w:t xml:space="preserve">onfirmed, where appropriate, in accordance with workplace procedures and site </w:t>
            </w:r>
            <w:r w:rsidRPr="001F47BE">
              <w:t>requirements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 xml:space="preserve">Wiring systems are tested, in accordance with workplace procedures, plans, drawings and manuals 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 xml:space="preserve">Wiring systems, including enclosures and supports, are inspected, in accordance with workplace procedures, prior to testing to ensure absence of damage, defect or deterioration 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>Fixed wiring is tested, in accordance with workplace procedures, and results are documented to confirm compliance with job specification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rPr>
                <w:rStyle w:val="SpecialBold"/>
              </w:rPr>
              <w:t>Test piping and tubing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>Isolations are confirmed, where appropriate, in accordance with workplace procedu</w:t>
            </w:r>
            <w:r w:rsidRPr="001F47BE">
              <w:t xml:space="preserve">res 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 xml:space="preserve">Piping and tubing systems are tested, in accordance with workplace procedures, plans, drawings and manuals 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>Piping and tubing systems, including enclosures and supports, are inspected, in accordance with workplace procedures, prior to te</w:t>
            </w:r>
            <w:r w:rsidRPr="001F47BE">
              <w:t xml:space="preserve">sting to ensure absence of damage, defects or deterioration 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 xml:space="preserve">Fixed piping and tubing is tested, in accordance with workplace procedures and results are documented to confirm compliance with job specification 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rPr>
                <w:rStyle w:val="SpecialBold"/>
              </w:rPr>
              <w:t>Test electronic instrumentation</w:t>
            </w:r>
            <w:r w:rsidRPr="001F47BE">
              <w:t xml:space="preserve"> </w:t>
            </w:r>
            <w:r w:rsidRPr="001F47BE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 xml:space="preserve">Isolations are confirmed, where appropriate, in accordance with workplace procedures 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 xml:space="preserve">Electronic instrumentation equipment is tested, in accordance with workplace procedures, plans, drawings and manuals 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>Test conditions are conf</w:t>
            </w:r>
            <w:r w:rsidRPr="001F47BE">
              <w:t xml:space="preserve">irmed and equipment is inspected, in accordance with workplace procedures, to ensure absence of damage, defect or deterioration 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>Electronic instrumentation equipment test results are documented to confirm compliance with job specification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rPr>
                <w:rStyle w:val="SpecialBold"/>
              </w:rPr>
              <w:t>Commission electronic instrumentation</w:t>
            </w:r>
            <w:r w:rsidRPr="001F47BE">
              <w:t xml:space="preserve"> </w:t>
            </w:r>
            <w:r w:rsidRPr="001F47BE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 xml:space="preserve">Isolations are confirmed, where appropriate, in accordance with workplace procedures 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>Electronic instrumentation equipment is commissioned, in accordance with workplace procedures, using appropriat</w:t>
            </w:r>
            <w:r w:rsidRPr="001F47BE">
              <w:t xml:space="preserve">e plans, drawings and manuals 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>Electronic instrumentation equipment is set up, in accordance with workplace procedures, operational requirements and manufacturers' specifications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>Testing and monitoring results are monitored and documented, in</w:t>
            </w:r>
            <w:r w:rsidRPr="001F47BE">
              <w:t xml:space="preserve"> accordance with workplace procedures, to ensure equipment functions within manufactures' specifications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 xml:space="preserve">Electronic instrumentation equipment is commissioned, in accordance with workplace procedures 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5.</w:t>
            </w:r>
            <w:r w:rsidRPr="001F47BE">
              <w:t>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 xml:space="preserve">Final inspection is carried out, in accordance with workplace procedures 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t xml:space="preserve">Work is completed and appropriate personnel are notified, in accordance with workplace procedures </w:t>
            </w:r>
          </w:p>
        </w:tc>
      </w:tr>
      <w:tr w:rsidTr="001F47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7BE">
            <w:pPr>
              <w:pStyle w:val="BodyText"/>
              <w:rPr>
                <w:lang w:val="en-NZ"/>
              </w:rPr>
            </w:pPr>
            <w:r w:rsidRPr="001F47BE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t>Work area is cleared of waste, cleaned, restored and se</w:t>
            </w:r>
            <w:r w:rsidRPr="001F47BE">
              <w:t>cured, in accordance with workplace procedures</w:t>
            </w:r>
          </w:p>
        </w:tc>
      </w:tr>
    </w:tbl>
    <w:p w:rsidR="00000000" w:rsidRPr="001F47BE" w:rsidP="001F47BE">
      <w:pPr>
        <w:pStyle w:val="NoPaddingFontSize1"/>
      </w:pPr>
    </w:p>
    <w:p w:rsidR="00000000" w:rsidRPr="001F47BE" w:rsidP="001F47BE">
      <w:pPr>
        <w:pStyle w:val="AllowPageBreak"/>
      </w:pPr>
    </w:p>
    <w:p w:rsidR="00000000" w:rsidRPr="001F47BE" w:rsidP="001F47BE">
      <w:pPr>
        <w:pStyle w:val="Heading1"/>
      </w:pPr>
      <w:bookmarkStart w:id="7" w:name="O_981701"/>
      <w:bookmarkEnd w:id="7"/>
      <w:r w:rsidRPr="001F47B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t>Foundation skills essential to performance are explicit in the performance criteria of this unit of competency.</w:t>
            </w:r>
          </w:p>
        </w:tc>
      </w:tr>
    </w:tbl>
    <w:p w:rsidR="00000000" w:rsidRPr="001F47BE" w:rsidP="001F47BE">
      <w:pPr>
        <w:pStyle w:val="NoPaddingFontSize1"/>
      </w:pPr>
    </w:p>
    <w:p w:rsidR="00000000" w:rsidRPr="001F47BE" w:rsidP="001F47BE">
      <w:pPr>
        <w:pStyle w:val="AllowPageBreak"/>
      </w:pPr>
    </w:p>
    <w:p w:rsidR="00000000" w:rsidRPr="001F47BE" w:rsidP="001F47BE">
      <w:pPr>
        <w:pStyle w:val="Heading1"/>
      </w:pPr>
      <w:bookmarkStart w:id="8" w:name="O_981702"/>
      <w:bookmarkEnd w:id="8"/>
      <w:r w:rsidRPr="001F47B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t>Range is restricted to essential operating conditions and any other variables essential to the work environment.</w:t>
            </w:r>
          </w:p>
          <w:p w:rsidR="00000000" w:rsidRPr="001F47BE" w:rsidP="001F47BE">
            <w:pPr>
              <w:pStyle w:val="BodyText"/>
            </w:pPr>
            <w:r w:rsidRPr="001F47BE">
              <w:t>Non-essential conditions may be found in the Companion Volume Implementation Guide.</w:t>
            </w:r>
          </w:p>
        </w:tc>
      </w:tr>
    </w:tbl>
    <w:p w:rsidR="00000000" w:rsidRPr="001F47BE" w:rsidP="001F47BE">
      <w:pPr>
        <w:pStyle w:val="NoPaddingFontSize1"/>
      </w:pPr>
    </w:p>
    <w:p w:rsidR="00000000" w:rsidRPr="001F47BE" w:rsidP="001F47BE">
      <w:pPr>
        <w:pStyle w:val="AllowPageBreak"/>
      </w:pPr>
    </w:p>
    <w:p w:rsidR="00000000" w:rsidRPr="001F47BE" w:rsidP="001F47BE">
      <w:pPr>
        <w:pStyle w:val="Heading1"/>
      </w:pPr>
      <w:bookmarkStart w:id="9" w:name="O_981703"/>
      <w:bookmarkEnd w:id="9"/>
      <w:r w:rsidRPr="001F47B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7BE" w:rsidP="001F47BE">
            <w:pPr>
              <w:pStyle w:val="BodyText"/>
            </w:pPr>
            <w:r w:rsidRPr="001F47BE">
              <w:t>This unit repla</w:t>
            </w:r>
            <w:r w:rsidRPr="001F47BE">
              <w:t>ces and is equivalent to UEPMNT431B Test and commission electronic instrumentation equipment.</w:t>
            </w:r>
          </w:p>
        </w:tc>
      </w:tr>
    </w:tbl>
    <w:p w:rsidR="00000000" w:rsidRPr="001F47BE" w:rsidP="001F47BE">
      <w:pPr>
        <w:pStyle w:val="NoPaddingFontSize1"/>
      </w:pPr>
    </w:p>
    <w:p w:rsidR="00000000" w:rsidRPr="001F47BE" w:rsidP="001F47BE">
      <w:pPr>
        <w:pStyle w:val="AllowPageBreak"/>
      </w:pPr>
    </w:p>
    <w:p w:rsidR="00000000" w:rsidRPr="001F47BE" w:rsidP="001F47BE">
      <w:pPr>
        <w:pStyle w:val="Heading1"/>
      </w:pPr>
      <w:bookmarkStart w:id="10" w:name="O_981710"/>
      <w:bookmarkEnd w:id="10"/>
      <w:r w:rsidRPr="001F47BE">
        <w:t>Links</w:t>
      </w:r>
    </w:p>
    <w:p w:rsidR="00000000" w:rsidRPr="001F47BE" w:rsidP="001F47BE">
      <w:pPr>
        <w:pStyle w:val="BodyText"/>
      </w:pPr>
      <w:r w:rsidRPr="001F47BE">
        <w:t>Companion Volume implementation guides are found in VETNet - https://vetnet.education.gov.au/Pages/TrainingDocs.aspx?q=1715b9fa-e7bd-441c-bb8d-cf22c9c825a8</w:t>
      </w:r>
    </w:p>
    <w:p w:rsidR="00000000" w:rsidRPr="001F47BE" w:rsidP="001F47BE"/>
    <w:sectPr w:rsidSect="001F47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7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7BE" w:rsidRPr="0011546C" w:rsidP="001154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7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46C" w:rsidP="001F47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546C" w:rsidP="001F47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1546C" w:rsidP="001F47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7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4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7BE" w:rsidRPr="0011546C" w:rsidP="001154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7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46C" w:rsidRPr="002D2AF8" w:rsidP="001F47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UEPMNT431 Test and commission electronic instrumentation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11546C" w:rsidP="001F47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7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7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7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7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7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7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7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7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7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7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7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7BE"/>
  </w:style>
  <w:style w:type="character" w:customStyle="1" w:styleId="Heading1Char">
    <w:name w:val="Heading 1 Char"/>
    <w:basedOn w:val="DefaultParagraphFont"/>
    <w:link w:val="Heading1"/>
    <w:rsid w:val="001F47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7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7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F47BE"/>
    <w:rPr>
      <w:b/>
      <w:spacing w:val="0"/>
    </w:rPr>
  </w:style>
  <w:style w:type="paragraph" w:customStyle="1" w:styleId="SuperHeading">
    <w:name w:val="SuperHeading"/>
    <w:basedOn w:val="Normal"/>
    <w:rsid w:val="001F47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7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47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7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7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7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7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7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7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7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7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7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7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7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7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7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7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47B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47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7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7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7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47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47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7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7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7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7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7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7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7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7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47BE"/>
    <w:rPr>
      <w:i/>
    </w:rPr>
  </w:style>
  <w:style w:type="paragraph" w:styleId="Caption">
    <w:name w:val="caption"/>
    <w:basedOn w:val="BodyText"/>
    <w:next w:val="Normal"/>
    <w:qFormat/>
    <w:rsid w:val="001F47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7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7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7BE"/>
  </w:style>
  <w:style w:type="paragraph" w:styleId="TableofFigures">
    <w:name w:val="table of figures"/>
    <w:basedOn w:val="Normal"/>
    <w:next w:val="Normal"/>
    <w:semiHidden/>
    <w:rsid w:val="001F47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7BE"/>
    <w:pPr>
      <w:numPr>
        <w:numId w:val="9"/>
      </w:numPr>
    </w:pPr>
  </w:style>
  <w:style w:type="character" w:customStyle="1" w:styleId="WingdingSymbols">
    <w:name w:val="Wingding Symbols"/>
    <w:rsid w:val="001F47BE"/>
    <w:rPr>
      <w:rFonts w:ascii="Wingdings" w:hAnsi="Wingdings"/>
    </w:rPr>
  </w:style>
  <w:style w:type="paragraph" w:customStyle="1" w:styleId="TableHeading">
    <w:name w:val="Table Heading"/>
    <w:basedOn w:val="HeadingBase"/>
    <w:rsid w:val="001F47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7BE"/>
    <w:rPr>
      <w:color w:val="0033CC"/>
      <w:u w:val="none"/>
    </w:rPr>
  </w:style>
  <w:style w:type="paragraph" w:customStyle="1" w:styleId="BodyTextRight">
    <w:name w:val="Body Text Right"/>
    <w:basedOn w:val="BodyText"/>
    <w:rsid w:val="001F47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7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7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7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7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7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7BE"/>
    <w:rPr>
      <w:sz w:val="32"/>
    </w:rPr>
  </w:style>
  <w:style w:type="paragraph" w:customStyle="1" w:styleId="HeadingProcedure">
    <w:name w:val="Heading Procedure"/>
    <w:basedOn w:val="HeadingBase"/>
    <w:next w:val="Normal"/>
    <w:rsid w:val="001F47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7BE"/>
    <w:pPr>
      <w:spacing w:before="60" w:after="60"/>
    </w:pPr>
  </w:style>
  <w:style w:type="paragraph" w:styleId="ListContinue">
    <w:name w:val="List Continue"/>
    <w:basedOn w:val="List"/>
    <w:rsid w:val="001F47BE"/>
    <w:pPr>
      <w:ind w:firstLine="0"/>
    </w:pPr>
  </w:style>
  <w:style w:type="paragraph" w:customStyle="1" w:styleId="ListNote">
    <w:name w:val="List Note"/>
    <w:basedOn w:val="List"/>
    <w:rsid w:val="001F47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7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7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7BE"/>
    <w:rPr>
      <w:rFonts w:ascii="Courier New" w:hAnsi="Courier New"/>
    </w:rPr>
  </w:style>
  <w:style w:type="paragraph" w:customStyle="1" w:styleId="NoteBullet">
    <w:name w:val="Note Bullet"/>
    <w:basedOn w:val="Note"/>
    <w:rsid w:val="001F47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7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7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7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7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47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7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7BE"/>
    <w:rPr>
      <w:b/>
      <w:smallCaps/>
    </w:rPr>
  </w:style>
  <w:style w:type="paragraph" w:customStyle="1" w:styleId="TableListNumber">
    <w:name w:val="Table List Number"/>
    <w:basedOn w:val="ListNumber"/>
    <w:rsid w:val="001F47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7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7BE"/>
    <w:pPr>
      <w:numPr>
        <w:numId w:val="7"/>
      </w:numPr>
    </w:pPr>
  </w:style>
  <w:style w:type="paragraph" w:customStyle="1" w:styleId="ListAlpha2">
    <w:name w:val="List Alpha 2"/>
    <w:basedOn w:val="List2"/>
    <w:rsid w:val="001F47BE"/>
    <w:pPr>
      <w:numPr>
        <w:numId w:val="6"/>
      </w:numPr>
    </w:pPr>
  </w:style>
  <w:style w:type="paragraph" w:styleId="List2">
    <w:name w:val="List 2"/>
    <w:basedOn w:val="BodyText"/>
    <w:rsid w:val="001F47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7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7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7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7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7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47BE"/>
    <w:pPr>
      <w:numPr>
        <w:numId w:val="2"/>
      </w:numPr>
    </w:pPr>
  </w:style>
  <w:style w:type="paragraph" w:styleId="ListContinue2">
    <w:name w:val="List Continue 2"/>
    <w:basedOn w:val="List2"/>
    <w:rsid w:val="001F47BE"/>
    <w:pPr>
      <w:ind w:firstLine="0"/>
    </w:pPr>
  </w:style>
  <w:style w:type="paragraph" w:styleId="ListContinue3">
    <w:name w:val="List Continue 3"/>
    <w:basedOn w:val="List3"/>
    <w:rsid w:val="001F47BE"/>
    <w:pPr>
      <w:ind w:left="1021" w:firstLine="0"/>
    </w:pPr>
  </w:style>
  <w:style w:type="paragraph" w:styleId="ListContinue4">
    <w:name w:val="List Continue 4"/>
    <w:basedOn w:val="List4"/>
    <w:rsid w:val="001F47BE"/>
    <w:pPr>
      <w:ind w:firstLine="0"/>
    </w:pPr>
  </w:style>
  <w:style w:type="paragraph" w:styleId="ListContinue5">
    <w:name w:val="List Continue 5"/>
    <w:basedOn w:val="List5"/>
    <w:rsid w:val="001F47BE"/>
    <w:pPr>
      <w:ind w:firstLine="0"/>
    </w:pPr>
  </w:style>
  <w:style w:type="paragraph" w:styleId="ListNumber3">
    <w:name w:val="List Number 3"/>
    <w:basedOn w:val="List3"/>
    <w:rsid w:val="001F47BE"/>
    <w:pPr>
      <w:numPr>
        <w:numId w:val="3"/>
      </w:numPr>
    </w:pPr>
  </w:style>
  <w:style w:type="paragraph" w:styleId="ListNumber4">
    <w:name w:val="List Number 4"/>
    <w:basedOn w:val="List4"/>
    <w:rsid w:val="001F47BE"/>
    <w:pPr>
      <w:numPr>
        <w:numId w:val="4"/>
      </w:numPr>
    </w:pPr>
  </w:style>
  <w:style w:type="paragraph" w:styleId="ListNumber5">
    <w:name w:val="List Number 5"/>
    <w:basedOn w:val="List5"/>
    <w:rsid w:val="001F47BE"/>
    <w:pPr>
      <w:numPr>
        <w:numId w:val="5"/>
      </w:numPr>
    </w:pPr>
  </w:style>
  <w:style w:type="paragraph" w:styleId="BlockText">
    <w:name w:val="Block Text"/>
    <w:basedOn w:val="Normal"/>
    <w:rsid w:val="001F47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7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7BE"/>
    <w:rPr>
      <w:sz w:val="16"/>
      <w:vertAlign w:val="superscript"/>
    </w:rPr>
  </w:style>
  <w:style w:type="character" w:customStyle="1" w:styleId="Symbols">
    <w:name w:val="Symbols"/>
    <w:basedOn w:val="DefaultParagraphFont"/>
    <w:rsid w:val="001F47BE"/>
    <w:rPr>
      <w:rFonts w:ascii="Symbol" w:hAnsi="Symbol"/>
    </w:rPr>
  </w:style>
  <w:style w:type="character" w:customStyle="1" w:styleId="MenuOptions">
    <w:name w:val="Menu Options"/>
    <w:basedOn w:val="DefaultParagraphFont"/>
    <w:rsid w:val="001F47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7BE"/>
    <w:rPr>
      <w:b/>
    </w:rPr>
  </w:style>
  <w:style w:type="character" w:customStyle="1" w:styleId="Underlined">
    <w:name w:val="Underlined"/>
    <w:basedOn w:val="DefaultParagraphFont"/>
    <w:rsid w:val="001F47BE"/>
    <w:rPr>
      <w:u w:val="single"/>
    </w:rPr>
  </w:style>
  <w:style w:type="paragraph" w:customStyle="1" w:styleId="TableBodyTextRight">
    <w:name w:val="Table Body Text Right"/>
    <w:basedOn w:val="TableBodyText"/>
    <w:rsid w:val="001F47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7BE"/>
    <w:rPr>
      <w:sz w:val="18"/>
    </w:rPr>
  </w:style>
  <w:style w:type="paragraph" w:customStyle="1" w:styleId="BodySmallRight">
    <w:name w:val="Body Small Right"/>
    <w:basedOn w:val="BodyTextRight"/>
    <w:rsid w:val="001F47BE"/>
    <w:rPr>
      <w:sz w:val="18"/>
      <w:szCs w:val="18"/>
    </w:rPr>
  </w:style>
  <w:style w:type="paragraph" w:customStyle="1" w:styleId="MarginEdition">
    <w:name w:val="Margin Edition"/>
    <w:basedOn w:val="MarginNote"/>
    <w:rsid w:val="001F47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7BE"/>
    <w:rPr>
      <w:sz w:val="2"/>
      <w:szCs w:val="2"/>
    </w:rPr>
  </w:style>
  <w:style w:type="character" w:customStyle="1" w:styleId="Small">
    <w:name w:val="Small"/>
    <w:basedOn w:val="DefaultParagraphFont"/>
    <w:rsid w:val="001F47BE"/>
    <w:rPr>
      <w:sz w:val="16"/>
    </w:rPr>
  </w:style>
  <w:style w:type="paragraph" w:customStyle="1" w:styleId="WideTable">
    <w:name w:val="Wide Table"/>
    <w:basedOn w:val="Normal"/>
    <w:rsid w:val="001F47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7BE"/>
  </w:style>
  <w:style w:type="paragraph" w:styleId="Quote">
    <w:name w:val="Quote"/>
    <w:basedOn w:val="Heading1"/>
    <w:link w:val="QuoteChar"/>
    <w:qFormat/>
    <w:rsid w:val="001F47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7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7BE"/>
    <w:pPr>
      <w:pageBreakBefore/>
    </w:pPr>
  </w:style>
  <w:style w:type="paragraph" w:customStyle="1" w:styleId="Border">
    <w:name w:val="Border"/>
    <w:basedOn w:val="Normal"/>
    <w:qFormat/>
    <w:rsid w:val="001F47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7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7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7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7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7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7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7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7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7BE"/>
    <w:rPr>
      <w:u w:val="single"/>
    </w:rPr>
  </w:style>
  <w:style w:type="character" w:customStyle="1" w:styleId="BoldandItalics">
    <w:name w:val="Bold and Italics"/>
    <w:qFormat/>
    <w:rsid w:val="001F47BE"/>
    <w:rPr>
      <w:b/>
      <w:i/>
      <w:u w:val="none"/>
    </w:rPr>
  </w:style>
  <w:style w:type="paragraph" w:styleId="BalloonText">
    <w:name w:val="Balloon Text"/>
    <w:basedOn w:val="Normal"/>
    <w:link w:val="BalloonTextChar"/>
    <w:rsid w:val="001F47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7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7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7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7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7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7B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905</Words>
  <Characters>6036</Characters>
  <Application>Microsoft Office Word</Application>
  <DocSecurity>0</DocSecurity>
  <Lines>246</Lines>
  <Paragraphs>105</Paragraphs>
  <ScaleCrop>false</ScaleCrop>
  <Company>Author-it Software Corporation Ltd.</Company>
  <LinksUpToDate>false</LinksUpToDate>
  <CharactersWithSpaces>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UEPMNT431 Test and commission electronic instrumentation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2018-10-31T02:48:00Z</dcterms:created>
  <dcterms:modified xsi:type="dcterms:W3CDTF">2018-10-31T02:48:00Z</dcterms:modified>
</cp:coreProperties>
</file>