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59A" w:rsidP="00A46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UEPMNT430 Test and commission complex instrumentation equipment</w:t>
      </w:r>
      <w:r>
        <w:fldChar w:fldCharType="end"/>
      </w:r>
    </w:p>
    <w:p w:rsidR="00A4659A" w:rsidP="00A4659A">
      <w:pPr>
        <w:pStyle w:val="Version"/>
        <w:sectPr w:rsidSect="00F26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6901" w:rsidP="00F26901">
      <w:pPr>
        <w:pStyle w:val="SuperHeading"/>
      </w:pPr>
      <w:r w:rsidRPr="00F26901">
        <w:t>UEPMNT430 Test and commission complex instrumentation equipment</w:t>
      </w:r>
    </w:p>
    <w:p w:rsidR="00000000" w:rsidRPr="00F26901" w:rsidP="00F26901">
      <w:pPr>
        <w:pStyle w:val="Heading1"/>
      </w:pPr>
      <w:bookmarkStart w:id="1" w:name="O_1228910"/>
      <w:bookmarkEnd w:id="1"/>
      <w:r w:rsidRPr="00F269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Release 2.</w:t>
            </w:r>
            <w:r w:rsidRPr="00F26901">
              <w:t xml:space="preserve"> Minor release to update superseded pre-requisite units.</w:t>
            </w:r>
          </w:p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Release 1</w:t>
            </w:r>
            <w:r w:rsidRPr="00F26901">
              <w:t>. This is the first release of this unit of competency in the UEP Generation Training Package.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2" w:name="O_1228909"/>
      <w:bookmarkEnd w:id="2"/>
      <w:r w:rsidRPr="00F269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This unit involves the skills and knowledge required to conduct testing and commissioning of complex instrumentation used in mul</w:t>
            </w:r>
            <w:r w:rsidRPr="00F26901">
              <w:t>ti-loop configurations, including but not limited to, laboratory and field analysers, totaliser units, signal characterising, microprocessor control, interface, ultrasonic and nucleonic equipment.</w:t>
            </w:r>
          </w:p>
          <w:p w:rsidR="00000000" w:rsidRPr="00F26901" w:rsidP="00F26901">
            <w:pPr>
              <w:pStyle w:val="BodyText"/>
            </w:pPr>
            <w:r w:rsidRPr="00F26901">
              <w:t>Commissioning and testing ensures that all complex instrume</w:t>
            </w:r>
            <w:r w:rsidRPr="00F26901">
              <w:t>ntation equipment, which is used to measure, monitor, automate and control processes in a power generation facility are working efficiently and meeting operational requirements.</w:t>
            </w:r>
          </w:p>
          <w:p w:rsidR="00000000" w:rsidRPr="00F26901" w:rsidP="00F26901">
            <w:pPr>
              <w:pStyle w:val="BodyText"/>
            </w:pPr>
            <w:r w:rsidRPr="00F26901">
              <w:t>Competency in this unit requires the ability to plan work, test complex instru</w:t>
            </w:r>
            <w:r w:rsidRPr="00F26901">
              <w:t>mentation equipment wiring systems,</w:t>
            </w:r>
            <w:r w:rsidRPr="00F26901">
              <w:rPr>
                <w:rStyle w:val="SpecialBold"/>
              </w:rPr>
              <w:t xml:space="preserve"> </w:t>
            </w:r>
            <w:r w:rsidRPr="00F26901">
              <w:t>test complex instrumentation equipment piping and tubing systems, test complex instrumentation equipment, commission complex instrumentation equipment and to report on all completed work tasks. Individuals will, in gener</w:t>
            </w:r>
            <w:r w:rsidRPr="00F26901">
              <w:t xml:space="preserve">al, work under supervision in an electrical, electronic and/or mechanical equipment repair workshop or on site. </w:t>
            </w:r>
          </w:p>
          <w:p w:rsidR="00000000" w:rsidRPr="00F26901" w:rsidP="00F26901">
            <w:pPr>
              <w:pStyle w:val="BodyText"/>
            </w:pPr>
            <w:r w:rsidRPr="00F26901">
              <w:t xml:space="preserve">Power generation maintenance personnel are typically trained and authorised to receive permits to work. </w:t>
            </w:r>
          </w:p>
          <w:p w:rsidR="00000000" w:rsidRPr="00F26901" w:rsidP="00F26901">
            <w:pPr>
              <w:pStyle w:val="BodyText"/>
            </w:pPr>
            <w:r w:rsidRPr="00F26901">
              <w:t>No licensing, legislative or certifica</w:t>
            </w:r>
            <w:r w:rsidRPr="00F26901">
              <w:t>tion requirements apply to this unit at the time of publication.</w:t>
            </w:r>
          </w:p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Note: Workplace practice</w:t>
            </w:r>
          </w:p>
          <w:p w:rsidR="00000000" w:rsidRPr="00F26901" w:rsidP="00F26901">
            <w:pPr>
              <w:pStyle w:val="BodyText"/>
            </w:pPr>
            <w:r w:rsidRPr="00F26901">
              <w:t xml:space="preserve">The application of the skills and knowledge described in this unit of competency may require a licence or training permit to practice in the workplace, where work is </w:t>
            </w:r>
            <w:r w:rsidRPr="00F26901">
              <w:t xml:space="preserve">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3" w:name="O_1228908"/>
      <w:bookmarkEnd w:id="3"/>
      <w:r w:rsidRPr="00F269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 xml:space="preserve">UEECD0019 Fabricate, assemble and dismantle </w:t>
            </w:r>
            <w:r w:rsidRPr="00F26901">
              <w:t>utilities industry components</w:t>
            </w:r>
          </w:p>
          <w:p w:rsidR="00000000" w:rsidRPr="00F26901" w:rsidP="00F26901">
            <w:pPr>
              <w:pStyle w:val="BodyText"/>
            </w:pPr>
            <w:r w:rsidRPr="00F26901">
              <w:t>UEECD0020 Fix and secure electrotechnology equipment</w:t>
            </w:r>
          </w:p>
          <w:p w:rsidR="00000000" w:rsidRPr="00F26901" w:rsidP="00F26901">
            <w:pPr>
              <w:pStyle w:val="BodyText"/>
            </w:pPr>
            <w:r w:rsidRPr="00F26901">
              <w:t>UEECD0051 Use drawings, diagrams, schedules, standards, codes and specifications</w:t>
            </w:r>
          </w:p>
          <w:p w:rsidR="00000000" w:rsidRPr="00F26901" w:rsidP="00F26901">
            <w:pPr>
              <w:pStyle w:val="BodyText"/>
            </w:pPr>
            <w:r w:rsidRPr="00F26901">
              <w:t>UEPMNT359 Test and commission instrumentation systems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4" w:name="O_1228907"/>
      <w:bookmarkEnd w:id="4"/>
      <w:r w:rsidRPr="00F269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Maintenance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5" w:name="O_1228906"/>
      <w:bookmarkEnd w:id="5"/>
      <w:r w:rsidRPr="00F269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Electricity generation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6" w:name="O_1228905"/>
      <w:bookmarkEnd w:id="6"/>
      <w:r w:rsidRPr="00F269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PERFORMANCE CRITERIA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Performance criteria describe the performance needed to demonstrate achievement of the element.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 xml:space="preserve">Plan and prepare for </w:t>
            </w:r>
            <w:r w:rsidRPr="00F26901">
              <w:t xml:space="preserve"> </w:t>
            </w:r>
            <w:r w:rsidRPr="00F26901">
              <w:rPr>
                <w:rStyle w:val="SpecialBold"/>
              </w:rPr>
              <w:t xml:space="preserve">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Requirements including scope of work and assigned roles are identified and confirmed with appropriate personnel or by site </w:t>
            </w:r>
            <w:r w:rsidRPr="00F26901">
              <w:t>inspection, in accordance with workplace procedures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Work, Health and Safety (WHS)/Occupational Health and Safety (OHS) regulations, legislative requirements, industry standards, codes of practice, manufacturers’ specifications, environmental obligat</w:t>
            </w:r>
            <w:r w:rsidRPr="00F26901">
              <w:t xml:space="preserve">ions and workplace procedures are reviewed in preparation for work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Resources are obtained and inspected for compliance with job specification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Relevant plans, drawings and manuals are selected and used,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Correct materials and components for work are obtained and inspected for compliance with job specification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Work is planned, sequenced and pri</w:t>
            </w:r>
            <w:r w:rsidRPr="00F26901">
              <w:t xml:space="preserve">oritised,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Potential hazards are identified and risk control measures are selected and implemented, in accordance with workplace procedures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Work area is prepared, in accordance with workplace and site procedures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Isolations for work are confirmed, where appropriate,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Wiring systems are tested, in accordance with workplace procedures, plans, drawings and manuals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Wiring systems, including enclosures and supports, are inspected prior to testing, in accordance with workplace procedures, to ensure absence of damage,</w:t>
            </w:r>
            <w:r w:rsidRPr="00F26901">
              <w:t xml:space="preserve"> defects and deterioration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Fixed wiring is tested, in accordance with workplace procedures and results are documented to confirm compliance with job specification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Test piping and tubing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Isolations are confirmed, where appropriate,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Piping and tubing systems are tested, in accordance with workplace procedures, plans, drawings and manuals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Piping and tubing systems, including enclosures </w:t>
            </w:r>
            <w:r w:rsidRPr="00F26901">
              <w:t xml:space="preserve">and supports are inspected prior to testing, in accordance with workplace procedures, to ensure absence of damage, defects and deterioration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Fixed piping and tubing is tested, in accordance with workplace procedures and results are documented to confirm compliance with job specification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Isolations are confirmed, where appropriate,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Complex instrumentation equipment is tested, in accordance with workplace procedures, using plans, drawings and manuals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Test conditions are confirmed and complex instrumentation equipment is inspected, in accordance with workplace procedures</w:t>
            </w:r>
            <w:r w:rsidRPr="00F26901">
              <w:t xml:space="preserve"> to ensure absence of damage, defects or deterioration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Complex instrumentation equipment is tested, in accordance with workplace procedures, using appropriate techniques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Complex instrumentation equipment test results are documented to confirm compliance with job specification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rPr>
                <w:rStyle w:val="SpecialBold"/>
              </w:rPr>
              <w:t>Commission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 xml:space="preserve">Isolations are confirmed, where appropriate, in accordance with workplace procedures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Complex instrumentation equi</w:t>
            </w:r>
            <w:r w:rsidRPr="00F26901">
              <w:t xml:space="preserve">pment is commissioned, in accordance with workplace procedures, plans, drawings and manuals 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t>Complex instrumentation equipment is set up, in accordance with workplace procedures, operational requirements and manufacturers</w:t>
            </w:r>
            <w:r>
              <w:t>’</w:t>
            </w:r>
            <w:r w:rsidRPr="00F26901">
              <w:t xml:space="preserve"> specifications</w:t>
            </w:r>
          </w:p>
        </w:tc>
      </w:tr>
      <w:tr w:rsidTr="00F269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01">
            <w:pPr>
              <w:pStyle w:val="BodyText"/>
              <w:rPr>
                <w:lang w:val="en-NZ"/>
              </w:rPr>
            </w:pPr>
            <w:r w:rsidRPr="00F2690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Testing and monitoring is implemented, in accordance with workplace procedures and the results are monitored and documented to ensure equipment operates to manufacturers</w:t>
            </w:r>
            <w:r>
              <w:t>’</w:t>
            </w:r>
            <w:r w:rsidRPr="00F26901">
              <w:t xml:space="preserve"> specifications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7" w:name="O_1228904"/>
      <w:bookmarkEnd w:id="7"/>
      <w:r w:rsidRPr="00F269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 xml:space="preserve">Foundation skills essential to </w:t>
            </w:r>
            <w:r w:rsidRPr="00F26901">
              <w:t>performance are explicit in the performance criteria of this unit of competency.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8" w:name="O_1228903"/>
      <w:bookmarkEnd w:id="8"/>
      <w:r w:rsidRPr="00F269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Range is restricted to essential operating conditions and any other variables essential to the work environment.</w:t>
            </w:r>
          </w:p>
          <w:p w:rsidR="00000000" w:rsidRPr="00F26901" w:rsidP="00F26901">
            <w:pPr>
              <w:pStyle w:val="BodyText"/>
            </w:pPr>
            <w:r w:rsidRPr="00F26901">
              <w:t>Non-essential conditi</w:t>
            </w:r>
            <w:r w:rsidRPr="00F26901">
              <w:t>ons may be found in the Companion Volume Implementation Guide.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9" w:name="O_1228902"/>
      <w:bookmarkEnd w:id="9"/>
      <w:r w:rsidRPr="00F269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9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01" w:rsidP="00F26901">
            <w:pPr>
              <w:pStyle w:val="BodyText"/>
            </w:pPr>
            <w:r w:rsidRPr="00F26901">
              <w:t>This unit replaces and is equivalent to UEPMNT430B Test and commission complex instrumentation equipment.</w:t>
            </w:r>
          </w:p>
        </w:tc>
      </w:tr>
    </w:tbl>
    <w:p w:rsidR="00000000" w:rsidRPr="00F26901" w:rsidP="00F26901">
      <w:pPr>
        <w:pStyle w:val="NoPaddingFontSize1"/>
      </w:pPr>
    </w:p>
    <w:p w:rsidR="00000000" w:rsidRPr="00F26901" w:rsidP="00F26901">
      <w:pPr>
        <w:pStyle w:val="AllowPageBreak"/>
      </w:pPr>
    </w:p>
    <w:p w:rsidR="00000000" w:rsidRPr="00F26901" w:rsidP="00F26901">
      <w:pPr>
        <w:pStyle w:val="Heading1"/>
      </w:pPr>
      <w:bookmarkStart w:id="10" w:name="O_1228911"/>
      <w:bookmarkEnd w:id="10"/>
      <w:r w:rsidRPr="00F26901">
        <w:t>Links</w:t>
      </w:r>
    </w:p>
    <w:p w:rsidR="00000000" w:rsidRPr="00F26901" w:rsidP="00A4659A">
      <w:pPr>
        <w:pStyle w:val="BodyText"/>
      </w:pPr>
      <w:r w:rsidRPr="00F269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F03C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26901" w:rsidP="00F26901"/>
    <w:sectPr w:rsidSect="00F269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1" w:rsidRPr="00A4659A" w:rsidP="00A46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9A" w:rsidP="00F26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59A" w:rsidP="00F26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659A" w:rsidP="00F26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901" w:rsidRPr="00A4659A" w:rsidP="00A46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9A" w:rsidRPr="002D2AF8" w:rsidP="00F26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UEPMNT430 Test and commission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4659A" w:rsidP="00F26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901"/>
  </w:style>
  <w:style w:type="character" w:customStyle="1" w:styleId="Heading1Char">
    <w:name w:val="Heading 1 Char"/>
    <w:basedOn w:val="DefaultParagraphFont"/>
    <w:link w:val="Heading1"/>
    <w:rsid w:val="00F26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9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6901"/>
    <w:rPr>
      <w:b/>
      <w:spacing w:val="0"/>
    </w:rPr>
  </w:style>
  <w:style w:type="paragraph" w:customStyle="1" w:styleId="SuperHeading">
    <w:name w:val="SuperHeading"/>
    <w:basedOn w:val="Normal"/>
    <w:rsid w:val="00F26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6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9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69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6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9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901"/>
    <w:rPr>
      <w:i/>
    </w:rPr>
  </w:style>
  <w:style w:type="paragraph" w:styleId="Caption">
    <w:name w:val="caption"/>
    <w:basedOn w:val="BodyText"/>
    <w:next w:val="Normal"/>
    <w:qFormat/>
    <w:rsid w:val="00F26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901"/>
  </w:style>
  <w:style w:type="paragraph" w:styleId="TableofFigures">
    <w:name w:val="table of figures"/>
    <w:basedOn w:val="Normal"/>
    <w:next w:val="Normal"/>
    <w:semiHidden/>
    <w:rsid w:val="00F26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9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6901"/>
    <w:rPr>
      <w:rFonts w:ascii="Wingdings" w:hAnsi="Wingdings"/>
    </w:rPr>
  </w:style>
  <w:style w:type="paragraph" w:customStyle="1" w:styleId="TableHeading">
    <w:name w:val="Table Heading"/>
    <w:basedOn w:val="HeadingBase"/>
    <w:rsid w:val="00F26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901"/>
    <w:rPr>
      <w:color w:val="0033CC"/>
      <w:u w:val="none"/>
    </w:rPr>
  </w:style>
  <w:style w:type="paragraph" w:customStyle="1" w:styleId="BodyTextRight">
    <w:name w:val="Body Text Right"/>
    <w:basedOn w:val="BodyText"/>
    <w:rsid w:val="00F26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9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901"/>
    <w:rPr>
      <w:sz w:val="32"/>
    </w:rPr>
  </w:style>
  <w:style w:type="paragraph" w:customStyle="1" w:styleId="HeadingProcedure">
    <w:name w:val="Heading Procedure"/>
    <w:basedOn w:val="HeadingBase"/>
    <w:next w:val="Normal"/>
    <w:rsid w:val="00F26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901"/>
    <w:pPr>
      <w:spacing w:before="60" w:after="60"/>
    </w:pPr>
  </w:style>
  <w:style w:type="paragraph" w:styleId="ListContinue">
    <w:name w:val="List Continue"/>
    <w:basedOn w:val="List"/>
    <w:rsid w:val="00F26901"/>
    <w:pPr>
      <w:ind w:firstLine="0"/>
    </w:pPr>
  </w:style>
  <w:style w:type="paragraph" w:customStyle="1" w:styleId="ListNote">
    <w:name w:val="List Note"/>
    <w:basedOn w:val="List"/>
    <w:rsid w:val="00F26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901"/>
    <w:rPr>
      <w:rFonts w:ascii="Courier New" w:hAnsi="Courier New"/>
    </w:rPr>
  </w:style>
  <w:style w:type="paragraph" w:customStyle="1" w:styleId="NoteBullet">
    <w:name w:val="Note Bullet"/>
    <w:basedOn w:val="Note"/>
    <w:rsid w:val="00F26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9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6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901"/>
    <w:rPr>
      <w:b/>
      <w:smallCaps/>
    </w:rPr>
  </w:style>
  <w:style w:type="paragraph" w:customStyle="1" w:styleId="TableListNumber">
    <w:name w:val="Table List Number"/>
    <w:basedOn w:val="ListNumber"/>
    <w:rsid w:val="00F26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901"/>
    <w:pPr>
      <w:numPr>
        <w:numId w:val="7"/>
      </w:numPr>
    </w:pPr>
  </w:style>
  <w:style w:type="paragraph" w:customStyle="1" w:styleId="ListAlpha2">
    <w:name w:val="List Alpha 2"/>
    <w:basedOn w:val="List2"/>
    <w:rsid w:val="00F26901"/>
    <w:pPr>
      <w:numPr>
        <w:numId w:val="6"/>
      </w:numPr>
    </w:pPr>
  </w:style>
  <w:style w:type="paragraph" w:styleId="List2">
    <w:name w:val="List 2"/>
    <w:basedOn w:val="BodyText"/>
    <w:rsid w:val="00F26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9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9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6901"/>
    <w:pPr>
      <w:numPr>
        <w:numId w:val="2"/>
      </w:numPr>
    </w:pPr>
  </w:style>
  <w:style w:type="paragraph" w:styleId="ListContinue2">
    <w:name w:val="List Continue 2"/>
    <w:basedOn w:val="List2"/>
    <w:rsid w:val="00F26901"/>
    <w:pPr>
      <w:ind w:firstLine="0"/>
    </w:pPr>
  </w:style>
  <w:style w:type="paragraph" w:styleId="ListContinue3">
    <w:name w:val="List Continue 3"/>
    <w:basedOn w:val="List3"/>
    <w:rsid w:val="00F26901"/>
    <w:pPr>
      <w:ind w:left="1021" w:firstLine="0"/>
    </w:pPr>
  </w:style>
  <w:style w:type="paragraph" w:styleId="ListContinue4">
    <w:name w:val="List Continue 4"/>
    <w:basedOn w:val="List4"/>
    <w:rsid w:val="00F26901"/>
    <w:pPr>
      <w:ind w:firstLine="0"/>
    </w:pPr>
  </w:style>
  <w:style w:type="paragraph" w:styleId="ListContinue5">
    <w:name w:val="List Continue 5"/>
    <w:basedOn w:val="List5"/>
    <w:rsid w:val="00F26901"/>
    <w:pPr>
      <w:ind w:firstLine="0"/>
    </w:pPr>
  </w:style>
  <w:style w:type="paragraph" w:styleId="ListNumber3">
    <w:name w:val="List Number 3"/>
    <w:basedOn w:val="List3"/>
    <w:rsid w:val="00F26901"/>
    <w:pPr>
      <w:numPr>
        <w:numId w:val="3"/>
      </w:numPr>
    </w:pPr>
  </w:style>
  <w:style w:type="paragraph" w:styleId="ListNumber4">
    <w:name w:val="List Number 4"/>
    <w:basedOn w:val="List4"/>
    <w:rsid w:val="00F26901"/>
    <w:pPr>
      <w:numPr>
        <w:numId w:val="4"/>
      </w:numPr>
    </w:pPr>
  </w:style>
  <w:style w:type="paragraph" w:styleId="ListNumber5">
    <w:name w:val="List Number 5"/>
    <w:basedOn w:val="List5"/>
    <w:rsid w:val="00F26901"/>
    <w:pPr>
      <w:numPr>
        <w:numId w:val="5"/>
      </w:numPr>
    </w:pPr>
  </w:style>
  <w:style w:type="paragraph" w:styleId="BlockText">
    <w:name w:val="Block Text"/>
    <w:basedOn w:val="Normal"/>
    <w:rsid w:val="00F26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901"/>
    <w:rPr>
      <w:sz w:val="16"/>
      <w:vertAlign w:val="superscript"/>
    </w:rPr>
  </w:style>
  <w:style w:type="character" w:customStyle="1" w:styleId="Symbols">
    <w:name w:val="Symbols"/>
    <w:basedOn w:val="DefaultParagraphFont"/>
    <w:rsid w:val="00F26901"/>
    <w:rPr>
      <w:rFonts w:ascii="Symbol" w:hAnsi="Symbol"/>
    </w:rPr>
  </w:style>
  <w:style w:type="character" w:customStyle="1" w:styleId="MenuOptions">
    <w:name w:val="Menu Options"/>
    <w:basedOn w:val="DefaultParagraphFont"/>
    <w:rsid w:val="00F26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901"/>
    <w:rPr>
      <w:b/>
    </w:rPr>
  </w:style>
  <w:style w:type="character" w:customStyle="1" w:styleId="Underlined">
    <w:name w:val="Underlined"/>
    <w:basedOn w:val="DefaultParagraphFont"/>
    <w:rsid w:val="00F26901"/>
    <w:rPr>
      <w:u w:val="single"/>
    </w:rPr>
  </w:style>
  <w:style w:type="paragraph" w:customStyle="1" w:styleId="TableBodyTextRight">
    <w:name w:val="Table Body Text Right"/>
    <w:basedOn w:val="TableBodyText"/>
    <w:rsid w:val="00F26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901"/>
    <w:rPr>
      <w:sz w:val="18"/>
    </w:rPr>
  </w:style>
  <w:style w:type="paragraph" w:customStyle="1" w:styleId="BodySmallRight">
    <w:name w:val="Body Small Right"/>
    <w:basedOn w:val="BodyTextRight"/>
    <w:rsid w:val="00F26901"/>
    <w:rPr>
      <w:sz w:val="18"/>
      <w:szCs w:val="18"/>
    </w:rPr>
  </w:style>
  <w:style w:type="paragraph" w:customStyle="1" w:styleId="MarginEdition">
    <w:name w:val="Margin Edition"/>
    <w:basedOn w:val="MarginNote"/>
    <w:rsid w:val="00F26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901"/>
    <w:rPr>
      <w:sz w:val="2"/>
      <w:szCs w:val="2"/>
    </w:rPr>
  </w:style>
  <w:style w:type="character" w:customStyle="1" w:styleId="Small">
    <w:name w:val="Small"/>
    <w:basedOn w:val="DefaultParagraphFont"/>
    <w:rsid w:val="00F26901"/>
    <w:rPr>
      <w:sz w:val="16"/>
    </w:rPr>
  </w:style>
  <w:style w:type="paragraph" w:customStyle="1" w:styleId="WideTable">
    <w:name w:val="Wide Table"/>
    <w:basedOn w:val="Normal"/>
    <w:rsid w:val="00F26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901"/>
  </w:style>
  <w:style w:type="paragraph" w:styleId="Quote">
    <w:name w:val="Quote"/>
    <w:basedOn w:val="Heading1"/>
    <w:link w:val="QuoteChar"/>
    <w:qFormat/>
    <w:rsid w:val="00F26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901"/>
    <w:pPr>
      <w:pageBreakBefore/>
    </w:pPr>
  </w:style>
  <w:style w:type="paragraph" w:customStyle="1" w:styleId="Border">
    <w:name w:val="Border"/>
    <w:basedOn w:val="Normal"/>
    <w:qFormat/>
    <w:rsid w:val="00F26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901"/>
    <w:rPr>
      <w:u w:val="single"/>
    </w:rPr>
  </w:style>
  <w:style w:type="character" w:customStyle="1" w:styleId="BoldandItalics">
    <w:name w:val="Bold and Italics"/>
    <w:qFormat/>
    <w:rsid w:val="00F26901"/>
    <w:rPr>
      <w:b/>
      <w:i/>
      <w:u w:val="none"/>
    </w:rPr>
  </w:style>
  <w:style w:type="paragraph" w:styleId="BalloonText">
    <w:name w:val="Balloon Text"/>
    <w:basedOn w:val="Normal"/>
    <w:link w:val="BalloonTextChar"/>
    <w:rsid w:val="00F26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901"/>
    <w:pPr>
      <w:spacing w:before="0" w:after="0"/>
    </w:pPr>
  </w:style>
  <w:style w:type="paragraph" w:customStyle="1" w:styleId="BodyTextBold">
    <w:name w:val="Body Text Bold"/>
    <w:basedOn w:val="BodyText"/>
    <w:qFormat/>
    <w:rsid w:val="00F26901"/>
    <w:rPr>
      <w:b/>
    </w:rPr>
  </w:style>
  <w:style w:type="character" w:styleId="Hyperlink">
    <w:name w:val="Hyperlink"/>
    <w:basedOn w:val="DefaultParagraphFont"/>
    <w:uiPriority w:val="99"/>
    <w:unhideWhenUsed/>
    <w:rsid w:val="00A46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891</Words>
  <Characters>5893</Characters>
  <Application>Microsoft Office Word</Application>
  <DocSecurity>0</DocSecurity>
  <Lines>245</Lines>
  <Paragraphs>114</Paragraphs>
  <ScaleCrop>false</ScaleCrop>
  <Company>Author-it Software Corporation Ltd.</Company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UEPMNT430 Test and commission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