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4029" w:rsidP="00C040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UEPMNT430 Test and commission complex instrumentation equipment</w:t>
      </w:r>
      <w:r>
        <w:fldChar w:fldCharType="end"/>
      </w:r>
    </w:p>
    <w:p w:rsidR="00C04029" w:rsidP="00C04029">
      <w:pPr>
        <w:pStyle w:val="Version"/>
        <w:sectPr w:rsidSect="003369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69A0" w:rsidP="003369A0">
      <w:pPr>
        <w:pStyle w:val="SuperHeading"/>
      </w:pPr>
      <w:r w:rsidRPr="003369A0">
        <w:t>UEPMNT430 Test and commission complex instrumentation equipment</w:t>
      </w:r>
    </w:p>
    <w:p w:rsidR="00000000" w:rsidRPr="003369A0" w:rsidP="003369A0">
      <w:pPr>
        <w:pStyle w:val="Heading1"/>
      </w:pPr>
      <w:bookmarkStart w:id="1" w:name="O_1228910"/>
      <w:bookmarkEnd w:id="1"/>
      <w:r w:rsidRPr="003369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Release 2.</w:t>
            </w:r>
            <w:r w:rsidRPr="003369A0">
              <w:t xml:space="preserve"> Minor release to update superseded pre-requisite units.</w:t>
            </w:r>
          </w:p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Release 1</w:t>
            </w:r>
            <w:r w:rsidRPr="003369A0">
              <w:t>. This is the first release of this unit of competency in the UEP Generation Training Package.</w:t>
            </w:r>
          </w:p>
        </w:tc>
      </w:tr>
    </w:tbl>
    <w:p w:rsidR="00000000" w:rsidRPr="003369A0" w:rsidP="003369A0">
      <w:pPr>
        <w:pStyle w:val="NoPaddingFontSize1"/>
      </w:pPr>
    </w:p>
    <w:p w:rsidR="00000000" w:rsidRPr="003369A0" w:rsidP="003369A0">
      <w:pPr>
        <w:pStyle w:val="AllowPageBreak"/>
      </w:pPr>
    </w:p>
    <w:p w:rsidR="00000000" w:rsidRPr="003369A0" w:rsidP="003369A0">
      <w:pPr>
        <w:pStyle w:val="Heading1"/>
      </w:pPr>
      <w:bookmarkStart w:id="2" w:name="O_1228909"/>
      <w:bookmarkEnd w:id="2"/>
      <w:r w:rsidRPr="003369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t>This unit involves the skills and knowledge required to conduct testing and commissioning of complex instrumentation used in mul</w:t>
            </w:r>
            <w:r w:rsidRPr="003369A0">
              <w:t>ti-loop configurations, including but not limited to, laboratory and field analysers, totaliser units, signal characterising, microprocessor control, interface, ultrasonic and nucleonic equipment.</w:t>
            </w:r>
          </w:p>
          <w:p w:rsidR="00000000" w:rsidRPr="003369A0" w:rsidP="003369A0">
            <w:pPr>
              <w:pStyle w:val="BodyText"/>
            </w:pPr>
            <w:r w:rsidRPr="003369A0">
              <w:t>Commissioning and testing ensures that all complex instrume</w:t>
            </w:r>
            <w:r w:rsidRPr="003369A0">
              <w:t>ntation equipment, which is used to measure, monitor, automate and control processes in a power generation facility are working efficiently and meeting operational requirements.</w:t>
            </w:r>
          </w:p>
          <w:p w:rsidR="00000000" w:rsidRPr="003369A0" w:rsidP="003369A0">
            <w:pPr>
              <w:pStyle w:val="BodyText"/>
            </w:pPr>
            <w:r w:rsidRPr="003369A0">
              <w:t>Competency in this unit requires the ability to plan work, test complex instru</w:t>
            </w:r>
            <w:r w:rsidRPr="003369A0">
              <w:t>mentation equipment wiring systems,</w:t>
            </w:r>
            <w:r w:rsidRPr="003369A0">
              <w:rPr>
                <w:rStyle w:val="SpecialBold"/>
              </w:rPr>
              <w:t xml:space="preserve"> </w:t>
            </w:r>
            <w:r w:rsidRPr="003369A0">
              <w:t>test complex instrumentation equipment piping and tubing systems, test complex instrumentation equipment, commission complex instrumentation equipment and to report on all completed work tasks. Individuals will, in gener</w:t>
            </w:r>
            <w:r w:rsidRPr="003369A0">
              <w:t xml:space="preserve">al, work under supervision in an electrical, electronic and/or mechanical equipment repair workshop or on site. </w:t>
            </w:r>
          </w:p>
          <w:p w:rsidR="00000000" w:rsidRPr="003369A0" w:rsidP="003369A0">
            <w:pPr>
              <w:pStyle w:val="BodyText"/>
            </w:pPr>
            <w:r w:rsidRPr="003369A0">
              <w:t xml:space="preserve">Power generation maintenance personnel are typically trained and authorised to receive permits to work. </w:t>
            </w:r>
          </w:p>
          <w:p w:rsidR="00000000" w:rsidRPr="003369A0" w:rsidP="003369A0">
            <w:pPr>
              <w:pStyle w:val="BodyText"/>
            </w:pPr>
            <w:r w:rsidRPr="003369A0">
              <w:t>No licensing, legislative or certifica</w:t>
            </w:r>
            <w:r w:rsidRPr="003369A0">
              <w:t>tion requirements apply to this unit at the time of publication.</w:t>
            </w:r>
          </w:p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Note: Workplace practice</w:t>
            </w:r>
          </w:p>
          <w:p w:rsidR="00000000" w:rsidRPr="003369A0" w:rsidP="003369A0">
            <w:pPr>
              <w:pStyle w:val="BodyText"/>
            </w:pPr>
            <w:r w:rsidRPr="003369A0">
              <w:t xml:space="preserve">The application of the skills and knowledge described in this unit of competency may require a licence or training permit to practice in the workplace, where work is </w:t>
            </w:r>
            <w:r w:rsidRPr="003369A0">
              <w:t xml:space="preserve">carried out on gas and electrical installations. Additional and/or other conditions may apply under state and territory legislative and regulatory licensing requirements. </w:t>
            </w:r>
          </w:p>
        </w:tc>
      </w:tr>
    </w:tbl>
    <w:p w:rsidR="00000000" w:rsidRPr="003369A0" w:rsidP="003369A0">
      <w:pPr>
        <w:pStyle w:val="NoPaddingFontSize1"/>
      </w:pPr>
    </w:p>
    <w:p w:rsidR="00000000" w:rsidRPr="003369A0" w:rsidP="003369A0">
      <w:pPr>
        <w:pStyle w:val="AllowPageBreak"/>
      </w:pPr>
    </w:p>
    <w:p w:rsidR="00000000" w:rsidRPr="003369A0" w:rsidP="003369A0">
      <w:pPr>
        <w:pStyle w:val="Heading1"/>
      </w:pPr>
      <w:bookmarkStart w:id="3" w:name="O_1228908"/>
      <w:bookmarkEnd w:id="3"/>
      <w:r w:rsidRPr="003369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t xml:space="preserve">UEECD0019 Fabricate, assemble and dismantle </w:t>
            </w:r>
            <w:r w:rsidRPr="003369A0">
              <w:t>utilities industry components</w:t>
            </w:r>
          </w:p>
          <w:p w:rsidR="00000000" w:rsidRPr="003369A0" w:rsidP="003369A0">
            <w:pPr>
              <w:pStyle w:val="BodyText"/>
            </w:pPr>
            <w:r w:rsidRPr="003369A0">
              <w:t>UEECD0020 Fix and secure electrotechnology equipment</w:t>
            </w:r>
          </w:p>
          <w:p w:rsidR="00000000" w:rsidRPr="003369A0" w:rsidP="003369A0">
            <w:pPr>
              <w:pStyle w:val="BodyText"/>
            </w:pPr>
            <w:r w:rsidRPr="003369A0">
              <w:t>UEECD0051 Use drawings, diagrams, schedules, standards, codes and specifications</w:t>
            </w:r>
          </w:p>
          <w:p w:rsidR="00000000" w:rsidRPr="003369A0" w:rsidP="003369A0">
            <w:pPr>
              <w:pStyle w:val="BodyText"/>
            </w:pPr>
            <w:r w:rsidRPr="003369A0">
              <w:t>UEPMNT359 Test and commission instrumentation systems</w:t>
            </w:r>
          </w:p>
        </w:tc>
      </w:tr>
    </w:tbl>
    <w:p w:rsidR="00000000" w:rsidRPr="003369A0" w:rsidP="003369A0">
      <w:pPr>
        <w:pStyle w:val="NoPaddingFontSize1"/>
      </w:pPr>
    </w:p>
    <w:p w:rsidR="00000000" w:rsidRPr="003369A0" w:rsidP="003369A0">
      <w:pPr>
        <w:pStyle w:val="AllowPageBreak"/>
      </w:pPr>
    </w:p>
    <w:p w:rsidR="00000000" w:rsidRPr="003369A0" w:rsidP="003369A0">
      <w:pPr>
        <w:pStyle w:val="Heading1"/>
      </w:pPr>
      <w:bookmarkStart w:id="4" w:name="O_1228907"/>
      <w:bookmarkEnd w:id="4"/>
      <w:r w:rsidRPr="003369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t>Maintenance</w:t>
            </w:r>
          </w:p>
        </w:tc>
      </w:tr>
    </w:tbl>
    <w:p w:rsidR="00000000" w:rsidRPr="003369A0" w:rsidP="003369A0">
      <w:pPr>
        <w:pStyle w:val="NoPaddingFontSize1"/>
      </w:pPr>
    </w:p>
    <w:p w:rsidR="00000000" w:rsidRPr="003369A0" w:rsidP="003369A0">
      <w:pPr>
        <w:pStyle w:val="AllowPageBreak"/>
      </w:pPr>
    </w:p>
    <w:p w:rsidR="00000000" w:rsidRPr="003369A0" w:rsidP="003369A0">
      <w:pPr>
        <w:pStyle w:val="Heading1"/>
      </w:pPr>
      <w:bookmarkStart w:id="5" w:name="O_1228906"/>
      <w:bookmarkEnd w:id="5"/>
      <w:r w:rsidRPr="003369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t>Electricity generation</w:t>
            </w:r>
          </w:p>
        </w:tc>
      </w:tr>
    </w:tbl>
    <w:p w:rsidR="00000000" w:rsidRPr="003369A0" w:rsidP="003369A0">
      <w:pPr>
        <w:pStyle w:val="NoPaddingFontSize1"/>
      </w:pPr>
    </w:p>
    <w:p w:rsidR="00000000" w:rsidRPr="003369A0" w:rsidP="003369A0">
      <w:pPr>
        <w:pStyle w:val="AllowPageBreak"/>
      </w:pPr>
    </w:p>
    <w:p w:rsidR="00000000" w:rsidRPr="003369A0" w:rsidP="003369A0">
      <w:pPr>
        <w:pStyle w:val="Heading1"/>
      </w:pPr>
      <w:bookmarkStart w:id="6" w:name="O_1228905"/>
      <w:bookmarkEnd w:id="6"/>
      <w:r w:rsidRPr="003369A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PERFORMANCE CRITERIA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Performance criteria describe the performance needed to demonstrate achievement of the element.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 xml:space="preserve">Plan and prepare for </w:t>
            </w:r>
            <w:r w:rsidRPr="003369A0">
              <w:t xml:space="preserve"> </w:t>
            </w:r>
            <w:r w:rsidRPr="003369A0">
              <w:rPr>
                <w:rStyle w:val="SpecialBold"/>
              </w:rPr>
              <w:t xml:space="preserve">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 xml:space="preserve">Requirements including scope of work and assigned roles are identified and confirmed with appropriate personnel or by site </w:t>
            </w:r>
            <w:r w:rsidRPr="003369A0">
              <w:t>inspection, in accordance with workplace procedures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Work, Health and Safety (WHS)/Occupational Health and Safety (OHS) regulations, legislative requirements, industry standards, codes of practice, manufacturers’ specifications, environmental obligat</w:t>
            </w:r>
            <w:r w:rsidRPr="003369A0">
              <w:t xml:space="preserve">ions and workplace procedures are reviewed in preparation for work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Resources are obtained and inspected for compliance with job specification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 xml:space="preserve">Relevant plans, drawings and manuals are selected and used, in accordance with workplace procedures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Correct materials and components for work are obtained and inspected for compliance with job specification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Work is planned, sequenced and pri</w:t>
            </w:r>
            <w:r w:rsidRPr="003369A0">
              <w:t xml:space="preserve">oritised, in accordance with workplace procedures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Potential hazards are identified and risk control measures are selected and implemented, in accordance with workplace procedures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Work area is prepared, in accordance with workplace and site procedures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Test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 xml:space="preserve">Isolations for work are confirmed, where appropriate, in accordance with workplace procedures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 xml:space="preserve">Wiring systems are tested, in accordance with workplace procedures, plans, drawings and manuals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Wiring systems, including enclosures and supports, are inspected prior to testing, in accordance with workplace procedures, to ensure absence of damage,</w:t>
            </w:r>
            <w:r w:rsidRPr="003369A0">
              <w:t xml:space="preserve"> defects and deterioration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Fixed wiring is tested, in accordance with workplace procedures and results are documented to confirm compliance with job specification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Test piping and tubing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 xml:space="preserve">Isolations are confirmed, where appropriate, in accordance with workplace procedures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 xml:space="preserve">Piping and tubing systems are tested, in accordance with workplace procedures, plans, drawings and manuals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 xml:space="preserve">Piping and tubing systems, including enclosures </w:t>
            </w:r>
            <w:r w:rsidRPr="003369A0">
              <w:t xml:space="preserve">and supports are inspected prior to testing, in accordance with workplace procedures, to ensure absence of damage, defects and deterioration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 xml:space="preserve">Fixed piping and tubing is tested, in accordance with workplace procedures and results are documented to confirm compliance with job specification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Test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 xml:space="preserve">Isolations are confirmed, where appropriate, in accordance with workplace procedures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 xml:space="preserve">Complex instrumentation equipment is tested, in accordance with workplace procedures, using plans, drawings and manuals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Test conditions are confirmed and complex instrumentation equipment is inspected, in accordance with workplace procedures</w:t>
            </w:r>
            <w:r w:rsidRPr="003369A0">
              <w:t xml:space="preserve"> to ensure absence of damage, defects or deterioration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 xml:space="preserve">Complex instrumentation equipment is tested, in accordance with workplace procedures, using appropriate techniques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Complex instrumentation equipment test results are documented to confirm compliance with job specification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Commission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 xml:space="preserve">Isolations are confirmed, where appropriate, in accordance with workplace procedures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Complex instrumentation equi</w:t>
            </w:r>
            <w:r w:rsidRPr="003369A0">
              <w:t xml:space="preserve">pment is commissioned, in accordance with workplace procedures, plans, drawings and manuals 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Complex instrumentation equipment is set up, in accordance with workplace procedures, operational requirements and manufacturers</w:t>
            </w:r>
            <w:r>
              <w:t>’</w:t>
            </w:r>
            <w:r w:rsidRPr="003369A0">
              <w:t xml:space="preserve"> specifications</w:t>
            </w:r>
          </w:p>
        </w:tc>
      </w:tr>
      <w:tr w:rsidTr="003369A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t>Testing and monitoring is implemented, in accordance with workplace procedures and the results are monitored and documented to ensure equipment operates to manufacturers</w:t>
            </w:r>
            <w:r>
              <w:t>’</w:t>
            </w:r>
            <w:r w:rsidRPr="003369A0">
              <w:t xml:space="preserve"> specifications</w:t>
            </w:r>
          </w:p>
        </w:tc>
      </w:tr>
    </w:tbl>
    <w:p w:rsidR="00000000" w:rsidRPr="003369A0" w:rsidP="003369A0">
      <w:pPr>
        <w:pStyle w:val="NoPaddingFontSize1"/>
      </w:pPr>
    </w:p>
    <w:p w:rsidR="00000000" w:rsidRPr="003369A0" w:rsidP="003369A0">
      <w:pPr>
        <w:pStyle w:val="AllowPageBreak"/>
      </w:pPr>
    </w:p>
    <w:p w:rsidR="00000000" w:rsidRPr="003369A0" w:rsidP="003369A0">
      <w:pPr>
        <w:pStyle w:val="Heading1"/>
      </w:pPr>
      <w:bookmarkStart w:id="7" w:name="O_1228904"/>
      <w:bookmarkEnd w:id="7"/>
      <w:r w:rsidRPr="003369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t xml:space="preserve">Foundation skills essential to </w:t>
            </w:r>
            <w:r w:rsidRPr="003369A0">
              <w:t>performance are explicit in the performance criteria of this unit of competency.</w:t>
            </w:r>
          </w:p>
        </w:tc>
      </w:tr>
    </w:tbl>
    <w:p w:rsidR="00000000" w:rsidRPr="003369A0" w:rsidP="003369A0">
      <w:pPr>
        <w:pStyle w:val="NoPaddingFontSize1"/>
      </w:pPr>
    </w:p>
    <w:p w:rsidR="00000000" w:rsidRPr="003369A0" w:rsidP="003369A0">
      <w:pPr>
        <w:pStyle w:val="AllowPageBreak"/>
      </w:pPr>
    </w:p>
    <w:p w:rsidR="00000000" w:rsidRPr="003369A0" w:rsidP="003369A0">
      <w:pPr>
        <w:pStyle w:val="Heading1"/>
      </w:pPr>
      <w:bookmarkStart w:id="8" w:name="O_1228903"/>
      <w:bookmarkEnd w:id="8"/>
      <w:r w:rsidRPr="003369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t>Range is restricted to essential operating conditions and any other variables essential to the work environment.</w:t>
            </w:r>
          </w:p>
          <w:p w:rsidR="00000000" w:rsidRPr="003369A0" w:rsidP="003369A0">
            <w:pPr>
              <w:pStyle w:val="BodyText"/>
            </w:pPr>
            <w:r w:rsidRPr="003369A0">
              <w:t>Non-essential conditi</w:t>
            </w:r>
            <w:r w:rsidRPr="003369A0">
              <w:t>ons may be found in the Companion Volume Implementation Guide.</w:t>
            </w:r>
          </w:p>
        </w:tc>
      </w:tr>
    </w:tbl>
    <w:p w:rsidR="00000000" w:rsidRPr="003369A0" w:rsidP="003369A0">
      <w:pPr>
        <w:pStyle w:val="NoPaddingFontSize1"/>
      </w:pPr>
    </w:p>
    <w:p w:rsidR="00000000" w:rsidRPr="003369A0" w:rsidP="003369A0">
      <w:pPr>
        <w:pStyle w:val="AllowPageBreak"/>
      </w:pPr>
    </w:p>
    <w:p w:rsidR="00000000" w:rsidRPr="003369A0" w:rsidP="003369A0">
      <w:pPr>
        <w:pStyle w:val="Heading1"/>
      </w:pPr>
      <w:bookmarkStart w:id="9" w:name="O_1228902"/>
      <w:bookmarkEnd w:id="9"/>
      <w:r w:rsidRPr="003369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t>This unit replaces and is equivalent to UEPMNT430B Test and commission complex instrumentation equipment.</w:t>
            </w:r>
          </w:p>
        </w:tc>
      </w:tr>
    </w:tbl>
    <w:p w:rsidR="00000000" w:rsidRPr="003369A0" w:rsidP="003369A0">
      <w:pPr>
        <w:pStyle w:val="NoPaddingFontSize1"/>
      </w:pPr>
    </w:p>
    <w:p w:rsidR="00000000" w:rsidRPr="003369A0" w:rsidP="003369A0">
      <w:pPr>
        <w:pStyle w:val="AllowPageBreak"/>
      </w:pPr>
    </w:p>
    <w:p w:rsidR="00000000" w:rsidRPr="003369A0" w:rsidP="003369A0">
      <w:pPr>
        <w:pStyle w:val="Heading1"/>
      </w:pPr>
      <w:bookmarkStart w:id="10" w:name="O_1228911"/>
      <w:bookmarkEnd w:id="10"/>
      <w:r w:rsidRPr="003369A0">
        <w:t>Links</w:t>
      </w:r>
    </w:p>
    <w:p w:rsidR="00000000" w:rsidRPr="003369A0" w:rsidP="00C04029">
      <w:pPr>
        <w:pStyle w:val="BodyText"/>
      </w:pPr>
      <w:r w:rsidRPr="003369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438F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369A0" w:rsidP="00C04029">
      <w:pPr>
        <w:pStyle w:val="BodyText"/>
        <w:sectPr w:rsidSect="003369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69A0" w:rsidP="003369A0">
      <w:pPr>
        <w:pStyle w:val="SuperHeading"/>
      </w:pPr>
      <w:r w:rsidRPr="003369A0">
        <w:t xml:space="preserve">Assessment </w:t>
      </w:r>
      <w:r w:rsidRPr="003369A0">
        <w:t>Requirements for UEPMNT430 Test and commission complex instrumentation equipment</w:t>
      </w:r>
    </w:p>
    <w:p w:rsidR="00000000" w:rsidRPr="003369A0" w:rsidP="003369A0">
      <w:pPr>
        <w:pStyle w:val="Heading1"/>
      </w:pPr>
      <w:bookmarkStart w:id="11" w:name="O_1228900"/>
      <w:bookmarkEnd w:id="11"/>
      <w:r w:rsidRPr="003369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Release 2.</w:t>
            </w:r>
            <w:r w:rsidRPr="003369A0">
              <w:t xml:space="preserve"> Minor release to update superseded pre-requisite units.</w:t>
            </w:r>
          </w:p>
          <w:p w:rsidR="00000000" w:rsidRPr="003369A0" w:rsidP="003369A0">
            <w:pPr>
              <w:pStyle w:val="BodyText"/>
            </w:pPr>
            <w:r w:rsidRPr="003369A0">
              <w:rPr>
                <w:rStyle w:val="SpecialBold"/>
              </w:rPr>
              <w:t>Release 1</w:t>
            </w:r>
            <w:r w:rsidRPr="003369A0">
              <w:t>. This is the first release of this unit of competency in th</w:t>
            </w:r>
            <w:r w:rsidRPr="003369A0">
              <w:t>e UEP Generation Training Package.</w:t>
            </w:r>
          </w:p>
        </w:tc>
      </w:tr>
    </w:tbl>
    <w:p w:rsidR="00000000" w:rsidRPr="003369A0" w:rsidP="003369A0">
      <w:pPr>
        <w:pStyle w:val="NoPaddingFontSize1"/>
      </w:pPr>
    </w:p>
    <w:p w:rsidR="00000000" w:rsidRPr="003369A0" w:rsidP="003369A0">
      <w:pPr>
        <w:pStyle w:val="AllowPageBreak"/>
      </w:pPr>
    </w:p>
    <w:p w:rsidR="00000000" w:rsidRPr="003369A0" w:rsidP="003369A0">
      <w:pPr>
        <w:pStyle w:val="Heading1"/>
      </w:pPr>
      <w:bookmarkStart w:id="12" w:name="O_1228899"/>
      <w:bookmarkEnd w:id="12"/>
      <w:r w:rsidRPr="003369A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 xml:space="preserve">Evidence required to demonstrate competence in this unit must be relevant to and satisfy all the requirements of the elements, performance criteria and range </w:t>
            </w:r>
            <w:r w:rsidRPr="003369A0">
              <w:t xml:space="preserve">of conditions on at least two separate occasions and includes: </w:t>
            </w:r>
          </w:p>
        </w:tc>
      </w:tr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ListBullet"/>
            </w:pPr>
            <w:r w:rsidRPr="003369A0">
              <w:t>applying Work, Health and Safety (WHS)/Occupational Health and Safety (OHS) requirements including:</w:t>
            </w:r>
          </w:p>
          <w:p w:rsidR="00000000" w:rsidRPr="003369A0" w:rsidP="003369A0">
            <w:pPr>
              <w:pStyle w:val="ListBullet2"/>
            </w:pPr>
            <w:r w:rsidRPr="003369A0">
              <w:t>emergency procedures</w:t>
            </w:r>
          </w:p>
          <w:p w:rsidR="00000000" w:rsidRPr="003369A0" w:rsidP="003369A0">
            <w:pPr>
              <w:pStyle w:val="ListBullet2"/>
            </w:pPr>
            <w:r w:rsidRPr="003369A0">
              <w:t>hazard identification</w:t>
            </w:r>
          </w:p>
          <w:p w:rsidR="00000000" w:rsidRPr="003369A0" w:rsidP="003369A0">
            <w:pPr>
              <w:pStyle w:val="ListBullet2"/>
            </w:pPr>
            <w:r w:rsidRPr="003369A0">
              <w:t>risk control measures</w:t>
            </w:r>
          </w:p>
          <w:p w:rsidR="00000000" w:rsidRPr="003369A0" w:rsidP="003369A0">
            <w:pPr>
              <w:pStyle w:val="ListBullet2"/>
            </w:pPr>
            <w:r w:rsidRPr="003369A0">
              <w:t>safe working practices</w:t>
            </w:r>
          </w:p>
          <w:p w:rsidR="00000000" w:rsidRPr="003369A0" w:rsidP="003369A0">
            <w:pPr>
              <w:pStyle w:val="ListBullet"/>
            </w:pPr>
            <w:r w:rsidRPr="003369A0">
              <w:t>commissioning complex instrumentation equipment using commissioning techniques and procedures</w:t>
            </w:r>
          </w:p>
          <w:p w:rsidR="00000000" w:rsidRPr="003369A0" w:rsidP="003369A0">
            <w:pPr>
              <w:pStyle w:val="ListBullet"/>
            </w:pPr>
            <w:r w:rsidRPr="003369A0">
              <w:t xml:space="preserve">communicating with personnel </w:t>
            </w:r>
          </w:p>
          <w:p w:rsidR="00000000" w:rsidRPr="003369A0" w:rsidP="003369A0">
            <w:pPr>
              <w:pStyle w:val="ListBullet"/>
            </w:pPr>
            <w:r w:rsidRPr="003369A0">
              <w:t>determining permit to work requirements</w:t>
            </w:r>
          </w:p>
          <w:p w:rsidR="00000000" w:rsidRPr="003369A0" w:rsidP="003369A0">
            <w:pPr>
              <w:pStyle w:val="ListBullet"/>
            </w:pPr>
            <w:r w:rsidRPr="003369A0">
              <w:t xml:space="preserve">finalising work completion details </w:t>
            </w:r>
          </w:p>
          <w:p w:rsidR="00000000" w:rsidRPr="003369A0" w:rsidP="003369A0">
            <w:pPr>
              <w:pStyle w:val="ListBullet"/>
            </w:pPr>
            <w:r w:rsidRPr="003369A0">
              <w:t>implementing regulations, industry standards, codes of p</w:t>
            </w:r>
            <w:r w:rsidRPr="003369A0">
              <w:t>ractice and legislation</w:t>
            </w:r>
          </w:p>
          <w:p w:rsidR="00000000" w:rsidRPr="003369A0" w:rsidP="003369A0">
            <w:pPr>
              <w:pStyle w:val="ListBullet"/>
            </w:pPr>
            <w:r w:rsidRPr="003369A0">
              <w:t>inspecting and monitoring equipment</w:t>
            </w:r>
          </w:p>
          <w:p w:rsidR="00000000" w:rsidRPr="003369A0" w:rsidP="003369A0">
            <w:pPr>
              <w:pStyle w:val="ListBullet"/>
            </w:pPr>
            <w:r w:rsidRPr="003369A0">
              <w:t>interpreting manufacturers</w:t>
            </w:r>
            <w:r>
              <w:t>’</w:t>
            </w:r>
            <w:r w:rsidRPr="003369A0">
              <w:t xml:space="preserve"> specifications and manuals</w:t>
            </w:r>
          </w:p>
          <w:p w:rsidR="00000000" w:rsidRPr="003369A0" w:rsidP="003369A0">
            <w:pPr>
              <w:pStyle w:val="ListBullet"/>
            </w:pPr>
            <w:r w:rsidRPr="003369A0">
              <w:t>performing with instrument calibration techniques</w:t>
            </w:r>
          </w:p>
          <w:p w:rsidR="00000000" w:rsidRPr="003369A0" w:rsidP="003369A0">
            <w:pPr>
              <w:pStyle w:val="ListBullet"/>
            </w:pPr>
            <w:r w:rsidRPr="003369A0">
              <w:t xml:space="preserve">planning for the testing and commissioning of complex instrumentation equipment work </w:t>
            </w:r>
          </w:p>
          <w:p w:rsidR="00000000" w:rsidRPr="003369A0" w:rsidP="003369A0">
            <w:pPr>
              <w:pStyle w:val="ListBullet"/>
            </w:pPr>
            <w:r w:rsidRPr="003369A0">
              <w:t>selec</w:t>
            </w:r>
            <w:r w:rsidRPr="003369A0">
              <w:t xml:space="preserve">ting materials </w:t>
            </w:r>
          </w:p>
          <w:p w:rsidR="00000000" w:rsidRPr="003369A0" w:rsidP="003369A0">
            <w:pPr>
              <w:pStyle w:val="ListBullet"/>
            </w:pPr>
            <w:r w:rsidRPr="003369A0">
              <w:t>testing complex instrumentation equipment</w:t>
            </w:r>
          </w:p>
          <w:p w:rsidR="00000000" w:rsidRPr="003369A0" w:rsidP="003369A0">
            <w:pPr>
              <w:pStyle w:val="ListBullet"/>
            </w:pPr>
            <w:r w:rsidRPr="003369A0">
              <w:t>testing complex instrumentation wiring systems using testing techniques</w:t>
            </w:r>
          </w:p>
          <w:p w:rsidR="00000000" w:rsidRPr="003369A0" w:rsidP="003369A0">
            <w:pPr>
              <w:pStyle w:val="ListBullet"/>
            </w:pPr>
            <w:r w:rsidRPr="003369A0">
              <w:t>testing piping and tubing systems</w:t>
            </w:r>
          </w:p>
          <w:p w:rsidR="00000000" w:rsidRPr="003369A0" w:rsidP="003369A0">
            <w:pPr>
              <w:pStyle w:val="ListBullet"/>
            </w:pPr>
            <w:r w:rsidRPr="003369A0">
              <w:t>using tools and equipment</w:t>
            </w:r>
          </w:p>
          <w:p w:rsidR="00000000" w:rsidRPr="003369A0" w:rsidP="003369A0">
            <w:pPr>
              <w:pStyle w:val="ListBullet"/>
            </w:pPr>
            <w:r w:rsidRPr="003369A0">
              <w:t>utilising test and measurement instruments</w:t>
            </w:r>
          </w:p>
          <w:p w:rsidR="00000000" w:rsidRPr="003369A0" w:rsidP="003369A0">
            <w:pPr>
              <w:pStyle w:val="ListBullet"/>
            </w:pPr>
            <w:r w:rsidRPr="003369A0">
              <w:t>working with data analysis techniques and tools</w:t>
            </w:r>
          </w:p>
        </w:tc>
      </w:tr>
    </w:tbl>
    <w:p w:rsidR="00000000" w:rsidRPr="003369A0" w:rsidP="003369A0">
      <w:pPr>
        <w:pStyle w:val="NoPaddingFontSize1"/>
      </w:pPr>
    </w:p>
    <w:p w:rsidR="00000000" w:rsidRPr="003369A0" w:rsidP="003369A0">
      <w:pPr>
        <w:pStyle w:val="AllowPageBreak"/>
      </w:pPr>
    </w:p>
    <w:p w:rsidR="00000000" w:rsidRPr="003369A0" w:rsidP="003369A0">
      <w:pPr>
        <w:pStyle w:val="Heading1"/>
      </w:pPr>
      <w:bookmarkStart w:id="13" w:name="O_1228898"/>
      <w:bookmarkEnd w:id="13"/>
      <w:r w:rsidRPr="003369A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A0">
            <w:pPr>
              <w:pStyle w:val="BodyText"/>
              <w:rPr>
                <w:lang w:val="en-NZ"/>
              </w:rPr>
            </w:pPr>
            <w:r w:rsidRPr="003369A0">
              <w:t>Evidence required to demonstrate competence in this unit must be relevant to and satisfy all the requirements of the elements, performance criteria and range of conditi</w:t>
            </w:r>
            <w:r w:rsidRPr="003369A0">
              <w:t xml:space="preserve">ons and includes knowledge of: </w:t>
            </w:r>
          </w:p>
        </w:tc>
      </w:tr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ListBullet"/>
            </w:pPr>
            <w:r w:rsidRPr="003369A0">
              <w:t>characteristics and operation of complex instrumentation equipment</w:t>
            </w:r>
          </w:p>
          <w:p w:rsidR="00000000" w:rsidRPr="003369A0" w:rsidP="003369A0">
            <w:pPr>
              <w:pStyle w:val="ListBullet"/>
            </w:pPr>
            <w:r w:rsidRPr="003369A0">
              <w:t xml:space="preserve">equipment and materials </w:t>
            </w:r>
          </w:p>
          <w:p w:rsidR="00000000" w:rsidRPr="003369A0" w:rsidP="003369A0">
            <w:pPr>
              <w:pStyle w:val="ListBullet"/>
            </w:pPr>
            <w:r w:rsidRPr="003369A0">
              <w:t>generation plant and equipment, its location and operation</w:t>
            </w:r>
          </w:p>
          <w:p w:rsidR="00000000" w:rsidRPr="003369A0" w:rsidP="003369A0">
            <w:pPr>
              <w:pStyle w:val="ListBullet"/>
            </w:pPr>
            <w:r w:rsidRPr="003369A0">
              <w:t>instrument calibration techniques</w:t>
            </w:r>
          </w:p>
          <w:p w:rsidR="00000000" w:rsidRPr="003369A0" w:rsidP="003369A0">
            <w:pPr>
              <w:pStyle w:val="ListBullet"/>
            </w:pPr>
            <w:r w:rsidRPr="003369A0">
              <w:t>isolations</w:t>
            </w:r>
          </w:p>
          <w:p w:rsidR="00000000" w:rsidRPr="003369A0" w:rsidP="003369A0">
            <w:pPr>
              <w:pStyle w:val="ListBullet"/>
            </w:pPr>
            <w:r w:rsidRPr="003369A0">
              <w:t>legislation, industry standards, codes of practice and regulations</w:t>
            </w:r>
          </w:p>
          <w:p w:rsidR="00000000" w:rsidRPr="003369A0" w:rsidP="003369A0">
            <w:pPr>
              <w:pStyle w:val="ListBullet"/>
            </w:pPr>
            <w:r w:rsidRPr="003369A0">
              <w:t>manufacturers</w:t>
            </w:r>
            <w:r>
              <w:t>’</w:t>
            </w:r>
            <w:r w:rsidRPr="003369A0">
              <w:t xml:space="preserve"> specifications and manuals</w:t>
            </w:r>
          </w:p>
          <w:p w:rsidR="00000000" w:rsidRPr="003369A0" w:rsidP="003369A0">
            <w:pPr>
              <w:pStyle w:val="ListBullet"/>
            </w:pPr>
            <w:r w:rsidRPr="003369A0">
              <w:t>permit to work system</w:t>
            </w:r>
          </w:p>
          <w:p w:rsidR="00000000" w:rsidRPr="003369A0" w:rsidP="003369A0">
            <w:pPr>
              <w:pStyle w:val="ListBullet"/>
            </w:pPr>
            <w:r w:rsidRPr="003369A0">
              <w:t xml:space="preserve">test and commission complex instrumentation equipment </w:t>
            </w:r>
          </w:p>
          <w:p w:rsidR="00000000" w:rsidRPr="003369A0" w:rsidP="003369A0">
            <w:pPr>
              <w:pStyle w:val="ListBullet"/>
            </w:pPr>
            <w:r w:rsidRPr="003369A0">
              <w:t>test and commission techniques</w:t>
            </w:r>
          </w:p>
          <w:p w:rsidR="00000000" w:rsidRPr="003369A0" w:rsidP="003369A0">
            <w:pPr>
              <w:pStyle w:val="ListBullet"/>
            </w:pPr>
            <w:r w:rsidRPr="003369A0">
              <w:t>test and measurement instruments</w:t>
            </w:r>
          </w:p>
          <w:p w:rsidR="00000000" w:rsidRPr="003369A0" w:rsidP="003369A0">
            <w:pPr>
              <w:pStyle w:val="ListBullet"/>
            </w:pPr>
            <w:r w:rsidRPr="003369A0">
              <w:t>typica</w:t>
            </w:r>
            <w:r w:rsidRPr="003369A0">
              <w:t>l arrangements of power production plant</w:t>
            </w:r>
          </w:p>
          <w:p w:rsidR="00000000" w:rsidRPr="003369A0" w:rsidP="003369A0">
            <w:pPr>
              <w:pStyle w:val="ListBullet"/>
            </w:pPr>
            <w:r w:rsidRPr="003369A0">
              <w:t>WHS/OHS legislated requirements including:</w:t>
            </w:r>
          </w:p>
          <w:p w:rsidR="00000000" w:rsidRPr="003369A0" w:rsidP="003369A0">
            <w:pPr>
              <w:pStyle w:val="ListBullet2"/>
            </w:pPr>
            <w:r w:rsidRPr="003369A0">
              <w:t>emergency procedures</w:t>
            </w:r>
          </w:p>
          <w:p w:rsidR="00000000" w:rsidRPr="003369A0" w:rsidP="003369A0">
            <w:pPr>
              <w:pStyle w:val="ListBullet2"/>
            </w:pPr>
            <w:r w:rsidRPr="003369A0">
              <w:t>hazard identification</w:t>
            </w:r>
          </w:p>
          <w:p w:rsidR="00000000" w:rsidRPr="003369A0" w:rsidP="003369A0">
            <w:pPr>
              <w:pStyle w:val="ListBullet2"/>
            </w:pPr>
            <w:r w:rsidRPr="003369A0">
              <w:t>risk control measures</w:t>
            </w:r>
          </w:p>
          <w:p w:rsidR="00000000" w:rsidRPr="003369A0" w:rsidP="003369A0">
            <w:pPr>
              <w:pStyle w:val="ListBullet2"/>
            </w:pPr>
            <w:r w:rsidRPr="003369A0">
              <w:t>safe working practices</w:t>
            </w:r>
          </w:p>
          <w:p w:rsidR="00000000" w:rsidRPr="003369A0" w:rsidP="003369A0">
            <w:pPr>
              <w:pStyle w:val="ListBullet"/>
            </w:pPr>
            <w:r w:rsidRPr="003369A0">
              <w:t>workplace documentation</w:t>
            </w:r>
          </w:p>
          <w:p w:rsidR="00000000" w:rsidRPr="003369A0" w:rsidP="003369A0">
            <w:pPr>
              <w:pStyle w:val="ListBullet"/>
            </w:pPr>
            <w:r w:rsidRPr="003369A0">
              <w:t>workplace policies and procedures</w:t>
            </w:r>
          </w:p>
        </w:tc>
      </w:tr>
    </w:tbl>
    <w:p w:rsidR="00000000" w:rsidRPr="003369A0" w:rsidP="003369A0">
      <w:pPr>
        <w:pStyle w:val="NoPaddingFontSize1"/>
      </w:pPr>
    </w:p>
    <w:p w:rsidR="00000000" w:rsidRPr="003369A0" w:rsidP="003369A0">
      <w:pPr>
        <w:pStyle w:val="AllowPageBreak"/>
      </w:pPr>
    </w:p>
    <w:p w:rsidR="00000000" w:rsidRPr="003369A0" w:rsidP="003369A0">
      <w:pPr>
        <w:pStyle w:val="Heading1"/>
      </w:pPr>
      <w:bookmarkStart w:id="14" w:name="O_1228897"/>
      <w:bookmarkEnd w:id="14"/>
      <w:r w:rsidRPr="003369A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36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A0" w:rsidP="003369A0">
            <w:pPr>
              <w:pStyle w:val="BodyText"/>
            </w:pPr>
            <w:r w:rsidRPr="003369A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3369A0" w:rsidP="003369A0">
            <w:pPr>
              <w:pStyle w:val="BodyText"/>
            </w:pPr>
            <w:r w:rsidRPr="003369A0">
              <w:t>As a minimum, assessment must satisfy appli</w:t>
            </w:r>
            <w:r w:rsidRPr="003369A0">
              <w:t>cable regulatory requirements, which include requirements in the Standards for Registered Training Organisations current at the time of assessment.</w:t>
            </w:r>
          </w:p>
          <w:p w:rsidR="00000000" w:rsidRPr="003369A0" w:rsidP="003369A0">
            <w:pPr>
              <w:pStyle w:val="BodyText"/>
            </w:pPr>
            <w:r w:rsidRPr="003369A0">
              <w:t xml:space="preserve">Assessment processes and techniques must be appropriate to the language, literacy and numeracy requirements </w:t>
            </w:r>
            <w:r w:rsidRPr="003369A0">
              <w:t>of the work being performed and the needs of the candidate.</w:t>
            </w:r>
          </w:p>
          <w:p w:rsidR="00000000" w:rsidRPr="003369A0" w:rsidP="003369A0">
            <w:pPr>
              <w:pStyle w:val="BodyText"/>
            </w:pPr>
            <w:r w:rsidRPr="003369A0">
              <w:t xml:space="preserve">Assessment must occur in workplace operational situations. Where this is not appropriate, assessment must occur in simulated workplace operational situations that reflect workplace conditions. </w:t>
            </w:r>
          </w:p>
          <w:p w:rsidR="00000000" w:rsidRPr="003369A0" w:rsidP="003369A0">
            <w:pPr>
              <w:pStyle w:val="BodyText"/>
            </w:pPr>
            <w:r w:rsidRPr="003369A0">
              <w:t>Re</w:t>
            </w:r>
            <w:r w:rsidRPr="003369A0">
              <w:t>sources for assessment must include access to:</w:t>
            </w:r>
          </w:p>
          <w:p w:rsidR="00000000" w:rsidRPr="003369A0" w:rsidP="003369A0">
            <w:pPr>
              <w:pStyle w:val="ListBullet"/>
            </w:pPr>
            <w:r w:rsidRPr="003369A0">
              <w:t>a range of relevant exercises, case studies and/or other simulations</w:t>
            </w:r>
          </w:p>
          <w:p w:rsidR="00000000" w:rsidRPr="003369A0" w:rsidP="003369A0">
            <w:pPr>
              <w:pStyle w:val="ListBullet"/>
            </w:pPr>
            <w:r w:rsidRPr="003369A0">
              <w:t xml:space="preserve">relevant and appropriate materials, tools, equipment and personal protective equipment currently used in industry </w:t>
            </w:r>
          </w:p>
          <w:p w:rsidR="00000000" w:rsidRPr="003369A0" w:rsidP="003369A0">
            <w:pPr>
              <w:pStyle w:val="ListBullet"/>
            </w:pPr>
            <w:r w:rsidRPr="003369A0">
              <w:t>applicable documentation</w:t>
            </w:r>
            <w:r w:rsidRPr="003369A0">
              <w:t xml:space="preserve"> including workplace procedures, industry standards, equipment specifications, regulations, codes of practice and operation manuals.</w:t>
            </w:r>
          </w:p>
        </w:tc>
      </w:tr>
    </w:tbl>
    <w:p w:rsidR="00000000" w:rsidRPr="003369A0" w:rsidP="003369A0">
      <w:pPr>
        <w:pStyle w:val="NoPaddingFontSize1"/>
      </w:pPr>
    </w:p>
    <w:p w:rsidR="00000000" w:rsidRPr="003369A0" w:rsidP="003369A0">
      <w:pPr>
        <w:pStyle w:val="AllowPageBreak"/>
      </w:pPr>
    </w:p>
    <w:p w:rsidR="00000000" w:rsidRPr="003369A0" w:rsidP="003369A0">
      <w:pPr>
        <w:pStyle w:val="Heading1"/>
      </w:pPr>
      <w:bookmarkStart w:id="15" w:name="O_1228912"/>
      <w:bookmarkEnd w:id="15"/>
      <w:r w:rsidRPr="003369A0">
        <w:t>Links</w:t>
      </w:r>
    </w:p>
    <w:p w:rsidR="00000000" w:rsidRPr="003369A0" w:rsidP="00C04029">
      <w:pPr>
        <w:pStyle w:val="BodyText"/>
      </w:pPr>
      <w:r w:rsidRPr="003369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438F8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369A0" w:rsidP="003369A0"/>
    <w:sectPr w:rsidSect="003369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A0" w:rsidRPr="00C04029" w:rsidP="00C040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29" w:rsidP="003369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04029" w:rsidP="003369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04029" w:rsidP="003369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A0" w:rsidP="003369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4029">
      <w:t>Approved</w:t>
    </w:r>
    <w:r w:rsidR="00C040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402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4029">
      <w:rPr>
        <w:noProof/>
      </w:rPr>
      <w:t>5</w:t>
    </w:r>
    <w:r>
      <w:rPr>
        <w:noProof/>
      </w:rPr>
      <w:fldChar w:fldCharType="end"/>
    </w:r>
  </w:p>
  <w:p w:rsidR="003369A0" w:rsidP="003369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40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4029">
      <w:t>Powering Skills Organisation</w:t>
    </w:r>
    <w:r w:rsidR="00C04029">
      <w:fldChar w:fldCharType="end"/>
    </w:r>
  </w:p>
  <w:p w:rsidR="003369A0" w:rsidP="003369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9A0" w:rsidRPr="00C04029" w:rsidP="00C040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029" w:rsidRPr="002D2AF8" w:rsidP="003369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UEPMNT430 Test and commission complex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4029" w:rsidP="003369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A0" w:rsidRPr="002D2AF8" w:rsidP="003369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4029">
      <w:t>UEPMNT430 Test and commission complex instrumentation equipment</w:t>
    </w:r>
    <w:r w:rsidR="00C040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4029">
      <w:rPr>
        <w:noProof/>
      </w:rPr>
      <w:t>2 March 2025</w:t>
    </w:r>
    <w:r>
      <w:fldChar w:fldCharType="end"/>
    </w:r>
  </w:p>
  <w:p w:rsidR="003369A0" w:rsidP="003369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A6A2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864B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129D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9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9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9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9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9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9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9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9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9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9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9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9A0"/>
  </w:style>
  <w:style w:type="character" w:customStyle="1" w:styleId="Heading1Char">
    <w:name w:val="Heading 1 Char"/>
    <w:basedOn w:val="DefaultParagraphFont"/>
    <w:link w:val="Heading1"/>
    <w:rsid w:val="003369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9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9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9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9A0"/>
    <w:rPr>
      <w:b/>
      <w:spacing w:val="0"/>
    </w:rPr>
  </w:style>
  <w:style w:type="paragraph" w:styleId="ListBullet2">
    <w:name w:val="List Bullet 2"/>
    <w:basedOn w:val="List2"/>
    <w:rsid w:val="003369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69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9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369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9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9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9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9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9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9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9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9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9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9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9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9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9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9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9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9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9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9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69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9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9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9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9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9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9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9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9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9A0"/>
    <w:rPr>
      <w:i/>
    </w:rPr>
  </w:style>
  <w:style w:type="paragraph" w:styleId="Caption">
    <w:name w:val="caption"/>
    <w:basedOn w:val="BodyText"/>
    <w:next w:val="Normal"/>
    <w:qFormat/>
    <w:rsid w:val="003369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9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9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9A0"/>
  </w:style>
  <w:style w:type="paragraph" w:styleId="TableofFigures">
    <w:name w:val="table of figures"/>
    <w:basedOn w:val="Normal"/>
    <w:next w:val="Normal"/>
    <w:semiHidden/>
    <w:rsid w:val="003369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9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69A0"/>
    <w:rPr>
      <w:rFonts w:ascii="Wingdings" w:hAnsi="Wingdings"/>
    </w:rPr>
  </w:style>
  <w:style w:type="paragraph" w:customStyle="1" w:styleId="TableHeading">
    <w:name w:val="Table Heading"/>
    <w:basedOn w:val="HeadingBase"/>
    <w:rsid w:val="003369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9A0"/>
    <w:rPr>
      <w:color w:val="0033CC"/>
      <w:u w:val="none"/>
    </w:rPr>
  </w:style>
  <w:style w:type="paragraph" w:customStyle="1" w:styleId="BodyTextRight">
    <w:name w:val="Body Text Right"/>
    <w:basedOn w:val="BodyText"/>
    <w:rsid w:val="003369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9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9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9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9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9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9A0"/>
    <w:rPr>
      <w:sz w:val="32"/>
    </w:rPr>
  </w:style>
  <w:style w:type="paragraph" w:customStyle="1" w:styleId="HeadingProcedure">
    <w:name w:val="Heading Procedure"/>
    <w:basedOn w:val="HeadingBase"/>
    <w:next w:val="Normal"/>
    <w:rsid w:val="003369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9A0"/>
    <w:pPr>
      <w:spacing w:before="60" w:after="60"/>
    </w:pPr>
  </w:style>
  <w:style w:type="paragraph" w:styleId="ListContinue">
    <w:name w:val="List Continue"/>
    <w:basedOn w:val="List"/>
    <w:rsid w:val="003369A0"/>
    <w:pPr>
      <w:ind w:firstLine="0"/>
    </w:pPr>
  </w:style>
  <w:style w:type="paragraph" w:customStyle="1" w:styleId="ListNote">
    <w:name w:val="List Note"/>
    <w:basedOn w:val="List"/>
    <w:rsid w:val="003369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9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9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9A0"/>
    <w:rPr>
      <w:rFonts w:ascii="Courier New" w:hAnsi="Courier New"/>
    </w:rPr>
  </w:style>
  <w:style w:type="paragraph" w:customStyle="1" w:styleId="NoteBullet">
    <w:name w:val="Note Bullet"/>
    <w:basedOn w:val="Note"/>
    <w:rsid w:val="003369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9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9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9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9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69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9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9A0"/>
    <w:rPr>
      <w:b/>
      <w:smallCaps/>
    </w:rPr>
  </w:style>
  <w:style w:type="paragraph" w:customStyle="1" w:styleId="TableListNumber">
    <w:name w:val="Table List Number"/>
    <w:basedOn w:val="ListNumber"/>
    <w:rsid w:val="003369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9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9A0"/>
    <w:pPr>
      <w:numPr>
        <w:numId w:val="9"/>
      </w:numPr>
    </w:pPr>
  </w:style>
  <w:style w:type="paragraph" w:customStyle="1" w:styleId="ListAlpha2">
    <w:name w:val="List Alpha 2"/>
    <w:basedOn w:val="List2"/>
    <w:rsid w:val="003369A0"/>
    <w:pPr>
      <w:numPr>
        <w:numId w:val="8"/>
      </w:numPr>
    </w:pPr>
  </w:style>
  <w:style w:type="paragraph" w:styleId="List2">
    <w:name w:val="List 2"/>
    <w:basedOn w:val="BodyText"/>
    <w:rsid w:val="003369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9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9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9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9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9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69A0"/>
    <w:pPr>
      <w:numPr>
        <w:numId w:val="4"/>
      </w:numPr>
    </w:pPr>
  </w:style>
  <w:style w:type="paragraph" w:styleId="ListContinue2">
    <w:name w:val="List Continue 2"/>
    <w:basedOn w:val="List2"/>
    <w:rsid w:val="003369A0"/>
    <w:pPr>
      <w:ind w:firstLine="0"/>
    </w:pPr>
  </w:style>
  <w:style w:type="paragraph" w:styleId="ListContinue3">
    <w:name w:val="List Continue 3"/>
    <w:basedOn w:val="List3"/>
    <w:rsid w:val="003369A0"/>
    <w:pPr>
      <w:ind w:left="1021" w:firstLine="0"/>
    </w:pPr>
  </w:style>
  <w:style w:type="paragraph" w:styleId="ListContinue4">
    <w:name w:val="List Continue 4"/>
    <w:basedOn w:val="List4"/>
    <w:rsid w:val="003369A0"/>
    <w:pPr>
      <w:ind w:firstLine="0"/>
    </w:pPr>
  </w:style>
  <w:style w:type="paragraph" w:styleId="ListContinue5">
    <w:name w:val="List Continue 5"/>
    <w:basedOn w:val="List5"/>
    <w:rsid w:val="003369A0"/>
    <w:pPr>
      <w:ind w:firstLine="0"/>
    </w:pPr>
  </w:style>
  <w:style w:type="paragraph" w:styleId="ListNumber3">
    <w:name w:val="List Number 3"/>
    <w:basedOn w:val="List3"/>
    <w:rsid w:val="003369A0"/>
    <w:pPr>
      <w:numPr>
        <w:numId w:val="5"/>
      </w:numPr>
    </w:pPr>
  </w:style>
  <w:style w:type="paragraph" w:styleId="ListNumber4">
    <w:name w:val="List Number 4"/>
    <w:basedOn w:val="List4"/>
    <w:rsid w:val="003369A0"/>
    <w:pPr>
      <w:numPr>
        <w:numId w:val="6"/>
      </w:numPr>
    </w:pPr>
  </w:style>
  <w:style w:type="paragraph" w:styleId="ListNumber5">
    <w:name w:val="List Number 5"/>
    <w:basedOn w:val="List5"/>
    <w:rsid w:val="003369A0"/>
    <w:pPr>
      <w:numPr>
        <w:numId w:val="7"/>
      </w:numPr>
    </w:pPr>
  </w:style>
  <w:style w:type="paragraph" w:styleId="BlockText">
    <w:name w:val="Block Text"/>
    <w:basedOn w:val="Normal"/>
    <w:rsid w:val="003369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9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9A0"/>
    <w:rPr>
      <w:sz w:val="16"/>
      <w:vertAlign w:val="superscript"/>
    </w:rPr>
  </w:style>
  <w:style w:type="character" w:customStyle="1" w:styleId="Symbols">
    <w:name w:val="Symbols"/>
    <w:basedOn w:val="DefaultParagraphFont"/>
    <w:rsid w:val="003369A0"/>
    <w:rPr>
      <w:rFonts w:ascii="Symbol" w:hAnsi="Symbol"/>
    </w:rPr>
  </w:style>
  <w:style w:type="character" w:customStyle="1" w:styleId="MenuOptions">
    <w:name w:val="Menu Options"/>
    <w:basedOn w:val="DefaultParagraphFont"/>
    <w:rsid w:val="003369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9A0"/>
    <w:rPr>
      <w:b/>
    </w:rPr>
  </w:style>
  <w:style w:type="character" w:customStyle="1" w:styleId="Underlined">
    <w:name w:val="Underlined"/>
    <w:basedOn w:val="DefaultParagraphFont"/>
    <w:rsid w:val="003369A0"/>
    <w:rPr>
      <w:u w:val="single"/>
    </w:rPr>
  </w:style>
  <w:style w:type="paragraph" w:customStyle="1" w:styleId="TableBodyTextRight">
    <w:name w:val="Table Body Text Right"/>
    <w:basedOn w:val="TableBodyText"/>
    <w:rsid w:val="003369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9A0"/>
    <w:rPr>
      <w:sz w:val="18"/>
    </w:rPr>
  </w:style>
  <w:style w:type="paragraph" w:customStyle="1" w:styleId="BodySmallRight">
    <w:name w:val="Body Small Right"/>
    <w:basedOn w:val="BodyTextRight"/>
    <w:rsid w:val="003369A0"/>
    <w:rPr>
      <w:sz w:val="18"/>
      <w:szCs w:val="18"/>
    </w:rPr>
  </w:style>
  <w:style w:type="paragraph" w:customStyle="1" w:styleId="MarginEdition">
    <w:name w:val="Margin Edition"/>
    <w:basedOn w:val="MarginNote"/>
    <w:rsid w:val="003369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9A0"/>
    <w:rPr>
      <w:sz w:val="2"/>
      <w:szCs w:val="2"/>
    </w:rPr>
  </w:style>
  <w:style w:type="character" w:customStyle="1" w:styleId="Small">
    <w:name w:val="Small"/>
    <w:basedOn w:val="DefaultParagraphFont"/>
    <w:rsid w:val="003369A0"/>
    <w:rPr>
      <w:sz w:val="16"/>
    </w:rPr>
  </w:style>
  <w:style w:type="paragraph" w:customStyle="1" w:styleId="WideTable">
    <w:name w:val="Wide Table"/>
    <w:basedOn w:val="Normal"/>
    <w:rsid w:val="003369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9A0"/>
  </w:style>
  <w:style w:type="paragraph" w:styleId="Quote">
    <w:name w:val="Quote"/>
    <w:basedOn w:val="Heading1"/>
    <w:link w:val="QuoteChar"/>
    <w:qFormat/>
    <w:rsid w:val="003369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9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9A0"/>
    <w:pPr>
      <w:pageBreakBefore/>
    </w:pPr>
  </w:style>
  <w:style w:type="paragraph" w:customStyle="1" w:styleId="Border">
    <w:name w:val="Border"/>
    <w:basedOn w:val="Normal"/>
    <w:qFormat/>
    <w:rsid w:val="003369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9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9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9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9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9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9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9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9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9A0"/>
    <w:rPr>
      <w:u w:val="single"/>
    </w:rPr>
  </w:style>
  <w:style w:type="character" w:customStyle="1" w:styleId="BoldandItalics">
    <w:name w:val="Bold and Italics"/>
    <w:qFormat/>
    <w:rsid w:val="003369A0"/>
    <w:rPr>
      <w:b/>
      <w:i/>
      <w:u w:val="none"/>
    </w:rPr>
  </w:style>
  <w:style w:type="paragraph" w:styleId="BalloonText">
    <w:name w:val="Balloon Text"/>
    <w:basedOn w:val="Normal"/>
    <w:link w:val="BalloonTextChar"/>
    <w:rsid w:val="00336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9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9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9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9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9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9A0"/>
    <w:pPr>
      <w:spacing w:before="0" w:after="0"/>
    </w:pPr>
  </w:style>
  <w:style w:type="paragraph" w:customStyle="1" w:styleId="BodyTextBold">
    <w:name w:val="Body Text Bold"/>
    <w:basedOn w:val="BodyText"/>
    <w:qFormat/>
    <w:rsid w:val="003369A0"/>
    <w:rPr>
      <w:b/>
    </w:rPr>
  </w:style>
  <w:style w:type="character" w:styleId="Hyperlink">
    <w:name w:val="Hyperlink"/>
    <w:basedOn w:val="DefaultParagraphFont"/>
    <w:uiPriority w:val="99"/>
    <w:unhideWhenUsed/>
    <w:rsid w:val="00C040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1357</Words>
  <Characters>9260</Characters>
  <Application>Microsoft Office Word</Application>
  <DocSecurity>0</DocSecurity>
  <Lines>330</Lines>
  <Paragraphs>183</Paragraphs>
  <ScaleCrop>false</ScaleCrop>
  <Company>Author-it Software Corporation Ltd.</Company>
  <LinksUpToDate>false</LinksUpToDate>
  <CharactersWithSpaces>10434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UEPMNT430 Test and commission complex instrumentation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2025-03-01T18:42:00Z</dcterms:created>
  <dcterms:modified xsi:type="dcterms:W3CDTF">2025-03-01T18:42:00Z</dcterms:modified>
</cp:coreProperties>
</file>