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68C" w:rsidP="003E468C">
      <w:pPr>
        <w:pStyle w:val="Title"/>
      </w:pPr>
      <w:r>
        <w:fldChar w:fldCharType="begin"/>
      </w:r>
      <w:r>
        <w:instrText xml:space="preserve"> TITLE   \* MERGEFORMAT </w:instrText>
      </w:r>
      <w:r>
        <w:fldChar w:fldCharType="separate"/>
      </w:r>
      <w:r>
        <w:t>UEPMNT368 Repair and maintain stationary gas fuelled reciprocating engines</w:t>
      </w:r>
      <w:r>
        <w:fldChar w:fldCharType="end"/>
      </w:r>
    </w:p>
    <w:p w:rsidR="003E468C" w:rsidP="003E468C">
      <w:pPr>
        <w:pStyle w:val="Version"/>
        <w:sectPr w:rsidSect="005B1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1850" w:rsidP="005B1850">
      <w:pPr>
        <w:pStyle w:val="SuperHeading"/>
      </w:pPr>
      <w:r w:rsidRPr="005B1850">
        <w:t>UEPMNT368 Repair and maintain stationary gas fuelled reciprocating engines</w:t>
      </w:r>
    </w:p>
    <w:p w:rsidR="00000000" w:rsidRPr="005B1850" w:rsidP="005B1850">
      <w:pPr>
        <w:pStyle w:val="Heading1"/>
      </w:pPr>
      <w:bookmarkStart w:id="1" w:name="O_1223188"/>
      <w:bookmarkEnd w:id="1"/>
      <w:r w:rsidRPr="005B1850">
        <w:t>Modification History</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Release 2.</w:t>
            </w:r>
            <w:r w:rsidRPr="005B1850">
              <w:t xml:space="preserve"> Minor release to update superseded pre-requisite units.</w:t>
            </w:r>
          </w:p>
          <w:p w:rsidR="00000000" w:rsidRPr="005B1850" w:rsidP="005B1850">
            <w:pPr>
              <w:pStyle w:val="BodyText"/>
            </w:pPr>
            <w:r w:rsidRPr="005B1850">
              <w:rPr>
                <w:rStyle w:val="SpecialBold"/>
              </w:rPr>
              <w:t>Release 1</w:t>
            </w:r>
            <w:r w:rsidRPr="005B1850">
              <w:t>. This is the first release of this unit of competency in the UEP Generation Training Package.</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2" w:name="O_1223187"/>
      <w:bookmarkEnd w:id="2"/>
      <w:r w:rsidRPr="005B1850">
        <w:t>Application</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This unit involves the skills and knowledge required to isolate, disconnect, repair, reconnect and undertake maintenance of stat</w:t>
            </w:r>
            <w:r w:rsidRPr="005B1850">
              <w:t>ionary gas fuelled reciprocating engines. It does not include repairs to the internal mechanical components of the engine.</w:t>
            </w:r>
          </w:p>
          <w:p w:rsidR="00000000" w:rsidRPr="005B1850" w:rsidP="005B1850">
            <w:pPr>
              <w:pStyle w:val="BodyText"/>
            </w:pPr>
            <w:r w:rsidRPr="005B1850">
              <w:t>Maintenance includes the regular monitoring, inspection and verification of the safe and efficient operation of a power generation fa</w:t>
            </w:r>
            <w:r w:rsidRPr="005B1850">
              <w:t>cility</w:t>
            </w:r>
            <w:r>
              <w:t>’</w:t>
            </w:r>
            <w:r w:rsidRPr="005B1850">
              <w:t xml:space="preserve">s stationary gas fuelled reciprocating engine. </w:t>
            </w:r>
          </w:p>
          <w:p w:rsidR="00000000" w:rsidRPr="005B1850" w:rsidP="005B1850">
            <w:pPr>
              <w:pStyle w:val="BodyText"/>
            </w:pPr>
            <w:r w:rsidRPr="005B1850">
              <w:t xml:space="preserve">Competency in this unit requires the ability to work safely to relevant industry standards when disconnecting, carrying out repairs and replacing fuel train components to given specifications. It also </w:t>
            </w:r>
            <w:r w:rsidRPr="005B1850">
              <w:t>includes reconnecting the engine including pre-start tests, start-up, adjusting components and controls for safe and efficient operation and completing all required documentation. Individuals will, in general, work as a maintenance operative, in a power ge</w:t>
            </w:r>
            <w:r w:rsidRPr="005B1850">
              <w:t xml:space="preserve">neration facility. </w:t>
            </w:r>
          </w:p>
          <w:p w:rsidR="00000000" w:rsidRPr="005B1850" w:rsidP="005B1850">
            <w:pPr>
              <w:pStyle w:val="BodyText"/>
            </w:pPr>
            <w:r w:rsidRPr="005B1850">
              <w:t>Power generation maintenance personnel are typically trained and authorised to receive permits to work.</w:t>
            </w:r>
          </w:p>
          <w:p w:rsidR="00000000" w:rsidRPr="005B1850" w:rsidP="005B1850">
            <w:pPr>
              <w:pStyle w:val="BodyText"/>
            </w:pPr>
            <w:r w:rsidRPr="005B1850">
              <w:t>No licensing, legislative or certification requirements apply to this unit at the time of publication.</w:t>
            </w:r>
          </w:p>
          <w:p w:rsidR="00000000" w:rsidRPr="005B1850" w:rsidP="005B1850">
            <w:pPr>
              <w:pStyle w:val="BodyText"/>
            </w:pPr>
            <w:r w:rsidRPr="005B1850">
              <w:rPr>
                <w:rStyle w:val="SpecialBold"/>
              </w:rPr>
              <w:t>Note: Workplace practices</w:t>
            </w:r>
          </w:p>
          <w:p w:rsidR="00000000" w:rsidRPr="005B1850" w:rsidP="005B1850">
            <w:pPr>
              <w:pStyle w:val="BodyText"/>
            </w:pPr>
            <w:r w:rsidRPr="005B1850">
              <w:t>The</w:t>
            </w:r>
            <w:r w:rsidRPr="005B1850">
              <w:t xml:space="preserve"> application of the skills and knowledge described in this unit of competency may require a licence or training permit to practice in the workplace, where work is carried out on gas and electrical installations. Additional and/or other conditions may apply</w:t>
            </w:r>
            <w:r w:rsidRPr="005B1850">
              <w:t xml:space="preserve"> under state and territory legislative and regulatory licensing requirements. </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3" w:name="O_1223186"/>
      <w:bookmarkEnd w:id="3"/>
      <w:r w:rsidRPr="005B1850">
        <w:t>Pre-requisite Unit</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CPCCWHS1001 Work safely in the construction industry</w:t>
            </w:r>
          </w:p>
          <w:p w:rsidR="00000000" w:rsidRPr="005B1850" w:rsidP="005B1850">
            <w:pPr>
              <w:pStyle w:val="BodyText"/>
            </w:pPr>
            <w:r w:rsidRPr="005B1850">
              <w:t>HLTAID009 Provide cardiopulmonary resuscitation</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4" w:name="O_1223185"/>
      <w:bookmarkEnd w:id="4"/>
      <w:r w:rsidRPr="005B1850">
        <w:t>Competency Field</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Maintenance</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5" w:name="O_1223184"/>
      <w:bookmarkEnd w:id="5"/>
      <w:r w:rsidRPr="005B1850">
        <w:t>Unit Sector</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Electricity generation</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6" w:name="O_1223183"/>
      <w:bookmarkEnd w:id="6"/>
      <w:r w:rsidRPr="005B185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B18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PERFORMANCE CRITERIA</w:t>
            </w:r>
          </w:p>
        </w:tc>
      </w:tr>
      <w:tr w:rsidTr="005B18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Performance criteria describe the performance needed to demonstrate achievement of the element.</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Prepare to repair and maintain gas fuelled reciprocating engines</w:t>
            </w: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Work, Health and Safety (WHS)/Occupational Health and Safety (OHS) procedures are iden</w:t>
            </w:r>
            <w:r w:rsidRPr="005B1850">
              <w:t xml:space="preserve">tified and implemented, in accordance with workplace procedures </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Health and safety risks are identified and risk control measures are followed, in accordance with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Safety hazards that have not previously been identified are noted, and risk control measures are implemented and followed, in accordance with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Formal authority to proceed with repair and maintenance work is obtained, in accordanc</w:t>
            </w:r>
            <w:r w:rsidRPr="005B1850">
              <w:t>e with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 xml:space="preserve">Repair and maintenance work is sequenced, in accordance with workplace procedures </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Nature and location of repair and maintenance work is determined from documentation, or appropriate personnel, to establish scope o</w:t>
            </w:r>
            <w:r w:rsidRPr="005B1850">
              <w:t xml:space="preserve">f work and assigned roles </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Stationary gas fuelled reciprocating engine plant, equipment and component specifications and manufacturers</w:t>
            </w:r>
            <w:r>
              <w:t>’</w:t>
            </w:r>
            <w:r w:rsidRPr="005B1850">
              <w:t xml:space="preserve"> manuals are obtained </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Material needed for repair and maintenance work is obtained, in accordance with workplace procedures and is checked against job requirements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Tools and equipment, including personal protective equipment and testing devices are obtained, in accordance</w:t>
            </w:r>
            <w:r w:rsidRPr="005B1850">
              <w:t xml:space="preserve"> with workplace procedures and are checked for correct operation and safety</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 xml:space="preserve">Repair and maintain gas fuelled reciprocating </w:t>
            </w:r>
            <w:r w:rsidRPr="005B1850">
              <w:rPr>
                <w:rStyle w:val="SpecialBold"/>
              </w:rPr>
              <w:t>engines</w:t>
            </w: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 xml:space="preserve">Regulatory and code of practice recording and reporting requirements are completed, in accordance with </w:t>
            </w:r>
            <w:r w:rsidRPr="005B1850">
              <w:t>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Gas and electrical circuits, machines and/or power generation plant are checked prior to commencement and are recorded as bei</w:t>
            </w:r>
            <w:r w:rsidRPr="005B1850">
              <w:t xml:space="preserve">ng isolated and safe, in accordance with workplace procedures </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Nature and possible cause of stationary gas fuelled reciprocating engine faults, or out of specification performance, are identified from defect reports or operational records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Fault finding using observation, measurement, calculations, comparison with normal system and component parameter values is undertaken</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 xml:space="preserve">Faults beyond the scope of gas fuel train, ignition or fume exhaust work are identified and arrangements are made </w:t>
            </w:r>
            <w:r w:rsidRPr="005B1850">
              <w:t>for authorised personnel to rectify faults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 xml:space="preserve">Stationary gas fuelled reciprocating engine is disconnected, to carry out maintenance and repairs, in accordance with workplace procedures </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Components are removed or dismantled, where necessary, and parts are stored to protect them against loss or damage</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Faulty components are rechecked and their fault status is reconfirmed</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Materials required to rectify faults are obtained, in acc</w:t>
            </w:r>
            <w:r w:rsidRPr="005B1850">
              <w:t>ordance with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Repair and maintenance work is carried out without waste of materials or damage to apparatus, circuits, the surrounding environment or services, in accordance with workplace procedures and sustainable energy princi</w:t>
            </w:r>
            <w:r w:rsidRPr="005B1850">
              <w:t>ples and practices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Stationary gas fuelled reciprocating engine repair is tested, in accordance with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Stationary gas fuelled reciprocating engine is reassembled, reconnected and tested to ensure it is operating safely and that it complies with relevant workplace and legislative requirements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Complete and report on repair and maintenance</w:t>
            </w: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Final check o</w:t>
            </w:r>
            <w:r w:rsidRPr="005B1850">
              <w:t xml:space="preserve">f stationary gas fuelled reciprocating engine is made to verify compliance with legislative and certification requirements </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Work area is cleared and materials are disposed of or recycled, in accordance with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Tools and equi</w:t>
            </w:r>
            <w:r w:rsidRPr="005B1850">
              <w:t>pment are cleaned, checked, serviced and stored, in accordance with manufacturers</w:t>
            </w:r>
            <w:r>
              <w:t>’</w:t>
            </w:r>
            <w:r w:rsidRPr="005B1850">
              <w:t xml:space="preserve"> recommendations and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Work site is cleaned and made safe, in accordance with workplace procedures</w:t>
            </w:r>
          </w:p>
        </w:tc>
      </w:tr>
      <w:tr w:rsidTr="005B1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B1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Maintenance and repair work is documented and appropriate personnel are notified, in accordance with workplace procedures</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7" w:name="O_1223182"/>
      <w:bookmarkEnd w:id="7"/>
      <w:r w:rsidRPr="005B1850">
        <w:t>Foundation Skills</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Foundation skills essential to performance are explicit in the performance criteria of this uni</w:t>
            </w:r>
            <w:r w:rsidRPr="005B1850">
              <w:t>t of competency.</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8" w:name="O_1223181"/>
      <w:bookmarkEnd w:id="8"/>
      <w:r w:rsidRPr="005B1850">
        <w:t>Range of Conditions</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Range is restricted to essential operating conditions and any other variables essential to the work environment.</w:t>
            </w:r>
          </w:p>
          <w:p w:rsidR="00000000" w:rsidRPr="005B1850" w:rsidP="005B1850">
            <w:pPr>
              <w:pStyle w:val="BodyText"/>
            </w:pPr>
            <w:r w:rsidRPr="005B1850">
              <w:t>Non-essential conditions may be found in the Companion Volume Implementation Guide.</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9" w:name="O_1223180"/>
      <w:bookmarkEnd w:id="9"/>
      <w:r w:rsidRPr="005B1850">
        <w:t>Unit Mapping Information</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This unit replaces and is equivalent to UEPMNT368A Repair and maintain stationary gas fuelled reciprocating engines.</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10" w:name="O_1223189"/>
      <w:bookmarkEnd w:id="10"/>
      <w:r w:rsidRPr="005B1850">
        <w:t>Links</w:t>
      </w:r>
    </w:p>
    <w:p w:rsidR="00000000" w:rsidRPr="005B1850" w:rsidP="003E468C">
      <w:pPr>
        <w:pStyle w:val="BodyText"/>
      </w:pPr>
      <w:r w:rsidRPr="005B185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D58DF">
        <w:rPr>
          <w:rStyle w:val="Hyperlink"/>
        </w:rPr>
        <w:t>https://vetnet.gov.au/Pages/TrainingDocs.aspx?q=1715b9fa-e7bd-441c-bb8d-cf22c9c825a8</w:t>
      </w:r>
      <w:r>
        <w:fldChar w:fldCharType="end"/>
      </w:r>
    </w:p>
    <w:p w:rsidR="00000000" w:rsidRPr="005B1850" w:rsidP="003E468C">
      <w:pPr>
        <w:pStyle w:val="BodyText"/>
        <w:sectPr w:rsidSect="005B1850">
          <w:headerReference w:type="default" r:id="rId10"/>
          <w:footerReference w:type="default" r:id="rId11"/>
          <w:pgSz w:w="11908" w:h="16833"/>
          <w:pgMar w:top="1702" w:right="1418" w:bottom="1702" w:left="1418" w:header="992" w:footer="992" w:gutter="0"/>
          <w:cols w:space="720"/>
          <w:noEndnote/>
          <w:docGrid w:linePitch="299"/>
        </w:sectPr>
      </w:pPr>
    </w:p>
    <w:p w:rsidR="00000000" w:rsidRPr="005B1850" w:rsidP="005B1850">
      <w:pPr>
        <w:pStyle w:val="SuperHeading"/>
      </w:pPr>
      <w:r w:rsidRPr="005B1850">
        <w:t>Assessment Requirements for UEPMNT368 Repair and maintain stationary gas fuelled reciprocating engines</w:t>
      </w:r>
    </w:p>
    <w:p w:rsidR="00000000" w:rsidRPr="005B1850" w:rsidP="005B1850">
      <w:pPr>
        <w:pStyle w:val="Heading1"/>
      </w:pPr>
      <w:bookmarkStart w:id="11" w:name="O_1223178"/>
      <w:bookmarkEnd w:id="11"/>
      <w:r w:rsidRPr="005B1850">
        <w:t>Modification History</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rPr>
                <w:rStyle w:val="SpecialBold"/>
              </w:rPr>
              <w:t>Release 2.</w:t>
            </w:r>
            <w:r w:rsidRPr="005B1850">
              <w:t xml:space="preserve"> Minor release to update superseded pre-requisite units.</w:t>
            </w:r>
          </w:p>
          <w:p w:rsidR="00000000" w:rsidRPr="005B1850" w:rsidP="005B1850">
            <w:pPr>
              <w:pStyle w:val="BodyText"/>
            </w:pPr>
            <w:r w:rsidRPr="005B1850">
              <w:rPr>
                <w:rStyle w:val="SpecialBold"/>
              </w:rPr>
              <w:t>Release 1</w:t>
            </w:r>
            <w:r w:rsidRPr="005B1850">
              <w:t>. This is the first release of this unit of competency in the UEP Generation Training Package.</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12" w:name="O_1223177"/>
      <w:bookmarkEnd w:id="12"/>
      <w:r w:rsidRPr="005B1850">
        <w:t>Performance Evidence</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 xml:space="preserve">Evidence required to demonstrate competence in this unit must be relevant to and satisfy all the requirements of the elements, performance criteria and range of conditions on at least two separate occasions and includes: </w:t>
            </w:r>
          </w:p>
        </w:tc>
      </w:tr>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ListBullet"/>
            </w:pPr>
            <w:r w:rsidRPr="005B1850">
              <w:t>applying Work, Health and Safety</w:t>
            </w:r>
            <w:r w:rsidRPr="005B1850">
              <w:t xml:space="preserve"> (WHS)/Occupational Health and Safety (OHS) requirements including:</w:t>
            </w:r>
          </w:p>
          <w:p w:rsidR="00000000" w:rsidRPr="005B1850" w:rsidP="005B1850">
            <w:pPr>
              <w:pStyle w:val="ListBullet2"/>
            </w:pPr>
            <w:r w:rsidRPr="005B1850">
              <w:t>emergency procedures</w:t>
            </w:r>
          </w:p>
          <w:p w:rsidR="00000000" w:rsidRPr="005B1850" w:rsidP="005B1850">
            <w:pPr>
              <w:pStyle w:val="ListBullet2"/>
            </w:pPr>
            <w:r w:rsidRPr="005B1850">
              <w:t>hazard identification</w:t>
            </w:r>
          </w:p>
          <w:p w:rsidR="00000000" w:rsidRPr="005B1850" w:rsidP="005B1850">
            <w:pPr>
              <w:pStyle w:val="ListBullet2"/>
            </w:pPr>
            <w:r w:rsidRPr="005B1850">
              <w:t>risk control measures</w:t>
            </w:r>
          </w:p>
          <w:p w:rsidR="00000000" w:rsidRPr="005B1850" w:rsidP="005B1850">
            <w:pPr>
              <w:pStyle w:val="ListBullet"/>
            </w:pPr>
            <w:r w:rsidRPr="005B1850">
              <w:t>communicating with personnel</w:t>
            </w:r>
          </w:p>
          <w:p w:rsidR="00000000" w:rsidRPr="005B1850" w:rsidP="005B1850">
            <w:pPr>
              <w:pStyle w:val="ListBullet"/>
            </w:pPr>
            <w:r w:rsidRPr="005B1850">
              <w:t xml:space="preserve">determining permit to work requirements </w:t>
            </w:r>
          </w:p>
          <w:p w:rsidR="00000000" w:rsidRPr="005B1850" w:rsidP="005B1850">
            <w:pPr>
              <w:pStyle w:val="ListBullet"/>
            </w:pPr>
            <w:r w:rsidRPr="005B1850">
              <w:t>disconnecting and reconnecting stationary gas fuelled reciprocating engine</w:t>
            </w:r>
          </w:p>
          <w:p w:rsidR="00000000" w:rsidRPr="005B1850" w:rsidP="005B1850">
            <w:pPr>
              <w:pStyle w:val="ListBullet"/>
            </w:pPr>
            <w:r w:rsidRPr="005B1850">
              <w:t>finding and rectifying faults</w:t>
            </w:r>
          </w:p>
          <w:p w:rsidR="00000000" w:rsidRPr="005B1850" w:rsidP="005B1850">
            <w:pPr>
              <w:pStyle w:val="ListBullet"/>
            </w:pPr>
            <w:r w:rsidRPr="005B1850">
              <w:t>preparing to repair and maintain stationary gas fuelled reciprocating engines</w:t>
            </w:r>
          </w:p>
          <w:p w:rsidR="00000000" w:rsidRPr="005B1850" w:rsidP="005B1850">
            <w:pPr>
              <w:pStyle w:val="ListBullet"/>
            </w:pPr>
            <w:r w:rsidRPr="005B1850">
              <w:t>repairing and maintaining stationary gas fuelled reciprocating engines in</w:t>
            </w:r>
            <w:r w:rsidRPr="005B1850">
              <w:t>cluding identifying faults completing and reporting on repair and maintenance work</w:t>
            </w:r>
          </w:p>
          <w:p w:rsidR="00000000" w:rsidRPr="005B1850" w:rsidP="005B1850">
            <w:pPr>
              <w:pStyle w:val="ListBullet"/>
            </w:pPr>
            <w:r w:rsidRPr="005B1850">
              <w:t>safe working practices implementing legislation, industry standards, codes of practice and regulations</w:t>
            </w:r>
          </w:p>
          <w:p w:rsidR="00000000" w:rsidRPr="005B1850" w:rsidP="005B1850">
            <w:pPr>
              <w:pStyle w:val="ListBullet"/>
            </w:pPr>
            <w:r w:rsidRPr="005B1850">
              <w:t>using manufacturers</w:t>
            </w:r>
            <w:r>
              <w:t>’</w:t>
            </w:r>
            <w:r w:rsidRPr="005B1850">
              <w:t xml:space="preserve"> specifications and manuals</w:t>
            </w:r>
          </w:p>
          <w:p w:rsidR="00000000" w:rsidRPr="005B1850" w:rsidP="005B1850">
            <w:pPr>
              <w:pStyle w:val="ListBullet"/>
            </w:pPr>
            <w:r w:rsidRPr="005B1850">
              <w:t>working with sustainab</w:t>
            </w:r>
            <w:r w:rsidRPr="005B1850">
              <w:t>le energy principles and practices</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13" w:name="O_1223176"/>
      <w:bookmarkEnd w:id="13"/>
      <w:r w:rsidRPr="005B1850">
        <w:t>Knowledge Evidence</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1850">
            <w:pPr>
              <w:pStyle w:val="BodyText"/>
              <w:rPr>
                <w:lang w:val="en-NZ"/>
              </w:rPr>
            </w:pPr>
            <w:r w:rsidRPr="005B1850">
              <w:t xml:space="preserve">Evidence required to demonstrate competence in this unit must be relevant to and satisfy all the requirements of the elements, performance criteria and range </w:t>
            </w:r>
            <w:r w:rsidRPr="005B1850">
              <w:t xml:space="preserve">of conditions and includes knowledge of: </w:t>
            </w:r>
          </w:p>
        </w:tc>
      </w:tr>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ListBullet"/>
            </w:pPr>
            <w:r w:rsidRPr="005B1850">
              <w:t>documentation and report requirements</w:t>
            </w:r>
          </w:p>
          <w:p w:rsidR="00000000" w:rsidRPr="005B1850" w:rsidP="005B1850">
            <w:pPr>
              <w:pStyle w:val="ListBullet"/>
            </w:pPr>
            <w:r w:rsidRPr="005B1850">
              <w:t xml:space="preserve">fault finding </w:t>
            </w:r>
          </w:p>
          <w:p w:rsidR="00000000" w:rsidRPr="005B1850" w:rsidP="005B1850">
            <w:pPr>
              <w:pStyle w:val="ListBullet"/>
            </w:pPr>
            <w:r w:rsidRPr="005B1850">
              <w:t xml:space="preserve">gas fuelled reciprocating engines </w:t>
            </w:r>
          </w:p>
          <w:p w:rsidR="00000000" w:rsidRPr="005B1850" w:rsidP="005B1850">
            <w:pPr>
              <w:pStyle w:val="ListBullet"/>
            </w:pPr>
            <w:r w:rsidRPr="005B1850">
              <w:t>gas fuels</w:t>
            </w:r>
          </w:p>
          <w:p w:rsidR="00000000" w:rsidRPr="005B1850" w:rsidP="005B1850">
            <w:pPr>
              <w:pStyle w:val="ListBullet"/>
            </w:pPr>
            <w:r w:rsidRPr="005B1850">
              <w:t>legislation, industry standards, codes of practice and regulations</w:t>
            </w:r>
          </w:p>
          <w:p w:rsidR="00000000" w:rsidRPr="005B1850" w:rsidP="005B1850">
            <w:pPr>
              <w:pStyle w:val="ListBullet"/>
            </w:pPr>
            <w:r w:rsidRPr="005B1850">
              <w:t>manufacturers</w:t>
            </w:r>
            <w:r>
              <w:t>’</w:t>
            </w:r>
            <w:r w:rsidRPr="005B1850">
              <w:t xml:space="preserve"> specifications and manuals</w:t>
            </w:r>
          </w:p>
          <w:p w:rsidR="00000000" w:rsidRPr="005B1850" w:rsidP="005B1850">
            <w:pPr>
              <w:pStyle w:val="ListBullet"/>
            </w:pPr>
            <w:r w:rsidRPr="005B1850">
              <w:t>permi</w:t>
            </w:r>
            <w:r w:rsidRPr="005B1850">
              <w:t xml:space="preserve">t to work system </w:t>
            </w:r>
          </w:p>
          <w:p w:rsidR="00000000" w:rsidRPr="005B1850" w:rsidP="005B1850">
            <w:pPr>
              <w:pStyle w:val="ListBullet"/>
            </w:pPr>
            <w:r w:rsidRPr="005B1850">
              <w:t>reconnection and disconnection of stationary gas fuelled reciprocating engines</w:t>
            </w:r>
          </w:p>
          <w:p w:rsidR="00000000" w:rsidRPr="005B1850" w:rsidP="005B1850">
            <w:pPr>
              <w:pStyle w:val="ListBullet"/>
            </w:pPr>
            <w:r w:rsidRPr="005B1850">
              <w:t>stationary gas fuelled reciprocating engine repair and maintenance</w:t>
            </w:r>
          </w:p>
          <w:p w:rsidR="00000000" w:rsidRPr="005B1850" w:rsidP="005B1850">
            <w:pPr>
              <w:pStyle w:val="ListBullet"/>
            </w:pPr>
            <w:r w:rsidRPr="005B1850">
              <w:t>sustainable energy principles and practices</w:t>
            </w:r>
          </w:p>
          <w:p w:rsidR="00000000" w:rsidRPr="005B1850" w:rsidP="005B1850">
            <w:pPr>
              <w:pStyle w:val="ListBullet"/>
            </w:pPr>
            <w:r w:rsidRPr="005B1850">
              <w:t>WHS/OHS legislated requirements including:</w:t>
            </w:r>
          </w:p>
          <w:p w:rsidR="00000000" w:rsidRPr="005B1850" w:rsidP="005B1850">
            <w:pPr>
              <w:pStyle w:val="ListBullet2"/>
            </w:pPr>
            <w:r w:rsidRPr="005B1850">
              <w:t>emergency procedures</w:t>
            </w:r>
          </w:p>
          <w:p w:rsidR="00000000" w:rsidRPr="005B1850" w:rsidP="005B1850">
            <w:pPr>
              <w:pStyle w:val="ListBullet2"/>
            </w:pPr>
            <w:r w:rsidRPr="005B1850">
              <w:t>hazard identification</w:t>
            </w:r>
          </w:p>
          <w:p w:rsidR="00000000" w:rsidRPr="005B1850" w:rsidP="005B1850">
            <w:pPr>
              <w:pStyle w:val="ListBullet2"/>
            </w:pPr>
            <w:r w:rsidRPr="005B1850">
              <w:t>risk control measures</w:t>
            </w:r>
          </w:p>
          <w:p w:rsidR="00000000" w:rsidRPr="005B1850" w:rsidP="005B1850">
            <w:pPr>
              <w:pStyle w:val="ListBullet2"/>
            </w:pPr>
            <w:r w:rsidRPr="005B1850">
              <w:t>safe working practices</w:t>
            </w:r>
          </w:p>
          <w:p w:rsidR="00000000" w:rsidRPr="005B1850" w:rsidP="005B1850">
            <w:pPr>
              <w:pStyle w:val="ListBullet"/>
            </w:pPr>
            <w:r w:rsidRPr="005B1850">
              <w:t>workplace documentation</w:t>
            </w:r>
          </w:p>
          <w:p w:rsidR="00000000" w:rsidRPr="005B1850" w:rsidP="005B1850">
            <w:pPr>
              <w:pStyle w:val="ListBullet"/>
            </w:pPr>
            <w:r w:rsidRPr="005B1850">
              <w:t>workplace policies and procedures</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14" w:name="O_1223175"/>
      <w:bookmarkEnd w:id="14"/>
      <w:r w:rsidRPr="005B1850">
        <w:t>Assessment Conditions</w:t>
      </w:r>
    </w:p>
    <w:tbl>
      <w:tblPr>
        <w:tblW w:w="9497" w:type="dxa"/>
        <w:tblLayout w:type="fixed"/>
        <w:tblCellMar>
          <w:left w:w="62" w:type="dxa"/>
          <w:right w:w="62" w:type="dxa"/>
        </w:tblCellMar>
        <w:tblLook w:val="0000"/>
      </w:tblPr>
      <w:tblGrid>
        <w:gridCol w:w="9497"/>
      </w:tblGrid>
      <w:tr w:rsidTr="005B1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1850" w:rsidP="005B1850">
            <w:pPr>
              <w:pStyle w:val="BodyText"/>
            </w:pPr>
            <w:r w:rsidRPr="005B1850">
              <w:t xml:space="preserve">As a minimum, assessors must satisfy applicable regulatory requirements, which include requirements in the Standards for Registered Training Organisations current at the time of assessment. </w:t>
            </w:r>
          </w:p>
          <w:p w:rsidR="00000000" w:rsidRPr="005B1850" w:rsidP="005B1850">
            <w:pPr>
              <w:pStyle w:val="BodyText"/>
            </w:pPr>
            <w:r w:rsidRPr="005B1850">
              <w:t>As a minimum, assessment must satisfy applicable regulatory requi</w:t>
            </w:r>
            <w:r w:rsidRPr="005B1850">
              <w:t>rements, which include requirements in the Standards for Registered Training Organisations current at the time of assessment.</w:t>
            </w:r>
          </w:p>
          <w:p w:rsidR="00000000" w:rsidRPr="005B1850" w:rsidP="005B1850">
            <w:pPr>
              <w:pStyle w:val="BodyText"/>
            </w:pPr>
            <w:r w:rsidRPr="005B1850">
              <w:t>Assessment processes and techniques must be appropriate to the language, literacy and numeracy requirements of the work being perf</w:t>
            </w:r>
            <w:r w:rsidRPr="005B1850">
              <w:t>ormed and the needs of the candidate.</w:t>
            </w:r>
          </w:p>
          <w:p w:rsidR="00000000" w:rsidRPr="005B1850" w:rsidP="005B1850">
            <w:pPr>
              <w:pStyle w:val="BodyText"/>
            </w:pPr>
            <w:r w:rsidRPr="005B1850">
              <w:t>Assessment must occur in workplace operational situations. Where this is not appropriate, assessment must occur in simulated workplace operational situations that reflect workplace conditions.</w:t>
            </w:r>
          </w:p>
          <w:p w:rsidR="00000000" w:rsidRPr="005B1850" w:rsidP="005B1850">
            <w:pPr>
              <w:pStyle w:val="BodyText"/>
            </w:pPr>
            <w:r w:rsidRPr="005B1850">
              <w:t xml:space="preserve">Resources for assessment </w:t>
            </w:r>
            <w:r w:rsidRPr="005B1850">
              <w:t>must include access to:</w:t>
            </w:r>
          </w:p>
          <w:p w:rsidR="00000000" w:rsidRPr="005B1850" w:rsidP="005B1850">
            <w:pPr>
              <w:pStyle w:val="ListBullet"/>
            </w:pPr>
            <w:r w:rsidRPr="005B1850">
              <w:t>a range of relevant exercises, case studies and/or other simulations</w:t>
            </w:r>
          </w:p>
          <w:p w:rsidR="00000000" w:rsidRPr="005B1850" w:rsidP="005B1850">
            <w:pPr>
              <w:pStyle w:val="ListBullet"/>
            </w:pPr>
            <w:r w:rsidRPr="005B1850">
              <w:t xml:space="preserve">relevant and appropriate materials, tools, equipment and personal protective equipment currently used in industry </w:t>
            </w:r>
          </w:p>
          <w:p w:rsidR="00000000" w:rsidRPr="005B1850" w:rsidP="005B1850">
            <w:pPr>
              <w:pStyle w:val="ListBullet"/>
            </w:pPr>
            <w:r w:rsidRPr="005B1850">
              <w:t>applicable documentation including workplace pr</w:t>
            </w:r>
            <w:r w:rsidRPr="005B1850">
              <w:t>ocedures, industry standards, equipment specifications, regulations, codes of practice and operation manuals.</w:t>
            </w:r>
          </w:p>
        </w:tc>
      </w:tr>
    </w:tbl>
    <w:p w:rsidR="00000000" w:rsidRPr="005B1850" w:rsidP="005B1850">
      <w:pPr>
        <w:pStyle w:val="NoPaddingFontSize1"/>
      </w:pPr>
    </w:p>
    <w:p w:rsidR="00000000" w:rsidRPr="005B1850" w:rsidP="005B1850">
      <w:pPr>
        <w:pStyle w:val="AllowPageBreak"/>
      </w:pPr>
    </w:p>
    <w:p w:rsidR="00000000" w:rsidRPr="005B1850" w:rsidP="005B1850">
      <w:pPr>
        <w:pStyle w:val="Heading1"/>
      </w:pPr>
      <w:bookmarkStart w:id="15" w:name="O_1223190"/>
      <w:bookmarkEnd w:id="15"/>
      <w:r w:rsidRPr="005B1850">
        <w:t>Links</w:t>
      </w:r>
    </w:p>
    <w:p w:rsidR="00000000" w:rsidRPr="005B1850" w:rsidP="003E468C">
      <w:pPr>
        <w:pStyle w:val="BodyText"/>
      </w:pPr>
      <w:r w:rsidRPr="005B185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D58DF">
        <w:rPr>
          <w:rStyle w:val="Hyperlink"/>
        </w:rPr>
        <w:t>https://vetnet.gov.au/Pages/TrainingDocs.aspx?q=1715b9fa-e7bd-441c-bb8d-cf22c9c825a8</w:t>
      </w:r>
      <w:r>
        <w:fldChar w:fldCharType="end"/>
      </w:r>
    </w:p>
    <w:p w:rsidR="00000000" w:rsidRPr="005B1850" w:rsidP="005B1850"/>
    <w:sectPr w:rsidSect="005B18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50" w:rsidRPr="003E468C" w:rsidP="003E4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8C" w:rsidP="005B1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468C" w:rsidP="005B1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468C" w:rsidP="005B1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50" w:rsidP="005B1850">
    <w:pPr>
      <w:pStyle w:val="Footer"/>
      <w:framePr w:wrap="around"/>
    </w:pPr>
    <w:r>
      <w:fldChar w:fldCharType="begin"/>
    </w:r>
    <w:r>
      <w:instrText xml:space="preserve"> DOCPROPERTY  Subject  \* MERGEFORMAT </w:instrText>
    </w:r>
    <w:r>
      <w:fldChar w:fldCharType="separate"/>
    </w:r>
    <w:r w:rsidR="003E468C">
      <w:t>Approved</w:t>
    </w:r>
    <w:r w:rsidR="003E468C">
      <w:fldChar w:fldCharType="end"/>
    </w:r>
    <w:r>
      <w:tab/>
      <w:t xml:space="preserve">Page </w:t>
    </w:r>
    <w:r>
      <w:fldChar w:fldCharType="begin"/>
    </w:r>
    <w:r>
      <w:instrText xml:space="preserve"> PAGE  \* Arabic  \* MERGEFORMAT </w:instrText>
    </w:r>
    <w:r>
      <w:fldChar w:fldCharType="separate"/>
    </w:r>
    <w:r w:rsidR="003E46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68C">
      <w:rPr>
        <w:noProof/>
      </w:rPr>
      <w:t>5</w:t>
    </w:r>
    <w:r>
      <w:rPr>
        <w:noProof/>
      </w:rPr>
      <w:fldChar w:fldCharType="end"/>
    </w:r>
  </w:p>
  <w:p w:rsidR="005B1850" w:rsidP="005B1850">
    <w:pPr>
      <w:pStyle w:val="Footer"/>
      <w:framePr w:wrap="around"/>
    </w:pPr>
    <w:r>
      <w:t xml:space="preserve">© Commonwealth of Australia, </w:t>
    </w:r>
    <w:r>
      <w:fldChar w:fldCharType="begin"/>
    </w:r>
    <w:r>
      <w:instrText xml:space="preserve"> DATE  \@ "yyyy"  \* MERGEFORMAT </w:instrText>
    </w:r>
    <w:r>
      <w:fldChar w:fldCharType="separate"/>
    </w:r>
    <w:r w:rsidR="003E468C">
      <w:rPr>
        <w:noProof/>
      </w:rPr>
      <w:t>2025</w:t>
    </w:r>
    <w:r>
      <w:fldChar w:fldCharType="end"/>
    </w:r>
    <w:r>
      <w:tab/>
    </w:r>
    <w:r>
      <w:fldChar w:fldCharType="begin"/>
    </w:r>
    <w:r>
      <w:instrText xml:space="preserve"> DOCPROPERTY  Author  \* MERGEFORMAT </w:instrText>
    </w:r>
    <w:r>
      <w:fldChar w:fldCharType="separate"/>
    </w:r>
    <w:r w:rsidR="003E468C">
      <w:t>Powering Skills Organisation</w:t>
    </w:r>
    <w:r w:rsidR="003E468C">
      <w:fldChar w:fldCharType="end"/>
    </w:r>
  </w:p>
  <w:p w:rsidR="005B1850" w:rsidP="005B1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850" w:rsidRPr="003E468C" w:rsidP="003E46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8C" w:rsidRPr="002D2AF8" w:rsidP="005B1850">
    <w:pPr>
      <w:pStyle w:val="Header"/>
      <w:framePr w:wrap="around"/>
    </w:pPr>
    <w:r>
      <w:fldChar w:fldCharType="begin"/>
    </w:r>
    <w:r>
      <w:instrText xml:space="preserve"> TITLE   \* MERGEFORMAT </w:instrText>
    </w:r>
    <w:r>
      <w:fldChar w:fldCharType="separate"/>
    </w:r>
    <w:r>
      <w:t>UEPMNT368 Repair and maintain stationary gas fuelled reciprocating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68C" w:rsidP="005B1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850" w:rsidRPr="002D2AF8" w:rsidP="005B1850">
    <w:pPr>
      <w:pStyle w:val="Header"/>
      <w:framePr w:wrap="around"/>
    </w:pPr>
    <w:r>
      <w:fldChar w:fldCharType="begin"/>
    </w:r>
    <w:r>
      <w:instrText xml:space="preserve"> TITLE   \* MERGEFORMAT </w:instrText>
    </w:r>
    <w:r>
      <w:fldChar w:fldCharType="separate"/>
    </w:r>
    <w:r w:rsidR="003E468C">
      <w:t>UEPMNT368 Repair and maintain stationary gas fuelled reciprocating engines</w:t>
    </w:r>
    <w:r w:rsidR="003E468C">
      <w:fldChar w:fldCharType="end"/>
    </w:r>
    <w:r>
      <w:tab/>
      <w:t xml:space="preserve">Date this document was generated: </w:t>
    </w:r>
    <w:r>
      <w:fldChar w:fldCharType="begin"/>
    </w:r>
    <w:r>
      <w:instrText xml:space="preserve"> CREATEDATE  \@ "d MMMM yyyy"  \* MERGEFORMAT </w:instrText>
    </w:r>
    <w:r>
      <w:fldChar w:fldCharType="separate"/>
    </w:r>
    <w:r w:rsidR="003E468C">
      <w:rPr>
        <w:noProof/>
      </w:rPr>
      <w:t>2 March 2025</w:t>
    </w:r>
    <w:r>
      <w:fldChar w:fldCharType="end"/>
    </w:r>
  </w:p>
  <w:p w:rsidR="005B1850" w:rsidP="005B1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07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20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C4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850"/>
    <w:pPr>
      <w:spacing w:before="360" w:after="60"/>
      <w:outlineLvl w:val="0"/>
    </w:pPr>
    <w:rPr>
      <w:sz w:val="32"/>
    </w:rPr>
  </w:style>
  <w:style w:type="paragraph" w:styleId="Heading2">
    <w:name w:val="heading 2"/>
    <w:basedOn w:val="HeadingBase"/>
    <w:next w:val="BodyText"/>
    <w:link w:val="Heading2Char"/>
    <w:qFormat/>
    <w:rsid w:val="005B1850"/>
    <w:pPr>
      <w:keepLines/>
      <w:spacing w:before="240" w:after="120"/>
      <w:outlineLvl w:val="1"/>
    </w:pPr>
    <w:rPr>
      <w:sz w:val="28"/>
      <w:szCs w:val="40"/>
    </w:rPr>
  </w:style>
  <w:style w:type="paragraph" w:styleId="Heading3">
    <w:name w:val="heading 3"/>
    <w:basedOn w:val="HeadingBase"/>
    <w:next w:val="BodyText"/>
    <w:link w:val="Heading3Char"/>
    <w:qFormat/>
    <w:rsid w:val="005B1850"/>
    <w:pPr>
      <w:spacing w:before="180" w:after="120"/>
      <w:outlineLvl w:val="2"/>
    </w:pPr>
    <w:rPr>
      <w:spacing w:val="-10"/>
      <w:kern w:val="32"/>
    </w:rPr>
  </w:style>
  <w:style w:type="paragraph" w:styleId="Heading4">
    <w:name w:val="heading 4"/>
    <w:basedOn w:val="HeadingBase"/>
    <w:next w:val="BodyText"/>
    <w:link w:val="Heading4Char"/>
    <w:qFormat/>
    <w:rsid w:val="005B1850"/>
    <w:pPr>
      <w:spacing w:before="160" w:after="120"/>
      <w:outlineLvl w:val="3"/>
    </w:pPr>
    <w:rPr>
      <w:sz w:val="22"/>
    </w:rPr>
  </w:style>
  <w:style w:type="paragraph" w:styleId="Heading5">
    <w:name w:val="heading 5"/>
    <w:basedOn w:val="HeadingBase"/>
    <w:next w:val="Normal"/>
    <w:link w:val="Heading5Char"/>
    <w:qFormat/>
    <w:rsid w:val="005B1850"/>
    <w:pPr>
      <w:spacing w:before="80"/>
      <w:outlineLvl w:val="4"/>
    </w:pPr>
    <w:rPr>
      <w:color w:val="918585"/>
      <w:sz w:val="20"/>
    </w:rPr>
  </w:style>
  <w:style w:type="paragraph" w:styleId="Heading6">
    <w:name w:val="heading 6"/>
    <w:basedOn w:val="HeadingBase"/>
    <w:next w:val="Normal"/>
    <w:link w:val="Heading6Char"/>
    <w:qFormat/>
    <w:rsid w:val="005B1850"/>
    <w:pPr>
      <w:spacing w:before="60"/>
      <w:outlineLvl w:val="5"/>
    </w:pPr>
    <w:rPr>
      <w:color w:val="918585"/>
      <w:sz w:val="20"/>
    </w:rPr>
  </w:style>
  <w:style w:type="paragraph" w:styleId="Heading7">
    <w:name w:val="heading 7"/>
    <w:basedOn w:val="Normal"/>
    <w:next w:val="Normal"/>
    <w:link w:val="Heading7Char"/>
    <w:qFormat/>
    <w:rsid w:val="005B1850"/>
    <w:pPr>
      <w:ind w:left="720"/>
      <w:outlineLvl w:val="6"/>
    </w:pPr>
    <w:rPr>
      <w:i/>
    </w:rPr>
  </w:style>
  <w:style w:type="paragraph" w:styleId="Heading8">
    <w:name w:val="heading 8"/>
    <w:basedOn w:val="Normal"/>
    <w:next w:val="Normal"/>
    <w:link w:val="Heading8Char"/>
    <w:qFormat/>
    <w:rsid w:val="005B1850"/>
    <w:pPr>
      <w:ind w:left="720"/>
      <w:outlineLvl w:val="7"/>
    </w:pPr>
    <w:rPr>
      <w:i/>
    </w:rPr>
  </w:style>
  <w:style w:type="paragraph" w:styleId="Heading9">
    <w:name w:val="heading 9"/>
    <w:basedOn w:val="Normal"/>
    <w:next w:val="Normal"/>
    <w:link w:val="Heading9Char"/>
    <w:qFormat/>
    <w:rsid w:val="005B1850"/>
    <w:pPr>
      <w:ind w:left="720"/>
      <w:outlineLvl w:val="8"/>
    </w:pPr>
    <w:rPr>
      <w:i/>
    </w:rPr>
  </w:style>
  <w:style w:type="character" w:default="1" w:styleId="DefaultParagraphFont">
    <w:name w:val="Default Paragraph Font"/>
    <w:uiPriority w:val="1"/>
    <w:unhideWhenUsed/>
    <w:rsid w:val="005B1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850"/>
  </w:style>
  <w:style w:type="character" w:customStyle="1" w:styleId="Heading1Char">
    <w:name w:val="Heading 1 Char"/>
    <w:basedOn w:val="DefaultParagraphFont"/>
    <w:link w:val="Heading1"/>
    <w:rsid w:val="005B1850"/>
    <w:rPr>
      <w:rFonts w:ascii="Times New Roman" w:eastAsia="Times New Roman" w:hAnsi="Times New Roman" w:cs="Times New Roman"/>
      <w:b/>
      <w:sz w:val="32"/>
      <w:szCs w:val="20"/>
      <w:lang w:eastAsia="en-US"/>
    </w:rPr>
  </w:style>
  <w:style w:type="paragraph" w:styleId="BodyText">
    <w:name w:val="Body Text"/>
    <w:basedOn w:val="Normal"/>
    <w:link w:val="BodyTextChar"/>
    <w:rsid w:val="005B1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850"/>
    <w:rPr>
      <w:rFonts w:ascii="Times New Roman" w:eastAsia="Times New Roman" w:hAnsi="Times New Roman" w:cs="Times New Roman"/>
      <w:sz w:val="24"/>
      <w:lang w:eastAsia="en-US"/>
    </w:rPr>
  </w:style>
  <w:style w:type="paragraph" w:styleId="ListBullet">
    <w:name w:val="List Bullet"/>
    <w:basedOn w:val="List"/>
    <w:rsid w:val="005B1850"/>
    <w:pPr>
      <w:numPr>
        <w:numId w:val="12"/>
      </w:numPr>
      <w:tabs>
        <w:tab w:val="clear" w:pos="340"/>
      </w:tabs>
      <w:spacing w:before="40" w:after="40"/>
    </w:pPr>
  </w:style>
  <w:style w:type="character" w:customStyle="1" w:styleId="SpecialBold">
    <w:name w:val="Special Bold"/>
    <w:basedOn w:val="DefaultParagraphFont"/>
    <w:rsid w:val="005B1850"/>
    <w:rPr>
      <w:b/>
      <w:spacing w:val="0"/>
    </w:rPr>
  </w:style>
  <w:style w:type="paragraph" w:styleId="ListBullet2">
    <w:name w:val="List Bullet 2"/>
    <w:basedOn w:val="List2"/>
    <w:rsid w:val="005B1850"/>
    <w:pPr>
      <w:numPr>
        <w:numId w:val="13"/>
      </w:numPr>
      <w:tabs>
        <w:tab w:val="clear" w:pos="680"/>
      </w:tabs>
    </w:pPr>
  </w:style>
  <w:style w:type="paragraph" w:customStyle="1" w:styleId="SuperHeading">
    <w:name w:val="SuperHeading"/>
    <w:basedOn w:val="Normal"/>
    <w:rsid w:val="005B1850"/>
    <w:pPr>
      <w:spacing w:before="240" w:after="120"/>
      <w:outlineLvl w:val="0"/>
    </w:pPr>
    <w:rPr>
      <w:rFonts w:ascii="Times New Roman" w:hAnsi="Times New Roman"/>
      <w:b/>
      <w:sz w:val="32"/>
    </w:rPr>
  </w:style>
  <w:style w:type="paragraph" w:customStyle="1" w:styleId="AllowPageBreak">
    <w:name w:val="AllowPageBreak"/>
    <w:rsid w:val="005B18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1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850"/>
    <w:rPr>
      <w:rFonts w:ascii="Courier New" w:eastAsia="Times New Roman" w:hAnsi="Courier New" w:cs="Times New Roman"/>
      <w:i/>
      <w:szCs w:val="20"/>
      <w:lang w:eastAsia="en-US"/>
    </w:rPr>
  </w:style>
  <w:style w:type="paragraph" w:customStyle="1" w:styleId="HeadingBase">
    <w:name w:val="Heading Base"/>
    <w:rsid w:val="005B1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850"/>
    <w:pPr>
      <w:tabs>
        <w:tab w:val="right" w:leader="dot" w:pos="9072"/>
      </w:tabs>
      <w:ind w:left="567"/>
    </w:pPr>
    <w:rPr>
      <w:szCs w:val="22"/>
    </w:rPr>
  </w:style>
  <w:style w:type="paragraph" w:customStyle="1" w:styleId="TOCBase">
    <w:name w:val="TOC Base"/>
    <w:rsid w:val="005B1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850"/>
    <w:pPr>
      <w:tabs>
        <w:tab w:val="right" w:leader="dot" w:pos="9072"/>
      </w:tabs>
      <w:spacing w:before="40" w:after="40"/>
      <w:ind w:left="284"/>
    </w:pPr>
    <w:rPr>
      <w:rFonts w:ascii="Times New Roman" w:hAnsi="Times New Roman"/>
    </w:rPr>
  </w:style>
  <w:style w:type="paragraph" w:styleId="TOC1">
    <w:name w:val="toc 1"/>
    <w:basedOn w:val="TOCBase"/>
    <w:next w:val="Normal"/>
    <w:rsid w:val="005B1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850"/>
    <w:rPr>
      <w:rFonts w:ascii="Times New Roman" w:eastAsia="Times New Roman" w:hAnsi="Times New Roman" w:cs="Times New Roman"/>
      <w:sz w:val="16"/>
      <w:lang w:eastAsia="en-US"/>
    </w:rPr>
  </w:style>
  <w:style w:type="paragraph" w:styleId="Title">
    <w:name w:val="Title"/>
    <w:basedOn w:val="HeadingBase"/>
    <w:link w:val="TitleChar"/>
    <w:qFormat/>
    <w:rsid w:val="005B1850"/>
    <w:pPr>
      <w:spacing w:before="5040"/>
      <w:jc w:val="center"/>
    </w:pPr>
    <w:rPr>
      <w:sz w:val="48"/>
      <w:szCs w:val="72"/>
      <w:lang w:val="en-US"/>
    </w:rPr>
  </w:style>
  <w:style w:type="character" w:customStyle="1" w:styleId="TitleChar">
    <w:name w:val="Title Char"/>
    <w:basedOn w:val="DefaultParagraphFont"/>
    <w:link w:val="Title"/>
    <w:rsid w:val="005B1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850"/>
    <w:pPr>
      <w:tabs>
        <w:tab w:val="left" w:pos="3600"/>
        <w:tab w:val="left" w:pos="3958"/>
      </w:tabs>
    </w:pPr>
  </w:style>
  <w:style w:type="paragraph" w:styleId="List">
    <w:name w:val="List"/>
    <w:basedOn w:val="BodyText"/>
    <w:next w:val="BodyText"/>
    <w:rsid w:val="005B1850"/>
    <w:pPr>
      <w:tabs>
        <w:tab w:val="left" w:pos="340"/>
      </w:tabs>
      <w:spacing w:before="60" w:after="60"/>
      <w:ind w:left="340" w:hanging="340"/>
    </w:pPr>
  </w:style>
  <w:style w:type="paragraph" w:customStyle="1" w:styleId="Note">
    <w:name w:val="Note"/>
    <w:basedOn w:val="BodyText"/>
    <w:rsid w:val="005B1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850"/>
    <w:pPr>
      <w:framePr w:wrap="auto" w:hAnchor="text" w:y="6049"/>
    </w:pPr>
    <w:rPr>
      <w:color w:val="000000"/>
      <w:sz w:val="40"/>
    </w:rPr>
  </w:style>
  <w:style w:type="paragraph" w:customStyle="1" w:styleId="TOCTitle">
    <w:name w:val="TOCTitle"/>
    <w:basedOn w:val="Heading1"/>
    <w:rsid w:val="005B1850"/>
    <w:pPr>
      <w:spacing w:after="240"/>
      <w:jc w:val="center"/>
      <w:outlineLvl w:val="9"/>
    </w:pPr>
    <w:rPr>
      <w:caps/>
    </w:rPr>
  </w:style>
  <w:style w:type="paragraph" w:customStyle="1" w:styleId="Version">
    <w:name w:val="Version"/>
    <w:rsid w:val="005B1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850"/>
    <w:pPr>
      <w:keepNext w:val="0"/>
      <w:tabs>
        <w:tab w:val="right" w:pos="4176"/>
      </w:tabs>
      <w:ind w:left="198" w:hanging="198"/>
    </w:pPr>
    <w:rPr>
      <w:rFonts w:ascii="Garamond" w:hAnsi="Garamond"/>
    </w:rPr>
  </w:style>
  <w:style w:type="paragraph" w:styleId="IndexHeading">
    <w:name w:val="index heading"/>
    <w:basedOn w:val="Normal"/>
    <w:next w:val="Index1"/>
    <w:semiHidden/>
    <w:rsid w:val="005B1850"/>
    <w:pPr>
      <w:spacing w:before="120" w:after="120"/>
    </w:pPr>
    <w:rPr>
      <w:rFonts w:ascii="Arial" w:hAnsi="Arial"/>
      <w:b/>
      <w:color w:val="918585"/>
      <w:sz w:val="24"/>
    </w:rPr>
  </w:style>
  <w:style w:type="paragraph" w:styleId="Header">
    <w:name w:val="header"/>
    <w:basedOn w:val="Normal"/>
    <w:link w:val="HeaderChar"/>
    <w:rsid w:val="005B1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850"/>
    <w:rPr>
      <w:rFonts w:ascii="Times New Roman" w:eastAsia="Times New Roman" w:hAnsi="Times New Roman" w:cs="Times New Roman"/>
      <w:sz w:val="16"/>
      <w:szCs w:val="20"/>
      <w:lang w:val="en-GB" w:eastAsia="en-US"/>
    </w:rPr>
  </w:style>
  <w:style w:type="paragraph" w:customStyle="1" w:styleId="Chapter">
    <w:name w:val="Chapter"/>
    <w:basedOn w:val="Normal"/>
    <w:rsid w:val="005B1850"/>
    <w:pPr>
      <w:spacing w:before="240"/>
    </w:pPr>
    <w:rPr>
      <w:rFonts w:ascii="Times New Roman" w:hAnsi="Times New Roman"/>
      <w:smallCaps/>
      <w:spacing w:val="80"/>
      <w:sz w:val="28"/>
    </w:rPr>
  </w:style>
  <w:style w:type="paragraph" w:customStyle="1" w:styleId="InChapter">
    <w:name w:val="InChapter"/>
    <w:basedOn w:val="Heading3"/>
    <w:rsid w:val="005B1850"/>
    <w:pPr>
      <w:spacing w:after="240"/>
      <w:outlineLvl w:val="9"/>
    </w:pPr>
    <w:rPr>
      <w:noProof/>
    </w:rPr>
  </w:style>
  <w:style w:type="paragraph" w:styleId="Index2">
    <w:name w:val="index 2"/>
    <w:basedOn w:val="Normal"/>
    <w:next w:val="Normal"/>
    <w:semiHidden/>
    <w:rsid w:val="005B1850"/>
    <w:pPr>
      <w:tabs>
        <w:tab w:val="right" w:pos="4176"/>
      </w:tabs>
      <w:ind w:left="568" w:hanging="284"/>
    </w:pPr>
    <w:rPr>
      <w:rFonts w:ascii="Garamond" w:hAnsi="Garamond"/>
    </w:rPr>
  </w:style>
  <w:style w:type="paragraph" w:customStyle="1" w:styleId="Byline">
    <w:name w:val="Byline"/>
    <w:rsid w:val="005B1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850"/>
    <w:pPr>
      <w:tabs>
        <w:tab w:val="clear" w:pos="3600"/>
        <w:tab w:val="clear" w:pos="3958"/>
      </w:tabs>
      <w:jc w:val="right"/>
    </w:pPr>
  </w:style>
  <w:style w:type="character" w:styleId="Emphasis">
    <w:name w:val="Emphasis"/>
    <w:basedOn w:val="DefaultParagraphFont"/>
    <w:qFormat/>
    <w:rsid w:val="005B1850"/>
    <w:rPr>
      <w:i/>
    </w:rPr>
  </w:style>
  <w:style w:type="paragraph" w:styleId="Caption">
    <w:name w:val="caption"/>
    <w:basedOn w:val="BodyText"/>
    <w:next w:val="Normal"/>
    <w:qFormat/>
    <w:rsid w:val="005B1850"/>
    <w:pPr>
      <w:framePr w:w="2268" w:hSpace="181" w:vSpace="181" w:wrap="around" w:vAnchor="text" w:hAnchor="page" w:x="1135" w:y="285" w:anchorLock="1"/>
    </w:pPr>
    <w:rPr>
      <w:i/>
    </w:rPr>
  </w:style>
  <w:style w:type="paragraph" w:customStyle="1" w:styleId="MiniTOCTitle">
    <w:name w:val="MiniTOCTitle"/>
    <w:basedOn w:val="Heading4"/>
    <w:rsid w:val="005B1850"/>
    <w:pPr>
      <w:spacing w:before="240"/>
      <w:outlineLvl w:val="9"/>
    </w:pPr>
    <w:rPr>
      <w:noProof/>
      <w:sz w:val="24"/>
    </w:rPr>
  </w:style>
  <w:style w:type="paragraph" w:customStyle="1" w:styleId="MiniTOCItem">
    <w:name w:val="MiniTOCItem"/>
    <w:basedOn w:val="ListBullet"/>
    <w:rsid w:val="005B1850"/>
    <w:pPr>
      <w:numPr>
        <w:numId w:val="0"/>
      </w:numPr>
      <w:tabs>
        <w:tab w:val="right" w:leader="dot" w:pos="6521"/>
      </w:tabs>
      <w:spacing w:before="0" w:after="0"/>
    </w:pPr>
  </w:style>
  <w:style w:type="paragraph" w:customStyle="1" w:styleId="TOFTitle">
    <w:name w:val="TOFTitle"/>
    <w:basedOn w:val="TOCTitle"/>
    <w:rsid w:val="005B1850"/>
  </w:style>
  <w:style w:type="paragraph" w:styleId="TableofFigures">
    <w:name w:val="table of figures"/>
    <w:basedOn w:val="Normal"/>
    <w:next w:val="Normal"/>
    <w:semiHidden/>
    <w:rsid w:val="005B1850"/>
    <w:pPr>
      <w:tabs>
        <w:tab w:val="right" w:leader="dot" w:pos="9072"/>
      </w:tabs>
      <w:ind w:left="970" w:hanging="403"/>
    </w:pPr>
    <w:rPr>
      <w:rFonts w:ascii="Times New Roman" w:hAnsi="Times New Roman"/>
      <w:b/>
    </w:rPr>
  </w:style>
  <w:style w:type="paragraph" w:styleId="ListNumber">
    <w:name w:val="List Number"/>
    <w:basedOn w:val="List"/>
    <w:rsid w:val="005B1850"/>
    <w:pPr>
      <w:numPr>
        <w:numId w:val="15"/>
      </w:numPr>
      <w:tabs>
        <w:tab w:val="clear" w:pos="340"/>
      </w:tabs>
    </w:pPr>
  </w:style>
  <w:style w:type="character" w:customStyle="1" w:styleId="WingdingSymbols">
    <w:name w:val="Wingding Symbols"/>
    <w:rsid w:val="005B1850"/>
    <w:rPr>
      <w:rFonts w:ascii="Wingdings" w:hAnsi="Wingdings"/>
    </w:rPr>
  </w:style>
  <w:style w:type="paragraph" w:customStyle="1" w:styleId="TableHeading">
    <w:name w:val="Table Heading"/>
    <w:basedOn w:val="HeadingBase"/>
    <w:rsid w:val="005B1850"/>
    <w:pPr>
      <w:keepLines/>
      <w:pBdr>
        <w:bottom w:val="single" w:sz="6" w:space="1" w:color="918585"/>
      </w:pBdr>
      <w:spacing w:before="240"/>
    </w:pPr>
  </w:style>
  <w:style w:type="character" w:customStyle="1" w:styleId="HotSpot">
    <w:name w:val="HotSpot"/>
    <w:rsid w:val="005B1850"/>
    <w:rPr>
      <w:color w:val="0033CC"/>
      <w:u w:val="none"/>
    </w:rPr>
  </w:style>
  <w:style w:type="paragraph" w:customStyle="1" w:styleId="BodyTextRight">
    <w:name w:val="Body Text Right"/>
    <w:basedOn w:val="BodyText"/>
    <w:rsid w:val="005B1850"/>
    <w:pPr>
      <w:spacing w:before="0" w:after="0"/>
      <w:jc w:val="right"/>
    </w:pPr>
  </w:style>
  <w:style w:type="paragraph" w:styleId="Index3">
    <w:name w:val="index 3"/>
    <w:basedOn w:val="ListNumber2"/>
    <w:next w:val="Normal"/>
    <w:semiHidden/>
    <w:rsid w:val="005B1850"/>
    <w:pPr>
      <w:numPr>
        <w:numId w:val="0"/>
      </w:numPr>
      <w:tabs>
        <w:tab w:val="right" w:leader="dot" w:pos="4176"/>
      </w:tabs>
    </w:pPr>
  </w:style>
  <w:style w:type="paragraph" w:styleId="ListNumber2">
    <w:name w:val="List Number 2"/>
    <w:basedOn w:val="List2"/>
    <w:rsid w:val="005B1850"/>
    <w:pPr>
      <w:numPr>
        <w:numId w:val="10"/>
      </w:numPr>
      <w:tabs>
        <w:tab w:val="clear" w:pos="1060"/>
      </w:tabs>
    </w:pPr>
  </w:style>
  <w:style w:type="paragraph" w:customStyle="1" w:styleId="MarginNote">
    <w:name w:val="Margin Note"/>
    <w:basedOn w:val="BodyText"/>
    <w:rsid w:val="005B1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850"/>
    <w:rPr>
      <w:sz w:val="32"/>
    </w:rPr>
  </w:style>
  <w:style w:type="paragraph" w:customStyle="1" w:styleId="HeadingProcedure">
    <w:name w:val="Heading Procedure"/>
    <w:basedOn w:val="HeadingBase"/>
    <w:next w:val="Normal"/>
    <w:rsid w:val="005B1850"/>
    <w:pPr>
      <w:tabs>
        <w:tab w:val="left" w:pos="0"/>
      </w:tabs>
      <w:spacing w:before="120" w:after="60"/>
    </w:pPr>
    <w:rPr>
      <w:i/>
      <w:color w:val="918585"/>
      <w:sz w:val="22"/>
    </w:rPr>
  </w:style>
  <w:style w:type="paragraph" w:customStyle="1" w:styleId="TableBodyText">
    <w:name w:val="Table Body Text"/>
    <w:basedOn w:val="BodyText"/>
    <w:rsid w:val="005B1850"/>
    <w:pPr>
      <w:spacing w:before="60" w:after="60"/>
    </w:pPr>
  </w:style>
  <w:style w:type="paragraph" w:styleId="ListContinue">
    <w:name w:val="List Continue"/>
    <w:basedOn w:val="List"/>
    <w:rsid w:val="005B1850"/>
    <w:pPr>
      <w:ind w:firstLine="0"/>
    </w:pPr>
  </w:style>
  <w:style w:type="paragraph" w:customStyle="1" w:styleId="ListNote">
    <w:name w:val="List Note"/>
    <w:basedOn w:val="List"/>
    <w:rsid w:val="005B1850"/>
    <w:pPr>
      <w:pBdr>
        <w:top w:val="single" w:sz="6" w:space="2" w:color="918585"/>
        <w:bottom w:val="single" w:sz="6" w:space="2" w:color="918585"/>
      </w:pBdr>
      <w:tabs>
        <w:tab w:val="left" w:pos="1021"/>
      </w:tabs>
      <w:ind w:firstLine="0"/>
    </w:pPr>
  </w:style>
  <w:style w:type="paragraph" w:customStyle="1" w:styleId="Warning">
    <w:name w:val="Warning"/>
    <w:basedOn w:val="BodyText"/>
    <w:rsid w:val="005B1850"/>
    <w:pPr>
      <w:shd w:val="clear" w:color="auto" w:fill="D9D9D9"/>
      <w:tabs>
        <w:tab w:val="left" w:pos="992"/>
      </w:tabs>
      <w:ind w:left="119" w:right="119"/>
    </w:pPr>
    <w:rPr>
      <w:sz w:val="20"/>
    </w:rPr>
  </w:style>
  <w:style w:type="paragraph" w:customStyle="1" w:styleId="MarginIcons">
    <w:name w:val="Margin Icons"/>
    <w:basedOn w:val="BodyText"/>
    <w:rsid w:val="005B1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850"/>
    <w:rPr>
      <w:rFonts w:ascii="Courier New" w:hAnsi="Courier New"/>
    </w:rPr>
  </w:style>
  <w:style w:type="paragraph" w:customStyle="1" w:styleId="NoteBullet">
    <w:name w:val="Note Bullet"/>
    <w:basedOn w:val="Note"/>
    <w:rsid w:val="005B1850"/>
    <w:pPr>
      <w:tabs>
        <w:tab w:val="clear" w:pos="680"/>
      </w:tabs>
      <w:spacing w:before="60" w:after="60"/>
    </w:pPr>
  </w:style>
  <w:style w:type="paragraph" w:customStyle="1" w:styleId="SubHeading2">
    <w:name w:val="SubHeading2"/>
    <w:basedOn w:val="HeadingBase"/>
    <w:rsid w:val="005B1850"/>
    <w:pPr>
      <w:spacing w:before="240" w:after="60"/>
    </w:pPr>
    <w:rPr>
      <w:sz w:val="20"/>
    </w:rPr>
  </w:style>
  <w:style w:type="paragraph" w:customStyle="1" w:styleId="SubHeading1">
    <w:name w:val="SubHeading1"/>
    <w:basedOn w:val="HeadingBase"/>
    <w:rsid w:val="005B1850"/>
    <w:pPr>
      <w:spacing w:before="240" w:after="60"/>
    </w:pPr>
    <w:rPr>
      <w:color w:val="918585"/>
      <w:sz w:val="22"/>
    </w:rPr>
  </w:style>
  <w:style w:type="paragraph" w:customStyle="1" w:styleId="SideHeading">
    <w:name w:val="Side Heading"/>
    <w:basedOn w:val="HeadingBase"/>
    <w:rsid w:val="005B1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850"/>
    <w:pPr>
      <w:tabs>
        <w:tab w:val="num" w:pos="360"/>
      </w:tabs>
    </w:pPr>
  </w:style>
  <w:style w:type="paragraph" w:styleId="PlainText">
    <w:name w:val="Plain Text"/>
    <w:basedOn w:val="Normal"/>
    <w:link w:val="PlainTextChar"/>
    <w:rsid w:val="005B1850"/>
    <w:rPr>
      <w:sz w:val="20"/>
    </w:rPr>
  </w:style>
  <w:style w:type="character" w:customStyle="1" w:styleId="PlainTextChar">
    <w:name w:val="Plain Text Char"/>
    <w:basedOn w:val="DefaultParagraphFont"/>
    <w:link w:val="PlainText"/>
    <w:rsid w:val="005B1850"/>
    <w:rPr>
      <w:rFonts w:ascii="Courier New" w:eastAsia="Times New Roman" w:hAnsi="Courier New" w:cs="Times New Roman"/>
      <w:sz w:val="20"/>
      <w:szCs w:val="20"/>
      <w:lang w:eastAsia="en-US"/>
    </w:rPr>
  </w:style>
  <w:style w:type="character" w:customStyle="1" w:styleId="MenuOption">
    <w:name w:val="Menu Option"/>
    <w:basedOn w:val="DefaultParagraphFont"/>
    <w:rsid w:val="005B1850"/>
    <w:rPr>
      <w:b/>
      <w:smallCaps/>
    </w:rPr>
  </w:style>
  <w:style w:type="paragraph" w:customStyle="1" w:styleId="TableListNumber">
    <w:name w:val="Table List Number"/>
    <w:basedOn w:val="ListNumber"/>
    <w:rsid w:val="005B1850"/>
    <w:pPr>
      <w:numPr>
        <w:numId w:val="0"/>
      </w:numPr>
    </w:pPr>
  </w:style>
  <w:style w:type="paragraph" w:styleId="TOC4">
    <w:name w:val="toc 4"/>
    <w:basedOn w:val="TOCBase"/>
    <w:next w:val="Normal"/>
    <w:semiHidden/>
    <w:rsid w:val="005B1850"/>
    <w:pPr>
      <w:tabs>
        <w:tab w:val="right" w:leader="dot" w:pos="9071"/>
      </w:tabs>
      <w:ind w:left="1701"/>
    </w:pPr>
  </w:style>
  <w:style w:type="paragraph" w:customStyle="1" w:styleId="ListAlpha">
    <w:name w:val="List Alpha"/>
    <w:basedOn w:val="List"/>
    <w:rsid w:val="005B1850"/>
    <w:pPr>
      <w:numPr>
        <w:numId w:val="9"/>
      </w:numPr>
    </w:pPr>
  </w:style>
  <w:style w:type="paragraph" w:customStyle="1" w:styleId="ListAlpha2">
    <w:name w:val="List Alpha 2"/>
    <w:basedOn w:val="List2"/>
    <w:rsid w:val="005B1850"/>
    <w:pPr>
      <w:numPr>
        <w:numId w:val="8"/>
      </w:numPr>
    </w:pPr>
  </w:style>
  <w:style w:type="paragraph" w:styleId="List2">
    <w:name w:val="List 2"/>
    <w:basedOn w:val="BodyText"/>
    <w:rsid w:val="005B1850"/>
    <w:pPr>
      <w:tabs>
        <w:tab w:val="left" w:pos="680"/>
      </w:tabs>
      <w:spacing w:before="60" w:after="60"/>
      <w:ind w:left="680" w:hanging="340"/>
    </w:pPr>
  </w:style>
  <w:style w:type="paragraph" w:styleId="List3">
    <w:name w:val="List 3"/>
    <w:basedOn w:val="BodyText"/>
    <w:rsid w:val="005B1850"/>
    <w:pPr>
      <w:tabs>
        <w:tab w:val="left" w:pos="1021"/>
      </w:tabs>
      <w:spacing w:before="60" w:after="60"/>
      <w:ind w:left="1020" w:hanging="340"/>
    </w:pPr>
  </w:style>
  <w:style w:type="paragraph" w:styleId="List4">
    <w:name w:val="List 4"/>
    <w:basedOn w:val="BodyText"/>
    <w:rsid w:val="005B1850"/>
    <w:pPr>
      <w:tabs>
        <w:tab w:val="left" w:pos="1361"/>
      </w:tabs>
      <w:spacing w:before="60" w:after="60"/>
      <w:ind w:left="1361" w:hanging="340"/>
    </w:pPr>
  </w:style>
  <w:style w:type="paragraph" w:styleId="List5">
    <w:name w:val="List 5"/>
    <w:basedOn w:val="BodyText"/>
    <w:rsid w:val="005B1850"/>
    <w:pPr>
      <w:tabs>
        <w:tab w:val="left" w:pos="1701"/>
      </w:tabs>
      <w:spacing w:before="60" w:after="60"/>
      <w:ind w:left="1701" w:hanging="340"/>
    </w:pPr>
  </w:style>
  <w:style w:type="paragraph" w:styleId="ListBullet3">
    <w:name w:val="List Bullet 3"/>
    <w:basedOn w:val="List3"/>
    <w:rsid w:val="005B1850"/>
    <w:pPr>
      <w:numPr>
        <w:numId w:val="14"/>
      </w:numPr>
      <w:tabs>
        <w:tab w:val="clear" w:pos="1021"/>
      </w:tabs>
      <w:ind w:left="1037" w:hanging="357"/>
    </w:pPr>
  </w:style>
  <w:style w:type="paragraph" w:styleId="ListBullet4">
    <w:name w:val="List Bullet 4"/>
    <w:basedOn w:val="List4"/>
    <w:rsid w:val="005B1850"/>
    <w:pPr>
      <w:numPr>
        <w:numId w:val="3"/>
      </w:numPr>
      <w:tabs>
        <w:tab w:val="clear" w:pos="1361"/>
      </w:tabs>
    </w:pPr>
  </w:style>
  <w:style w:type="paragraph" w:styleId="ListBullet5">
    <w:name w:val="List Bullet 5"/>
    <w:basedOn w:val="List5"/>
    <w:rsid w:val="005B1850"/>
    <w:pPr>
      <w:numPr>
        <w:numId w:val="4"/>
      </w:numPr>
    </w:pPr>
  </w:style>
  <w:style w:type="paragraph" w:styleId="ListContinue2">
    <w:name w:val="List Continue 2"/>
    <w:basedOn w:val="List2"/>
    <w:rsid w:val="005B1850"/>
    <w:pPr>
      <w:ind w:firstLine="0"/>
    </w:pPr>
  </w:style>
  <w:style w:type="paragraph" w:styleId="ListContinue3">
    <w:name w:val="List Continue 3"/>
    <w:basedOn w:val="List3"/>
    <w:rsid w:val="005B1850"/>
    <w:pPr>
      <w:ind w:left="1021" w:firstLine="0"/>
    </w:pPr>
  </w:style>
  <w:style w:type="paragraph" w:styleId="ListContinue4">
    <w:name w:val="List Continue 4"/>
    <w:basedOn w:val="List4"/>
    <w:rsid w:val="005B1850"/>
    <w:pPr>
      <w:ind w:firstLine="0"/>
    </w:pPr>
  </w:style>
  <w:style w:type="paragraph" w:styleId="ListContinue5">
    <w:name w:val="List Continue 5"/>
    <w:basedOn w:val="List5"/>
    <w:rsid w:val="005B1850"/>
    <w:pPr>
      <w:ind w:firstLine="0"/>
    </w:pPr>
  </w:style>
  <w:style w:type="paragraph" w:styleId="ListNumber3">
    <w:name w:val="List Number 3"/>
    <w:basedOn w:val="List3"/>
    <w:rsid w:val="005B1850"/>
    <w:pPr>
      <w:numPr>
        <w:numId w:val="5"/>
      </w:numPr>
    </w:pPr>
  </w:style>
  <w:style w:type="paragraph" w:styleId="ListNumber4">
    <w:name w:val="List Number 4"/>
    <w:basedOn w:val="List4"/>
    <w:rsid w:val="005B1850"/>
    <w:pPr>
      <w:numPr>
        <w:numId w:val="6"/>
      </w:numPr>
    </w:pPr>
  </w:style>
  <w:style w:type="paragraph" w:styleId="ListNumber5">
    <w:name w:val="List Number 5"/>
    <w:basedOn w:val="List5"/>
    <w:rsid w:val="005B1850"/>
    <w:pPr>
      <w:numPr>
        <w:numId w:val="7"/>
      </w:numPr>
    </w:pPr>
  </w:style>
  <w:style w:type="paragraph" w:styleId="BlockText">
    <w:name w:val="Block Text"/>
    <w:basedOn w:val="Normal"/>
    <w:rsid w:val="005B1850"/>
    <w:pPr>
      <w:spacing w:after="120"/>
      <w:ind w:left="1440" w:right="1440"/>
    </w:pPr>
  </w:style>
  <w:style w:type="character" w:customStyle="1" w:styleId="Subscript">
    <w:name w:val="Subscript"/>
    <w:basedOn w:val="DefaultParagraphFont"/>
    <w:rsid w:val="005B1850"/>
    <w:rPr>
      <w:sz w:val="16"/>
      <w:vertAlign w:val="subscript"/>
    </w:rPr>
  </w:style>
  <w:style w:type="character" w:customStyle="1" w:styleId="Superscript">
    <w:name w:val="Superscript"/>
    <w:basedOn w:val="DefaultParagraphFont"/>
    <w:rsid w:val="005B1850"/>
    <w:rPr>
      <w:sz w:val="16"/>
      <w:vertAlign w:val="superscript"/>
    </w:rPr>
  </w:style>
  <w:style w:type="character" w:customStyle="1" w:styleId="Symbols">
    <w:name w:val="Symbols"/>
    <w:basedOn w:val="DefaultParagraphFont"/>
    <w:rsid w:val="005B1850"/>
    <w:rPr>
      <w:rFonts w:ascii="Symbol" w:hAnsi="Symbol"/>
    </w:rPr>
  </w:style>
  <w:style w:type="character" w:customStyle="1" w:styleId="MenuOptions">
    <w:name w:val="Menu Options"/>
    <w:basedOn w:val="DefaultParagraphFont"/>
    <w:rsid w:val="005B1850"/>
    <w:rPr>
      <w:rFonts w:ascii="Arial Narrow" w:hAnsi="Arial Narrow"/>
      <w:smallCaps/>
    </w:rPr>
  </w:style>
  <w:style w:type="character" w:customStyle="1" w:styleId="Buttons">
    <w:name w:val="Buttons"/>
    <w:basedOn w:val="DefaultParagraphFont"/>
    <w:rsid w:val="005B1850"/>
    <w:rPr>
      <w:b/>
    </w:rPr>
  </w:style>
  <w:style w:type="character" w:customStyle="1" w:styleId="Underlined">
    <w:name w:val="Underlined"/>
    <w:basedOn w:val="DefaultParagraphFont"/>
    <w:rsid w:val="005B1850"/>
    <w:rPr>
      <w:u w:val="single"/>
    </w:rPr>
  </w:style>
  <w:style w:type="paragraph" w:customStyle="1" w:styleId="TableBodyTextRight">
    <w:name w:val="Table Body Text Right"/>
    <w:basedOn w:val="TableBodyText"/>
    <w:rsid w:val="005B1850"/>
    <w:pPr>
      <w:widowControl w:val="0"/>
      <w:autoSpaceDE w:val="0"/>
      <w:autoSpaceDN w:val="0"/>
      <w:adjustRightInd w:val="0"/>
      <w:jc w:val="right"/>
    </w:pPr>
    <w:rPr>
      <w:rFonts w:cs="Arial"/>
      <w:szCs w:val="18"/>
    </w:rPr>
  </w:style>
  <w:style w:type="paragraph" w:customStyle="1" w:styleId="CopyrightText">
    <w:name w:val="Copyright Text"/>
    <w:basedOn w:val="BodyText"/>
    <w:rsid w:val="005B1850"/>
    <w:rPr>
      <w:sz w:val="18"/>
    </w:rPr>
  </w:style>
  <w:style w:type="paragraph" w:customStyle="1" w:styleId="BodySmallRight">
    <w:name w:val="Body Small Right"/>
    <w:basedOn w:val="BodyTextRight"/>
    <w:rsid w:val="005B1850"/>
    <w:rPr>
      <w:sz w:val="18"/>
      <w:szCs w:val="18"/>
    </w:rPr>
  </w:style>
  <w:style w:type="paragraph" w:customStyle="1" w:styleId="MarginEdition">
    <w:name w:val="Margin Edition"/>
    <w:basedOn w:val="MarginNote"/>
    <w:rsid w:val="005B1850"/>
    <w:pPr>
      <w:spacing w:before="0" w:after="0"/>
    </w:pPr>
    <w:rPr>
      <w:rFonts w:ascii="Times New Roman" w:hAnsi="Times New Roman"/>
      <w:color w:val="999999"/>
    </w:rPr>
  </w:style>
  <w:style w:type="paragraph" w:customStyle="1" w:styleId="Spacer">
    <w:name w:val="Spacer"/>
    <w:basedOn w:val="Normal"/>
    <w:rsid w:val="005B1850"/>
    <w:rPr>
      <w:sz w:val="2"/>
      <w:szCs w:val="2"/>
    </w:rPr>
  </w:style>
  <w:style w:type="character" w:customStyle="1" w:styleId="Small">
    <w:name w:val="Small"/>
    <w:basedOn w:val="DefaultParagraphFont"/>
    <w:rsid w:val="005B1850"/>
    <w:rPr>
      <w:sz w:val="16"/>
    </w:rPr>
  </w:style>
  <w:style w:type="paragraph" w:customStyle="1" w:styleId="WideTable">
    <w:name w:val="Wide Table"/>
    <w:basedOn w:val="Normal"/>
    <w:rsid w:val="005B1850"/>
    <w:pPr>
      <w:ind w:left="-1418"/>
    </w:pPr>
    <w:rPr>
      <w:sz w:val="2"/>
      <w:szCs w:val="2"/>
    </w:rPr>
  </w:style>
  <w:style w:type="character" w:styleId="PageNumber">
    <w:name w:val="page number"/>
    <w:basedOn w:val="DefaultParagraphFont"/>
    <w:rsid w:val="005B1850"/>
  </w:style>
  <w:style w:type="paragraph" w:styleId="Quote">
    <w:name w:val="Quote"/>
    <w:basedOn w:val="Heading1"/>
    <w:link w:val="QuoteChar"/>
    <w:qFormat/>
    <w:rsid w:val="005B1850"/>
    <w:rPr>
      <w:b w:val="0"/>
      <w:sz w:val="72"/>
      <w:szCs w:val="72"/>
      <w:lang w:val="en-NZ"/>
    </w:rPr>
  </w:style>
  <w:style w:type="character" w:customStyle="1" w:styleId="QuoteChar">
    <w:name w:val="Quote Char"/>
    <w:basedOn w:val="DefaultParagraphFont"/>
    <w:link w:val="Quote"/>
    <w:rsid w:val="005B1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850"/>
    <w:pPr>
      <w:pageBreakBefore/>
    </w:pPr>
  </w:style>
  <w:style w:type="paragraph" w:customStyle="1" w:styleId="Border">
    <w:name w:val="Border"/>
    <w:basedOn w:val="Normal"/>
    <w:qFormat/>
    <w:rsid w:val="005B1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850"/>
    <w:rPr>
      <w:b/>
      <w:bCs/>
      <w:i/>
      <w:iCs/>
      <w:color w:val="auto"/>
    </w:rPr>
  </w:style>
  <w:style w:type="paragraph" w:styleId="IntenseQuote">
    <w:name w:val="Intense Quote"/>
    <w:basedOn w:val="Normal"/>
    <w:next w:val="Normal"/>
    <w:link w:val="IntenseQuoteChar"/>
    <w:uiPriority w:val="30"/>
    <w:qFormat/>
    <w:rsid w:val="005B1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850"/>
    <w:rPr>
      <w:smallCaps/>
      <w:color w:val="auto"/>
      <w:u w:val="single"/>
    </w:rPr>
  </w:style>
  <w:style w:type="character" w:styleId="IntenseReference">
    <w:name w:val="Intense Reference"/>
    <w:basedOn w:val="DefaultParagraphFont"/>
    <w:uiPriority w:val="32"/>
    <w:qFormat/>
    <w:rsid w:val="005B1850"/>
    <w:rPr>
      <w:b/>
      <w:bCs/>
      <w:smallCaps/>
      <w:color w:val="auto"/>
      <w:spacing w:val="5"/>
      <w:u w:val="single"/>
    </w:rPr>
  </w:style>
  <w:style w:type="paragraph" w:customStyle="1" w:styleId="2ColumnHeading">
    <w:name w:val="2Column Heading"/>
    <w:basedOn w:val="BodyText"/>
    <w:qFormat/>
    <w:rsid w:val="005B1850"/>
    <w:pPr>
      <w:spacing w:after="60"/>
      <w:ind w:left="-2268"/>
    </w:pPr>
    <w:rPr>
      <w:b/>
    </w:rPr>
  </w:style>
  <w:style w:type="paragraph" w:customStyle="1" w:styleId="Heading1TOC">
    <w:name w:val="Heading1 TOC"/>
    <w:basedOn w:val="Normal"/>
    <w:qFormat/>
    <w:rsid w:val="005B1850"/>
    <w:pPr>
      <w:spacing w:before="240" w:after="120"/>
    </w:pPr>
    <w:rPr>
      <w:rFonts w:ascii="Times New Roman" w:hAnsi="Times New Roman"/>
      <w:b/>
      <w:sz w:val="32"/>
    </w:rPr>
  </w:style>
  <w:style w:type="paragraph" w:customStyle="1" w:styleId="Heading2TOC">
    <w:name w:val="Heading2 TOC"/>
    <w:basedOn w:val="Normal"/>
    <w:qFormat/>
    <w:rsid w:val="005B1850"/>
    <w:pPr>
      <w:spacing w:before="240" w:after="60"/>
    </w:pPr>
    <w:rPr>
      <w:rFonts w:ascii="Times New Roman" w:hAnsi="Times New Roman"/>
      <w:b/>
      <w:sz w:val="28"/>
    </w:rPr>
  </w:style>
  <w:style w:type="character" w:customStyle="1" w:styleId="Underline">
    <w:name w:val="Underline"/>
    <w:basedOn w:val="DefaultParagraphFont"/>
    <w:qFormat/>
    <w:rsid w:val="005B1850"/>
    <w:rPr>
      <w:u w:val="single"/>
    </w:rPr>
  </w:style>
  <w:style w:type="character" w:customStyle="1" w:styleId="BoldandItalics">
    <w:name w:val="Bold and Italics"/>
    <w:qFormat/>
    <w:rsid w:val="005B1850"/>
    <w:rPr>
      <w:b/>
      <w:i/>
      <w:u w:val="none"/>
    </w:rPr>
  </w:style>
  <w:style w:type="paragraph" w:styleId="BalloonText">
    <w:name w:val="Balloon Text"/>
    <w:basedOn w:val="Normal"/>
    <w:link w:val="BalloonTextChar"/>
    <w:rsid w:val="005B1850"/>
    <w:rPr>
      <w:rFonts w:ascii="Tahoma" w:hAnsi="Tahoma" w:cs="Tahoma"/>
      <w:sz w:val="16"/>
      <w:szCs w:val="16"/>
    </w:rPr>
  </w:style>
  <w:style w:type="character" w:customStyle="1" w:styleId="BalloonTextChar">
    <w:name w:val="Balloon Text Char"/>
    <w:basedOn w:val="DefaultParagraphFont"/>
    <w:link w:val="BalloonText"/>
    <w:rsid w:val="005B1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850"/>
    <w:rPr>
      <w:b/>
      <w:color w:val="660033"/>
      <w:spacing w:val="0"/>
    </w:rPr>
  </w:style>
  <w:style w:type="paragraph" w:customStyle="1" w:styleId="Nameditemlist">
    <w:name w:val="Named item list"/>
    <w:basedOn w:val="BodyText"/>
    <w:qFormat/>
    <w:rsid w:val="005B1850"/>
    <w:pPr>
      <w:tabs>
        <w:tab w:val="left" w:pos="2835"/>
      </w:tabs>
      <w:ind w:left="2835" w:hanging="2835"/>
    </w:pPr>
  </w:style>
  <w:style w:type="paragraph" w:customStyle="1" w:styleId="BodyTextnopadding">
    <w:name w:val="Body Text no padding"/>
    <w:basedOn w:val="BodyText"/>
    <w:qFormat/>
    <w:rsid w:val="005B1850"/>
    <w:pPr>
      <w:spacing w:before="0" w:after="0"/>
    </w:pPr>
  </w:style>
  <w:style w:type="paragraph" w:customStyle="1" w:styleId="BodyTextBold">
    <w:name w:val="Body Text Bold"/>
    <w:basedOn w:val="BodyText"/>
    <w:qFormat/>
    <w:rsid w:val="005B1850"/>
    <w:rPr>
      <w:b/>
    </w:rPr>
  </w:style>
  <w:style w:type="character" w:styleId="Hyperlink">
    <w:name w:val="Hyperlink"/>
    <w:basedOn w:val="DefaultParagraphFont"/>
    <w:uiPriority w:val="99"/>
    <w:unhideWhenUsed/>
    <w:rsid w:val="003E46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9148</Characters>
  <Application>Microsoft Office Word</Application>
  <DocSecurity>0</DocSecurity>
  <Lines>326</Lines>
  <Paragraphs>167</Paragraphs>
  <ScaleCrop>false</ScaleCrop>
  <Company>Author-it Software Corporation Ltd.</Company>
  <LinksUpToDate>false</LinksUpToDate>
  <CharactersWithSpaces>10375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UEPMNT368 Repair and maintain stationary gas fuelled reciprocating engines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