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FCC" w:rsidP="00B83FCC">
      <w:pPr>
        <w:pStyle w:val="Title"/>
      </w:pPr>
      <w:r>
        <w:fldChar w:fldCharType="begin"/>
      </w:r>
      <w:r>
        <w:instrText xml:space="preserve"> TITLE   \* MERGEFORMAT </w:instrText>
      </w:r>
      <w:r>
        <w:fldChar w:fldCharType="separate"/>
      </w:r>
      <w:r>
        <w:t>UEPMNT367 Install and commission stationary gas fuelled reciprocating engines</w:t>
      </w:r>
      <w:r>
        <w:fldChar w:fldCharType="end"/>
      </w:r>
    </w:p>
    <w:p w:rsidR="00B83FCC" w:rsidP="00B83FCC">
      <w:pPr>
        <w:pStyle w:val="Version"/>
        <w:sectPr w:rsidSect="00157F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57F44" w:rsidP="00157F44">
      <w:pPr>
        <w:pStyle w:val="SuperHeading"/>
      </w:pPr>
      <w:r w:rsidRPr="00157F44">
        <w:t>UEPMNT367 Install and commission stationary gas fuelled reciprocating engines</w:t>
      </w:r>
    </w:p>
    <w:p w:rsidR="00000000" w:rsidRPr="00157F44" w:rsidP="00157F44">
      <w:pPr>
        <w:pStyle w:val="Heading1"/>
      </w:pPr>
      <w:bookmarkStart w:id="1" w:name="O_1223170"/>
      <w:bookmarkEnd w:id="1"/>
      <w:r w:rsidRPr="00157F44">
        <w:t>Modification History</w:t>
      </w:r>
    </w:p>
    <w:tbl>
      <w:tblPr>
        <w:tblW w:w="9497" w:type="dxa"/>
        <w:tblLayout w:type="fixed"/>
        <w:tblCellMar>
          <w:left w:w="62" w:type="dxa"/>
          <w:right w:w="62" w:type="dxa"/>
        </w:tblCellMar>
        <w:tblLook w:val="0000"/>
      </w:tblPr>
      <w:tblGrid>
        <w:gridCol w:w="9497"/>
      </w:tblGrid>
      <w:tr w:rsidTr="00157F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7F44" w:rsidP="00157F44">
            <w:pPr>
              <w:pStyle w:val="BodyText"/>
            </w:pPr>
            <w:r w:rsidRPr="00157F44">
              <w:rPr>
                <w:rStyle w:val="SpecialBold"/>
              </w:rPr>
              <w:t>Release 2.</w:t>
            </w:r>
            <w:r w:rsidRPr="00157F44">
              <w:t xml:space="preserve"> Minor release to update superseded pre-requisite units.</w:t>
            </w:r>
          </w:p>
          <w:p w:rsidR="00000000" w:rsidRPr="00157F44" w:rsidP="00157F44">
            <w:pPr>
              <w:pStyle w:val="BodyText"/>
            </w:pPr>
            <w:r w:rsidRPr="00157F44">
              <w:rPr>
                <w:rStyle w:val="SpecialBold"/>
              </w:rPr>
              <w:t>Release 1</w:t>
            </w:r>
            <w:r w:rsidRPr="00157F44">
              <w:t>. This is the first release of this unit of competency in the UEP Generation Training Package.</w:t>
            </w:r>
          </w:p>
        </w:tc>
      </w:tr>
    </w:tbl>
    <w:p w:rsidR="00000000" w:rsidRPr="00157F44" w:rsidP="00157F44">
      <w:pPr>
        <w:pStyle w:val="NoPaddingFontSize1"/>
      </w:pPr>
    </w:p>
    <w:p w:rsidR="00000000" w:rsidRPr="00157F44" w:rsidP="00157F44">
      <w:pPr>
        <w:pStyle w:val="AllowPageBreak"/>
      </w:pPr>
    </w:p>
    <w:p w:rsidR="00000000" w:rsidRPr="00157F44" w:rsidP="00157F44">
      <w:pPr>
        <w:pStyle w:val="Heading1"/>
      </w:pPr>
      <w:bookmarkStart w:id="2" w:name="O_1223169"/>
      <w:bookmarkEnd w:id="2"/>
      <w:r w:rsidRPr="00157F44">
        <w:t>Application</w:t>
      </w:r>
    </w:p>
    <w:tbl>
      <w:tblPr>
        <w:tblW w:w="9497" w:type="dxa"/>
        <w:tblLayout w:type="fixed"/>
        <w:tblCellMar>
          <w:left w:w="62" w:type="dxa"/>
          <w:right w:w="62" w:type="dxa"/>
        </w:tblCellMar>
        <w:tblLook w:val="0000"/>
      </w:tblPr>
      <w:tblGrid>
        <w:gridCol w:w="9497"/>
      </w:tblGrid>
      <w:tr w:rsidTr="00157F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7F44" w:rsidP="00157F44">
            <w:pPr>
              <w:pStyle w:val="BodyText"/>
            </w:pPr>
            <w:r w:rsidRPr="00157F44">
              <w:t>This unit involves the skills and knowledge required to undertake the installation and commissioning of stationary gas fuelled r</w:t>
            </w:r>
            <w:r w:rsidRPr="00157F44">
              <w:t>eciprocating engines.</w:t>
            </w:r>
          </w:p>
          <w:p w:rsidR="00000000" w:rsidRPr="00157F44" w:rsidP="00157F44">
            <w:pPr>
              <w:pStyle w:val="BodyText"/>
            </w:pPr>
            <w:r w:rsidRPr="00157F44">
              <w:t xml:space="preserve">Installation and commissioning is a key feature of placing stationary gas fuelled reciprocating engines into service. Completing installation and commissioning correctly ensures the reliability of stationary gas fuelled reciprocating </w:t>
            </w:r>
            <w:r w:rsidRPr="00157F44">
              <w:t xml:space="preserve">engines for its service life. </w:t>
            </w:r>
          </w:p>
          <w:p w:rsidR="00000000" w:rsidRPr="00157F44" w:rsidP="00157F44">
            <w:pPr>
              <w:pStyle w:val="BodyText"/>
            </w:pPr>
            <w:r w:rsidRPr="00157F44">
              <w:t>Competency in this unit requires the ability to work safely to installation standards matching the plant or equipment, location, components and fuel train pipe work relevant to given specifications. Commissioning plant and eq</w:t>
            </w:r>
            <w:r w:rsidRPr="00157F44">
              <w:t>uipment includes performing precommissioning tests, start ups and adjusting components and controls for safe and efficient operation. It also includes completing all necessary installation and commissioning documentation. Individuals will, in general, work</w:t>
            </w:r>
            <w:r w:rsidRPr="00157F44">
              <w:t xml:space="preserve"> as a maintenance operative, in a power generation facility. </w:t>
            </w:r>
          </w:p>
          <w:p w:rsidR="00000000" w:rsidRPr="00157F44" w:rsidP="00157F44">
            <w:pPr>
              <w:pStyle w:val="BodyText"/>
            </w:pPr>
            <w:r w:rsidRPr="00157F44">
              <w:t>Power generation maintenance personnel are typically trained and authorised to receive permits to work.</w:t>
            </w:r>
          </w:p>
          <w:p w:rsidR="00000000" w:rsidRPr="00157F44" w:rsidP="00157F44">
            <w:pPr>
              <w:pStyle w:val="BodyText"/>
            </w:pPr>
            <w:r w:rsidRPr="00157F44">
              <w:t xml:space="preserve">No licensing, legislative or certification requirements apply to this unit at the time of </w:t>
            </w:r>
            <w:r w:rsidRPr="00157F44">
              <w:t>publication.</w:t>
            </w:r>
          </w:p>
          <w:p w:rsidR="00000000" w:rsidRPr="00157F44" w:rsidP="00157F44">
            <w:pPr>
              <w:pStyle w:val="BodyText"/>
            </w:pPr>
            <w:r w:rsidRPr="00157F44">
              <w:rPr>
                <w:rStyle w:val="SpecialBold"/>
              </w:rPr>
              <w:t>Note: Workplace practices</w:t>
            </w:r>
          </w:p>
          <w:p w:rsidR="00000000" w:rsidRPr="00157F44" w:rsidP="00157F44">
            <w:pPr>
              <w:pStyle w:val="BodyText"/>
            </w:pPr>
            <w:r w:rsidRPr="00157F44">
              <w:t>The application of the skills and knowledge described in this unit of competency may require a licence or training permit to practice in the workplace, where work is carried out on gas and electrical installations. Ad</w:t>
            </w:r>
            <w:r w:rsidRPr="00157F44">
              <w:t xml:space="preserve">ditional and/or other conditions may apply under state and territory legislative and regulatory licensing requirements.  </w:t>
            </w:r>
          </w:p>
        </w:tc>
      </w:tr>
    </w:tbl>
    <w:p w:rsidR="00000000" w:rsidRPr="00157F44" w:rsidP="00157F44">
      <w:pPr>
        <w:pStyle w:val="NoPaddingFontSize1"/>
      </w:pPr>
    </w:p>
    <w:p w:rsidR="00000000" w:rsidRPr="00157F44" w:rsidP="00157F44">
      <w:pPr>
        <w:pStyle w:val="AllowPageBreak"/>
      </w:pPr>
    </w:p>
    <w:p w:rsidR="00000000" w:rsidRPr="00157F44" w:rsidP="00157F44">
      <w:pPr>
        <w:pStyle w:val="Heading1"/>
      </w:pPr>
      <w:bookmarkStart w:id="3" w:name="O_1223168"/>
      <w:bookmarkEnd w:id="3"/>
      <w:r w:rsidRPr="00157F44">
        <w:t>Pre-requisite Unit</w:t>
      </w:r>
    </w:p>
    <w:tbl>
      <w:tblPr>
        <w:tblW w:w="9497" w:type="dxa"/>
        <w:tblLayout w:type="fixed"/>
        <w:tblCellMar>
          <w:left w:w="62" w:type="dxa"/>
          <w:right w:w="62" w:type="dxa"/>
        </w:tblCellMar>
        <w:tblLook w:val="0000"/>
      </w:tblPr>
      <w:tblGrid>
        <w:gridCol w:w="9497"/>
      </w:tblGrid>
      <w:tr w:rsidTr="00157F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7F44" w:rsidP="00157F44">
            <w:pPr>
              <w:pStyle w:val="BodyText"/>
            </w:pPr>
            <w:r w:rsidRPr="00157F44">
              <w:t>CPCCWHS1001 Work safely in the construction industry</w:t>
            </w:r>
          </w:p>
          <w:p w:rsidR="00000000" w:rsidRPr="00157F44" w:rsidP="00157F44">
            <w:pPr>
              <w:pStyle w:val="BodyText"/>
            </w:pPr>
            <w:r w:rsidRPr="00157F44">
              <w:t>HLTAID009 Provide cardiopulmonary resusci</w:t>
            </w:r>
            <w:r w:rsidRPr="00157F44">
              <w:t>tation</w:t>
            </w:r>
          </w:p>
        </w:tc>
      </w:tr>
    </w:tbl>
    <w:p w:rsidR="00000000" w:rsidRPr="00157F44" w:rsidP="00157F44">
      <w:pPr>
        <w:pStyle w:val="NoPaddingFontSize1"/>
      </w:pPr>
    </w:p>
    <w:p w:rsidR="00000000" w:rsidRPr="00157F44" w:rsidP="00157F44">
      <w:pPr>
        <w:pStyle w:val="AllowPageBreak"/>
      </w:pPr>
    </w:p>
    <w:p w:rsidR="00000000" w:rsidRPr="00157F44" w:rsidP="00157F44">
      <w:pPr>
        <w:pStyle w:val="Heading1"/>
      </w:pPr>
      <w:bookmarkStart w:id="4" w:name="O_1223167"/>
      <w:bookmarkEnd w:id="4"/>
      <w:r w:rsidRPr="00157F44">
        <w:t>Competency Field</w:t>
      </w:r>
    </w:p>
    <w:tbl>
      <w:tblPr>
        <w:tblW w:w="9497" w:type="dxa"/>
        <w:tblLayout w:type="fixed"/>
        <w:tblCellMar>
          <w:left w:w="62" w:type="dxa"/>
          <w:right w:w="62" w:type="dxa"/>
        </w:tblCellMar>
        <w:tblLook w:val="0000"/>
      </w:tblPr>
      <w:tblGrid>
        <w:gridCol w:w="9497"/>
      </w:tblGrid>
      <w:tr w:rsidTr="00157F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7F44" w:rsidP="00157F44">
            <w:pPr>
              <w:pStyle w:val="BodyText"/>
            </w:pPr>
            <w:r w:rsidRPr="00157F44">
              <w:t>Maintenance</w:t>
            </w:r>
          </w:p>
        </w:tc>
      </w:tr>
    </w:tbl>
    <w:p w:rsidR="00000000" w:rsidRPr="00157F44" w:rsidP="00157F44">
      <w:pPr>
        <w:pStyle w:val="NoPaddingFontSize1"/>
      </w:pPr>
    </w:p>
    <w:p w:rsidR="00000000" w:rsidRPr="00157F44" w:rsidP="00157F44">
      <w:pPr>
        <w:pStyle w:val="AllowPageBreak"/>
      </w:pPr>
    </w:p>
    <w:p w:rsidR="00000000" w:rsidRPr="00157F44" w:rsidP="00157F44">
      <w:pPr>
        <w:pStyle w:val="Heading1"/>
      </w:pPr>
      <w:bookmarkStart w:id="5" w:name="O_1223166"/>
      <w:bookmarkEnd w:id="5"/>
      <w:r w:rsidRPr="00157F44">
        <w:t>Unit Sector</w:t>
      </w:r>
    </w:p>
    <w:tbl>
      <w:tblPr>
        <w:tblW w:w="9497" w:type="dxa"/>
        <w:tblLayout w:type="fixed"/>
        <w:tblCellMar>
          <w:left w:w="62" w:type="dxa"/>
          <w:right w:w="62" w:type="dxa"/>
        </w:tblCellMar>
        <w:tblLook w:val="0000"/>
      </w:tblPr>
      <w:tblGrid>
        <w:gridCol w:w="9497"/>
      </w:tblGrid>
      <w:tr w:rsidTr="00157F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7F44" w:rsidP="00157F44">
            <w:pPr>
              <w:pStyle w:val="BodyText"/>
            </w:pPr>
            <w:r w:rsidRPr="00157F44">
              <w:t>Electricity generation</w:t>
            </w:r>
          </w:p>
        </w:tc>
      </w:tr>
    </w:tbl>
    <w:p w:rsidR="00000000" w:rsidRPr="00157F44" w:rsidP="00157F44">
      <w:pPr>
        <w:pStyle w:val="NoPaddingFontSize1"/>
      </w:pPr>
    </w:p>
    <w:p w:rsidR="00000000" w:rsidRPr="00157F44" w:rsidP="00157F44">
      <w:pPr>
        <w:pStyle w:val="AllowPageBreak"/>
      </w:pPr>
    </w:p>
    <w:p w:rsidR="00000000" w:rsidRPr="00157F44" w:rsidP="00157F44">
      <w:pPr>
        <w:pStyle w:val="Heading1"/>
      </w:pPr>
      <w:bookmarkStart w:id="6" w:name="O_1223165"/>
      <w:bookmarkEnd w:id="6"/>
      <w:r w:rsidRPr="00157F4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57F4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57F44" w:rsidP="00157F44">
            <w:pPr>
              <w:pStyle w:val="BodyText"/>
            </w:pPr>
            <w:r w:rsidRPr="00157F4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rPr>
                <w:rStyle w:val="SpecialBold"/>
              </w:rPr>
              <w:t>PERFORMANCE CRITERIA</w:t>
            </w:r>
          </w:p>
        </w:tc>
      </w:tr>
      <w:tr w:rsidTr="00157F4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t>Performance criteria describe the performance needed to demonstrate achievement of the element.</w:t>
            </w:r>
          </w:p>
        </w:tc>
      </w:tr>
      <w:tr w:rsidTr="00157F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57F44" w:rsidP="00157F44">
            <w:pPr>
              <w:pStyle w:val="BodyText"/>
            </w:pPr>
            <w:r w:rsidRPr="00157F4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57F44" w:rsidP="00157F44">
            <w:pPr>
              <w:pStyle w:val="BodyText"/>
            </w:pPr>
            <w:r w:rsidRPr="00157F44">
              <w:rPr>
                <w:rStyle w:val="SpecialBold"/>
              </w:rPr>
              <w:t>Prepare to install and commission stationary gas fuelled reciprocating engine</w:t>
            </w:r>
          </w:p>
        </w:tc>
        <w:tc>
          <w:tcPr>
            <w:tcW w:w="697"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t>Work, Health and Safety (WHS)/Occupational Health and Safety (OHS) regula</w:t>
            </w:r>
            <w:r w:rsidRPr="00157F44">
              <w:t xml:space="preserve">tions are obtained and implemented, in accordance with workplace procedures </w:t>
            </w:r>
          </w:p>
        </w:tc>
      </w:tr>
      <w:tr w:rsidTr="00157F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7F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t>Health and safety risks are identified and risk control measures are followed, in accordance with workplace procedures</w:t>
            </w:r>
          </w:p>
        </w:tc>
      </w:tr>
      <w:tr w:rsidTr="00157F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7F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t>Safety hazards that have not previously been identified are noted and risk control measures are implemented, in accordance with workplace procedures</w:t>
            </w:r>
          </w:p>
        </w:tc>
      </w:tr>
      <w:tr w:rsidTr="00157F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7F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t>Design specification for gas fuelled reciprocating engines to be installed and commissioned are acce</w:t>
            </w:r>
            <w:r w:rsidRPr="00157F44">
              <w:t>ssed, analysed and confirmed through a detailed site inspection</w:t>
            </w:r>
          </w:p>
        </w:tc>
      </w:tr>
      <w:tr w:rsidTr="00157F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7F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t>Design specification matters requiring clarification are resolved through liaison with designer and gas authorities</w:t>
            </w:r>
          </w:p>
        </w:tc>
      </w:tr>
      <w:tr w:rsidTr="00157F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7F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t>Formal authority to proceed with installation and commissionin</w:t>
            </w:r>
            <w:r w:rsidRPr="00157F44">
              <w:t>g of stationary gas fuelled reciprocating engine is obtained before commencing work, in accordance with workplace procedures, regulatory and code of practice requirements</w:t>
            </w:r>
          </w:p>
        </w:tc>
      </w:tr>
      <w:tr w:rsidTr="00157F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7F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t>Instal</w:t>
            </w:r>
            <w:r w:rsidRPr="00157F44">
              <w:t>lation is prepared and is sequenced, in accordance with workplace procedures and quality assurance requirements</w:t>
            </w:r>
          </w:p>
        </w:tc>
      </w:tr>
      <w:tr w:rsidTr="00157F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7F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t>Nature and location of the installation and commissioning of the stationary gas fuelled reciprocating engine is determined from documenta</w:t>
            </w:r>
            <w:r w:rsidRPr="00157F44">
              <w:t>tion or appropriate personnel to establish scope of work and assigned roles to be undertaken</w:t>
            </w:r>
          </w:p>
        </w:tc>
      </w:tr>
      <w:tr w:rsidTr="00157F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7F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t>Stationary gas fuelled reciprocating engine plant, equipment component specifications and manufacturers</w:t>
            </w:r>
            <w:r>
              <w:t>’</w:t>
            </w:r>
            <w:r w:rsidRPr="00157F44">
              <w:t xml:space="preserve"> manuals are obtained </w:t>
            </w:r>
          </w:p>
        </w:tc>
      </w:tr>
      <w:tr w:rsidTr="00157F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7F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t>Plant, equipment, fue</w:t>
            </w:r>
            <w:r w:rsidRPr="00157F44">
              <w:t>l train pipe work and components are identified and locations are sequenced within the constraints of site and work requirements</w:t>
            </w:r>
          </w:p>
        </w:tc>
      </w:tr>
      <w:tr w:rsidTr="00157F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7F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t xml:space="preserve">Materials needed for installation are obtained, in accordance with workplace procedures and design specifications </w:t>
            </w:r>
          </w:p>
        </w:tc>
      </w:tr>
      <w:tr w:rsidTr="00157F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7F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t>Tools and equipment including personal protective equipment and testing devices are obtained, in accordance with workplace procedures and are checked for correct operation and safety</w:t>
            </w:r>
          </w:p>
        </w:tc>
      </w:tr>
      <w:tr w:rsidTr="00157F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7F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t>Work area is prepared to support installation and commission</w:t>
            </w:r>
            <w:r w:rsidRPr="00157F44">
              <w:t>ing of gas fuelled reciprocating engine plant and equipment</w:t>
            </w:r>
          </w:p>
        </w:tc>
      </w:tr>
      <w:tr w:rsidTr="00157F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57F44" w:rsidP="00157F44">
            <w:pPr>
              <w:pStyle w:val="BodyText"/>
            </w:pPr>
            <w:r w:rsidRPr="00157F4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57F44" w:rsidP="00157F44">
            <w:pPr>
              <w:pStyle w:val="BodyText"/>
            </w:pPr>
            <w:r w:rsidRPr="00157F44">
              <w:rPr>
                <w:rStyle w:val="SpecialBold"/>
              </w:rPr>
              <w:t>Install stationary gas fuelled reciprocating engine</w:t>
            </w:r>
          </w:p>
        </w:tc>
        <w:tc>
          <w:tcPr>
            <w:tcW w:w="697"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t>Regulatory and code of practice recording and reporting requirements are satisfied throughout work sequence, in accordance with workplace</w:t>
            </w:r>
            <w:r w:rsidRPr="00157F44">
              <w:t xml:space="preserve"> procedures</w:t>
            </w:r>
          </w:p>
        </w:tc>
      </w:tr>
      <w:tr w:rsidTr="00157F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7F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t>Gas and electrical circuits, machines and plant are checked as being isolated, in accordance with workplace procedures</w:t>
            </w:r>
          </w:p>
        </w:tc>
      </w:tr>
      <w:tr w:rsidTr="00157F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7F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t>Stationary gas fuelled reciprocating engine components including fuel train, associated pipe work and flue/exhaust systems are installed, in accordance with workplace procedures, design specifications, technical standards and regulatory requirements</w:t>
            </w:r>
          </w:p>
        </w:tc>
      </w:tr>
      <w:tr w:rsidTr="00157F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7F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t>Ventilation systems are installed, in accordance with workplace procedures and design specifications</w:t>
            </w:r>
          </w:p>
        </w:tc>
      </w:tr>
      <w:tr w:rsidTr="00157F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7F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t>Electrical components, wiring enclosures and terminations are installed, in accordance with workplace procedures, design and manufacturers</w:t>
            </w:r>
            <w:r>
              <w:t>’</w:t>
            </w:r>
            <w:r w:rsidRPr="00157F44">
              <w:t xml:space="preserve"> specifi</w:t>
            </w:r>
            <w:r w:rsidRPr="00157F44">
              <w:t>cations and regulatory requirements</w:t>
            </w:r>
          </w:p>
        </w:tc>
      </w:tr>
      <w:tr w:rsidTr="00157F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7F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t>Ongoing compliance and safety inspections of installed gas fuelled reciprocating engine, equipment, pipe work, components and accessories is undertaken and identified defects are rectified</w:t>
            </w:r>
          </w:p>
        </w:tc>
      </w:tr>
      <w:tr w:rsidTr="00157F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7F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t>Stationary gas fuelled reciprocating engine installation is carried out without waste of materials or damage to plant, equipment, pipe work, components, accessories, the surrounding environment or services using workplace identified sustainable energy prin</w:t>
            </w:r>
            <w:r w:rsidRPr="00157F44">
              <w:t>ciples and practices</w:t>
            </w:r>
          </w:p>
        </w:tc>
      </w:tr>
      <w:tr w:rsidTr="00157F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7F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t>Unexpected situations are dealt with safely, in accordance with workplace procedures and the approval of authorised personnel</w:t>
            </w:r>
          </w:p>
        </w:tc>
      </w:tr>
      <w:tr w:rsidTr="00157F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57F44" w:rsidP="00157F44">
            <w:pPr>
              <w:pStyle w:val="BodyText"/>
            </w:pPr>
            <w:r w:rsidRPr="00157F4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57F44" w:rsidP="00157F44">
            <w:pPr>
              <w:pStyle w:val="BodyText"/>
            </w:pPr>
            <w:r w:rsidRPr="00157F44">
              <w:rPr>
                <w:rStyle w:val="SpecialBold"/>
              </w:rPr>
              <w:t>Commission stationary gas fuelled reciprocating engine</w:t>
            </w:r>
          </w:p>
        </w:tc>
        <w:tc>
          <w:tcPr>
            <w:tcW w:w="697"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t>Gas and electrical safety checks and iso</w:t>
            </w:r>
            <w:r w:rsidRPr="00157F44">
              <w:t>lation procedures, including purging are completed and recorded to manufacturers</w:t>
            </w:r>
            <w:r>
              <w:t>’</w:t>
            </w:r>
            <w:r w:rsidRPr="00157F44">
              <w:t xml:space="preserve"> and regulatory requirements before testing and commissioning are commenced</w:t>
            </w:r>
          </w:p>
        </w:tc>
      </w:tr>
      <w:tr w:rsidTr="00157F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7F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t>Operational parameters of individual components are tested and adjusted to conform to manufa</w:t>
            </w:r>
            <w:r w:rsidRPr="00157F44">
              <w:t>cturers</w:t>
            </w:r>
            <w:r>
              <w:t>’</w:t>
            </w:r>
            <w:r w:rsidRPr="00157F44">
              <w:t xml:space="preserve"> specifications</w:t>
            </w:r>
          </w:p>
        </w:tc>
      </w:tr>
      <w:tr w:rsidTr="00157F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7F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t>Reciprocating engine operations are tested, first without, and then with fuel, and adjustments are completed, as required, with results recorded in accordance with workplace procedures and approving authority requirements</w:t>
            </w:r>
          </w:p>
        </w:tc>
      </w:tr>
      <w:tr w:rsidTr="00157F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7F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t>Exhaust gases are analysed, in accordance with workplace procedures, industry practice and regulatory requirements</w:t>
            </w:r>
          </w:p>
        </w:tc>
      </w:tr>
      <w:tr w:rsidTr="00157F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7F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t>Commissioning of stationary gas fuelled reciprocating engine is conducted without waste of materials or damage to apparatus and th</w:t>
            </w:r>
            <w:r w:rsidRPr="00157F44">
              <w:t>e surrounding environment or services using workplace sustainable energy procedures and practices</w:t>
            </w:r>
          </w:p>
        </w:tc>
      </w:tr>
      <w:tr w:rsidTr="00157F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57F44" w:rsidP="00157F44">
            <w:pPr>
              <w:pStyle w:val="BodyText"/>
            </w:pPr>
            <w:r w:rsidRPr="00157F44">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157F44" w:rsidP="00157F44">
            <w:pPr>
              <w:pStyle w:val="BodyText"/>
            </w:pPr>
            <w:r w:rsidRPr="00157F44">
              <w:rPr>
                <w:rStyle w:val="SpecialBold"/>
              </w:rPr>
              <w:t>Completion and report installation and commissioning activities</w:t>
            </w:r>
          </w:p>
        </w:tc>
        <w:tc>
          <w:tcPr>
            <w:tcW w:w="697"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t xml:space="preserve">Final check of installed gas fuelled reciprocating engine is made to verify compliance </w:t>
            </w:r>
            <w:r w:rsidRPr="00157F44">
              <w:t xml:space="preserve"> with  regulatory and certification requirements </w:t>
            </w:r>
          </w:p>
        </w:tc>
      </w:tr>
      <w:tr w:rsidTr="00157F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7F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t>Work area is cleared and materials are disposed of or are recycled, in accordance with legislation and workplace procedures</w:t>
            </w:r>
          </w:p>
        </w:tc>
      </w:tr>
      <w:tr w:rsidTr="00157F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7F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t>Tools and equipment are cleaned, checked, serviced and stored, in accordance with manufacturers</w:t>
            </w:r>
            <w:r>
              <w:t>’</w:t>
            </w:r>
            <w:r w:rsidRPr="00157F44">
              <w:t xml:space="preserve"> recommendations and workplace procedures</w:t>
            </w:r>
          </w:p>
        </w:tc>
      </w:tr>
      <w:tr w:rsidTr="00157F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7F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t>Work site is cleaned and made safe, in accordance with workplace procedures</w:t>
            </w:r>
          </w:p>
        </w:tc>
      </w:tr>
      <w:tr w:rsidTr="00157F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7F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57F44">
            <w:pPr>
              <w:pStyle w:val="BodyText"/>
              <w:rPr>
                <w:lang w:val="en-NZ"/>
              </w:rPr>
            </w:pPr>
            <w:r w:rsidRPr="00157F44">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157F44" w:rsidP="00157F44">
            <w:pPr>
              <w:pStyle w:val="BodyText"/>
            </w:pPr>
            <w:r w:rsidRPr="00157F44">
              <w:t>Installed reciprocating engi</w:t>
            </w:r>
            <w:r w:rsidRPr="00157F44">
              <w:t>ne equipment components, pipe work, flue, exhaust systems and accessories are documented and appropriate personnel are notified, in accordance with workplace procedures</w:t>
            </w:r>
          </w:p>
        </w:tc>
      </w:tr>
    </w:tbl>
    <w:p w:rsidR="00000000" w:rsidRPr="00157F44" w:rsidP="00157F44">
      <w:pPr>
        <w:pStyle w:val="NoPaddingFontSize1"/>
      </w:pPr>
    </w:p>
    <w:p w:rsidR="00000000" w:rsidRPr="00157F44" w:rsidP="00157F44">
      <w:pPr>
        <w:pStyle w:val="AllowPageBreak"/>
      </w:pPr>
    </w:p>
    <w:p w:rsidR="00000000" w:rsidRPr="00157F44" w:rsidP="00157F44">
      <w:pPr>
        <w:pStyle w:val="Heading1"/>
      </w:pPr>
      <w:bookmarkStart w:id="7" w:name="O_1223164"/>
      <w:bookmarkEnd w:id="7"/>
      <w:r w:rsidRPr="00157F44">
        <w:t>Foundation Skills</w:t>
      </w:r>
    </w:p>
    <w:tbl>
      <w:tblPr>
        <w:tblW w:w="9497" w:type="dxa"/>
        <w:tblLayout w:type="fixed"/>
        <w:tblCellMar>
          <w:left w:w="62" w:type="dxa"/>
          <w:right w:w="62" w:type="dxa"/>
        </w:tblCellMar>
        <w:tblLook w:val="0000"/>
      </w:tblPr>
      <w:tblGrid>
        <w:gridCol w:w="9497"/>
      </w:tblGrid>
      <w:tr w:rsidTr="00157F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7F44" w:rsidP="00157F44">
            <w:pPr>
              <w:pStyle w:val="BodyText"/>
            </w:pPr>
            <w:r w:rsidRPr="00157F44">
              <w:t>Foundation skills essential to performance are e</w:t>
            </w:r>
            <w:r w:rsidRPr="00157F44">
              <w:t>xplicit in the performance criteria of this unit of competency.</w:t>
            </w:r>
          </w:p>
        </w:tc>
      </w:tr>
    </w:tbl>
    <w:p w:rsidR="00000000" w:rsidRPr="00157F44" w:rsidP="00157F44">
      <w:pPr>
        <w:pStyle w:val="NoPaddingFontSize1"/>
      </w:pPr>
    </w:p>
    <w:p w:rsidR="00000000" w:rsidRPr="00157F44" w:rsidP="00157F44">
      <w:pPr>
        <w:pStyle w:val="AllowPageBreak"/>
      </w:pPr>
    </w:p>
    <w:p w:rsidR="00000000" w:rsidRPr="00157F44" w:rsidP="00157F44">
      <w:pPr>
        <w:pStyle w:val="Heading1"/>
      </w:pPr>
      <w:bookmarkStart w:id="8" w:name="O_1223163"/>
      <w:bookmarkEnd w:id="8"/>
      <w:r w:rsidRPr="00157F44">
        <w:t>Range of Conditions</w:t>
      </w:r>
    </w:p>
    <w:tbl>
      <w:tblPr>
        <w:tblW w:w="9497" w:type="dxa"/>
        <w:tblLayout w:type="fixed"/>
        <w:tblCellMar>
          <w:left w:w="62" w:type="dxa"/>
          <w:right w:w="62" w:type="dxa"/>
        </w:tblCellMar>
        <w:tblLook w:val="0000"/>
      </w:tblPr>
      <w:tblGrid>
        <w:gridCol w:w="9497"/>
      </w:tblGrid>
      <w:tr w:rsidTr="00157F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7F44" w:rsidP="00157F44">
            <w:pPr>
              <w:pStyle w:val="BodyText"/>
            </w:pPr>
            <w:r w:rsidRPr="00157F44">
              <w:t>Range is restricted to essential operating conditions and any other variables essential to the work environment.</w:t>
            </w:r>
          </w:p>
          <w:p w:rsidR="00000000" w:rsidRPr="00157F44" w:rsidP="00157F44">
            <w:pPr>
              <w:pStyle w:val="BodyText"/>
            </w:pPr>
            <w:r w:rsidRPr="00157F44">
              <w:t>Non-essential conditions may be found in the Companion Volume Implementation Guide.</w:t>
            </w:r>
          </w:p>
        </w:tc>
      </w:tr>
    </w:tbl>
    <w:p w:rsidR="00000000" w:rsidRPr="00157F44" w:rsidP="00157F44">
      <w:pPr>
        <w:pStyle w:val="NoPaddingFontSize1"/>
      </w:pPr>
    </w:p>
    <w:p w:rsidR="00000000" w:rsidRPr="00157F44" w:rsidP="00157F44">
      <w:pPr>
        <w:pStyle w:val="AllowPageBreak"/>
      </w:pPr>
    </w:p>
    <w:p w:rsidR="00000000" w:rsidRPr="00157F44" w:rsidP="00157F44">
      <w:pPr>
        <w:pStyle w:val="Heading1"/>
      </w:pPr>
      <w:bookmarkStart w:id="9" w:name="O_1223162"/>
      <w:bookmarkEnd w:id="9"/>
      <w:r w:rsidRPr="00157F44">
        <w:t>Unit Mapping Information</w:t>
      </w:r>
    </w:p>
    <w:tbl>
      <w:tblPr>
        <w:tblW w:w="9497" w:type="dxa"/>
        <w:tblLayout w:type="fixed"/>
        <w:tblCellMar>
          <w:left w:w="62" w:type="dxa"/>
          <w:right w:w="62" w:type="dxa"/>
        </w:tblCellMar>
        <w:tblLook w:val="0000"/>
      </w:tblPr>
      <w:tblGrid>
        <w:gridCol w:w="9497"/>
      </w:tblGrid>
      <w:tr w:rsidTr="00157F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7F44" w:rsidP="00157F44">
            <w:pPr>
              <w:pStyle w:val="BodyText"/>
            </w:pPr>
            <w:r w:rsidRPr="00157F44">
              <w:t>This unit replaces and is equivalent to UEPMNT367A Install and commission stationary gas fuelled reciprocating engines.</w:t>
            </w:r>
          </w:p>
        </w:tc>
      </w:tr>
    </w:tbl>
    <w:p w:rsidR="00000000" w:rsidRPr="00157F44" w:rsidP="00157F44">
      <w:pPr>
        <w:pStyle w:val="NoPaddingFontSize1"/>
      </w:pPr>
    </w:p>
    <w:p w:rsidR="00000000" w:rsidRPr="00157F44" w:rsidP="00157F44">
      <w:pPr>
        <w:pStyle w:val="AllowPageBreak"/>
      </w:pPr>
    </w:p>
    <w:p w:rsidR="00000000" w:rsidRPr="00157F44" w:rsidP="00157F44">
      <w:pPr>
        <w:pStyle w:val="Heading1"/>
      </w:pPr>
      <w:bookmarkStart w:id="10" w:name="O_1223171"/>
      <w:bookmarkEnd w:id="10"/>
      <w:r w:rsidRPr="00157F44">
        <w:t>Links</w:t>
      </w:r>
    </w:p>
    <w:p w:rsidR="00000000" w:rsidRPr="00157F44" w:rsidP="00B83FCC">
      <w:pPr>
        <w:pStyle w:val="BodyText"/>
      </w:pPr>
      <w:r w:rsidRPr="00157F4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53105">
        <w:rPr>
          <w:rStyle w:val="Hyperlink"/>
        </w:rPr>
        <w:t>https://vetnet.gov.au/Pages/TrainingDocs.aspx?q=1715b9fa-e7bd-441c-bb8d-cf22c9c825a8</w:t>
      </w:r>
      <w:r>
        <w:fldChar w:fldCharType="end"/>
      </w:r>
    </w:p>
    <w:p w:rsidR="00000000" w:rsidRPr="00157F44" w:rsidP="00157F44"/>
    <w:sectPr w:rsidSect="00157F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F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F44" w:rsidRPr="00B83FCC" w:rsidP="00B83F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F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FCC" w:rsidP="00157F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3FCC" w:rsidP="00157F4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83FCC" w:rsidP="00157F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F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F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7F44" w:rsidRPr="00B83FCC" w:rsidP="00B83F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F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FCC" w:rsidRPr="002D2AF8" w:rsidP="00157F44">
    <w:pPr>
      <w:pStyle w:val="Header"/>
      <w:framePr w:wrap="around"/>
    </w:pPr>
    <w:r>
      <w:fldChar w:fldCharType="begin"/>
    </w:r>
    <w:r>
      <w:instrText xml:space="preserve"> TITLE   \* MERGEFORMAT </w:instrText>
    </w:r>
    <w:r>
      <w:fldChar w:fldCharType="separate"/>
    </w:r>
    <w:r>
      <w:t>UEPMNT367 Install and commission stationary gas fuelled reciprocating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B83FCC" w:rsidP="00157F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F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7F44"/>
    <w:pPr>
      <w:spacing w:before="360" w:after="60"/>
      <w:outlineLvl w:val="0"/>
    </w:pPr>
    <w:rPr>
      <w:sz w:val="32"/>
    </w:rPr>
  </w:style>
  <w:style w:type="paragraph" w:styleId="Heading2">
    <w:name w:val="heading 2"/>
    <w:basedOn w:val="HeadingBase"/>
    <w:next w:val="BodyText"/>
    <w:link w:val="Heading2Char"/>
    <w:qFormat/>
    <w:rsid w:val="00157F44"/>
    <w:pPr>
      <w:keepLines/>
      <w:spacing w:before="240" w:after="120"/>
      <w:outlineLvl w:val="1"/>
    </w:pPr>
    <w:rPr>
      <w:sz w:val="28"/>
      <w:szCs w:val="40"/>
    </w:rPr>
  </w:style>
  <w:style w:type="paragraph" w:styleId="Heading3">
    <w:name w:val="heading 3"/>
    <w:basedOn w:val="HeadingBase"/>
    <w:next w:val="BodyText"/>
    <w:link w:val="Heading3Char"/>
    <w:qFormat/>
    <w:rsid w:val="00157F44"/>
    <w:pPr>
      <w:spacing w:before="180" w:after="120"/>
      <w:outlineLvl w:val="2"/>
    </w:pPr>
    <w:rPr>
      <w:spacing w:val="-10"/>
      <w:kern w:val="32"/>
    </w:rPr>
  </w:style>
  <w:style w:type="paragraph" w:styleId="Heading4">
    <w:name w:val="heading 4"/>
    <w:basedOn w:val="HeadingBase"/>
    <w:next w:val="BodyText"/>
    <w:link w:val="Heading4Char"/>
    <w:qFormat/>
    <w:rsid w:val="00157F44"/>
    <w:pPr>
      <w:spacing w:before="160" w:after="120"/>
      <w:outlineLvl w:val="3"/>
    </w:pPr>
    <w:rPr>
      <w:sz w:val="22"/>
    </w:rPr>
  </w:style>
  <w:style w:type="paragraph" w:styleId="Heading5">
    <w:name w:val="heading 5"/>
    <w:basedOn w:val="HeadingBase"/>
    <w:next w:val="Normal"/>
    <w:link w:val="Heading5Char"/>
    <w:qFormat/>
    <w:rsid w:val="00157F44"/>
    <w:pPr>
      <w:spacing w:before="80"/>
      <w:outlineLvl w:val="4"/>
    </w:pPr>
    <w:rPr>
      <w:color w:val="918585"/>
      <w:sz w:val="20"/>
    </w:rPr>
  </w:style>
  <w:style w:type="paragraph" w:styleId="Heading6">
    <w:name w:val="heading 6"/>
    <w:basedOn w:val="HeadingBase"/>
    <w:next w:val="Normal"/>
    <w:link w:val="Heading6Char"/>
    <w:qFormat/>
    <w:rsid w:val="00157F44"/>
    <w:pPr>
      <w:spacing w:before="60"/>
      <w:outlineLvl w:val="5"/>
    </w:pPr>
    <w:rPr>
      <w:color w:val="918585"/>
      <w:sz w:val="20"/>
    </w:rPr>
  </w:style>
  <w:style w:type="paragraph" w:styleId="Heading7">
    <w:name w:val="heading 7"/>
    <w:basedOn w:val="Normal"/>
    <w:next w:val="Normal"/>
    <w:link w:val="Heading7Char"/>
    <w:qFormat/>
    <w:rsid w:val="00157F44"/>
    <w:pPr>
      <w:ind w:left="720"/>
      <w:outlineLvl w:val="6"/>
    </w:pPr>
    <w:rPr>
      <w:i/>
    </w:rPr>
  </w:style>
  <w:style w:type="paragraph" w:styleId="Heading8">
    <w:name w:val="heading 8"/>
    <w:basedOn w:val="Normal"/>
    <w:next w:val="Normal"/>
    <w:link w:val="Heading8Char"/>
    <w:qFormat/>
    <w:rsid w:val="00157F44"/>
    <w:pPr>
      <w:ind w:left="720"/>
      <w:outlineLvl w:val="7"/>
    </w:pPr>
    <w:rPr>
      <w:i/>
    </w:rPr>
  </w:style>
  <w:style w:type="paragraph" w:styleId="Heading9">
    <w:name w:val="heading 9"/>
    <w:basedOn w:val="Normal"/>
    <w:next w:val="Normal"/>
    <w:link w:val="Heading9Char"/>
    <w:qFormat/>
    <w:rsid w:val="00157F44"/>
    <w:pPr>
      <w:ind w:left="720"/>
      <w:outlineLvl w:val="8"/>
    </w:pPr>
    <w:rPr>
      <w:i/>
    </w:rPr>
  </w:style>
  <w:style w:type="character" w:default="1" w:styleId="DefaultParagraphFont">
    <w:name w:val="Default Paragraph Font"/>
    <w:uiPriority w:val="1"/>
    <w:unhideWhenUsed/>
    <w:rsid w:val="00157F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7F44"/>
  </w:style>
  <w:style w:type="character" w:customStyle="1" w:styleId="Heading1Char">
    <w:name w:val="Heading 1 Char"/>
    <w:basedOn w:val="DefaultParagraphFont"/>
    <w:link w:val="Heading1"/>
    <w:rsid w:val="00157F44"/>
    <w:rPr>
      <w:rFonts w:ascii="Times New Roman" w:eastAsia="Times New Roman" w:hAnsi="Times New Roman" w:cs="Times New Roman"/>
      <w:b/>
      <w:sz w:val="32"/>
      <w:szCs w:val="20"/>
      <w:lang w:eastAsia="en-US"/>
    </w:rPr>
  </w:style>
  <w:style w:type="paragraph" w:styleId="BodyText">
    <w:name w:val="Body Text"/>
    <w:basedOn w:val="Normal"/>
    <w:link w:val="BodyTextChar"/>
    <w:rsid w:val="00157F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7F44"/>
    <w:rPr>
      <w:rFonts w:ascii="Times New Roman" w:eastAsia="Times New Roman" w:hAnsi="Times New Roman" w:cs="Times New Roman"/>
      <w:sz w:val="24"/>
      <w:lang w:eastAsia="en-US"/>
    </w:rPr>
  </w:style>
  <w:style w:type="character" w:customStyle="1" w:styleId="SpecialBold">
    <w:name w:val="Special Bold"/>
    <w:basedOn w:val="DefaultParagraphFont"/>
    <w:rsid w:val="00157F44"/>
    <w:rPr>
      <w:b/>
      <w:spacing w:val="0"/>
    </w:rPr>
  </w:style>
  <w:style w:type="paragraph" w:customStyle="1" w:styleId="SuperHeading">
    <w:name w:val="SuperHeading"/>
    <w:basedOn w:val="Normal"/>
    <w:rsid w:val="00157F44"/>
    <w:pPr>
      <w:spacing w:before="240" w:after="120"/>
      <w:outlineLvl w:val="0"/>
    </w:pPr>
    <w:rPr>
      <w:rFonts w:ascii="Times New Roman" w:hAnsi="Times New Roman"/>
      <w:b/>
      <w:sz w:val="32"/>
    </w:rPr>
  </w:style>
  <w:style w:type="paragraph" w:customStyle="1" w:styleId="AllowPageBreak">
    <w:name w:val="AllowPageBreak"/>
    <w:rsid w:val="00157F4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57F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7F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7F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7F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7F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7F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7F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7F44"/>
    <w:rPr>
      <w:rFonts w:ascii="Courier New" w:eastAsia="Times New Roman" w:hAnsi="Courier New" w:cs="Times New Roman"/>
      <w:i/>
      <w:szCs w:val="20"/>
      <w:lang w:eastAsia="en-US"/>
    </w:rPr>
  </w:style>
  <w:style w:type="paragraph" w:customStyle="1" w:styleId="HeadingBase">
    <w:name w:val="Heading Base"/>
    <w:rsid w:val="00157F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7F44"/>
    <w:pPr>
      <w:tabs>
        <w:tab w:val="right" w:leader="dot" w:pos="9072"/>
      </w:tabs>
      <w:ind w:left="567"/>
    </w:pPr>
    <w:rPr>
      <w:szCs w:val="22"/>
    </w:rPr>
  </w:style>
  <w:style w:type="paragraph" w:customStyle="1" w:styleId="TOCBase">
    <w:name w:val="TOC Base"/>
    <w:rsid w:val="00157F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7F44"/>
    <w:pPr>
      <w:tabs>
        <w:tab w:val="right" w:leader="dot" w:pos="9072"/>
      </w:tabs>
      <w:spacing w:before="40" w:after="40"/>
      <w:ind w:left="284"/>
    </w:pPr>
    <w:rPr>
      <w:rFonts w:ascii="Times New Roman" w:hAnsi="Times New Roman"/>
    </w:rPr>
  </w:style>
  <w:style w:type="paragraph" w:styleId="TOC1">
    <w:name w:val="toc 1"/>
    <w:basedOn w:val="TOCBase"/>
    <w:next w:val="Normal"/>
    <w:rsid w:val="00157F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7F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7F44"/>
    <w:rPr>
      <w:rFonts w:ascii="Times New Roman" w:eastAsia="Times New Roman" w:hAnsi="Times New Roman" w:cs="Times New Roman"/>
      <w:sz w:val="16"/>
      <w:lang w:eastAsia="en-US"/>
    </w:rPr>
  </w:style>
  <w:style w:type="paragraph" w:styleId="Title">
    <w:name w:val="Title"/>
    <w:basedOn w:val="HeadingBase"/>
    <w:link w:val="TitleChar"/>
    <w:qFormat/>
    <w:rsid w:val="00157F44"/>
    <w:pPr>
      <w:spacing w:before="5040"/>
      <w:jc w:val="center"/>
    </w:pPr>
    <w:rPr>
      <w:sz w:val="48"/>
      <w:szCs w:val="72"/>
      <w:lang w:val="en-US"/>
    </w:rPr>
  </w:style>
  <w:style w:type="character" w:customStyle="1" w:styleId="TitleChar">
    <w:name w:val="Title Char"/>
    <w:basedOn w:val="DefaultParagraphFont"/>
    <w:link w:val="Title"/>
    <w:rsid w:val="00157F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7F44"/>
    <w:pPr>
      <w:tabs>
        <w:tab w:val="left" w:pos="3600"/>
        <w:tab w:val="left" w:pos="3958"/>
      </w:tabs>
    </w:pPr>
  </w:style>
  <w:style w:type="paragraph" w:styleId="List">
    <w:name w:val="List"/>
    <w:basedOn w:val="BodyText"/>
    <w:next w:val="BodyText"/>
    <w:rsid w:val="00157F44"/>
    <w:pPr>
      <w:tabs>
        <w:tab w:val="left" w:pos="340"/>
      </w:tabs>
      <w:spacing w:before="60" w:after="60"/>
      <w:ind w:left="340" w:hanging="340"/>
    </w:pPr>
  </w:style>
  <w:style w:type="paragraph" w:styleId="ListBullet">
    <w:name w:val="List Bullet"/>
    <w:basedOn w:val="List"/>
    <w:rsid w:val="00157F44"/>
    <w:pPr>
      <w:numPr>
        <w:numId w:val="10"/>
      </w:numPr>
      <w:tabs>
        <w:tab w:val="clear" w:pos="340"/>
      </w:tabs>
      <w:spacing w:before="40" w:after="40"/>
    </w:pPr>
  </w:style>
  <w:style w:type="paragraph" w:customStyle="1" w:styleId="Note">
    <w:name w:val="Note"/>
    <w:basedOn w:val="BodyText"/>
    <w:rsid w:val="00157F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7F44"/>
    <w:pPr>
      <w:framePr w:wrap="auto" w:hAnchor="text" w:y="6049"/>
    </w:pPr>
    <w:rPr>
      <w:color w:val="000000"/>
      <w:sz w:val="40"/>
    </w:rPr>
  </w:style>
  <w:style w:type="paragraph" w:customStyle="1" w:styleId="TOCTitle">
    <w:name w:val="TOCTitle"/>
    <w:basedOn w:val="Heading1"/>
    <w:rsid w:val="00157F44"/>
    <w:pPr>
      <w:spacing w:after="240"/>
      <w:jc w:val="center"/>
      <w:outlineLvl w:val="9"/>
    </w:pPr>
    <w:rPr>
      <w:caps/>
    </w:rPr>
  </w:style>
  <w:style w:type="paragraph" w:customStyle="1" w:styleId="Version">
    <w:name w:val="Version"/>
    <w:rsid w:val="00157F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7F44"/>
    <w:pPr>
      <w:numPr>
        <w:numId w:val="11"/>
      </w:numPr>
      <w:tabs>
        <w:tab w:val="clear" w:pos="680"/>
      </w:tabs>
    </w:pPr>
  </w:style>
  <w:style w:type="paragraph" w:styleId="Index1">
    <w:name w:val="index 1"/>
    <w:basedOn w:val="Normal"/>
    <w:next w:val="Normal"/>
    <w:semiHidden/>
    <w:rsid w:val="00157F44"/>
    <w:pPr>
      <w:keepNext w:val="0"/>
      <w:tabs>
        <w:tab w:val="right" w:pos="4176"/>
      </w:tabs>
      <w:ind w:left="198" w:hanging="198"/>
    </w:pPr>
    <w:rPr>
      <w:rFonts w:ascii="Garamond" w:hAnsi="Garamond"/>
    </w:rPr>
  </w:style>
  <w:style w:type="paragraph" w:styleId="IndexHeading">
    <w:name w:val="index heading"/>
    <w:basedOn w:val="Normal"/>
    <w:next w:val="Index1"/>
    <w:semiHidden/>
    <w:rsid w:val="00157F44"/>
    <w:pPr>
      <w:spacing w:before="120" w:after="120"/>
    </w:pPr>
    <w:rPr>
      <w:rFonts w:ascii="Arial" w:hAnsi="Arial"/>
      <w:b/>
      <w:color w:val="918585"/>
      <w:sz w:val="24"/>
    </w:rPr>
  </w:style>
  <w:style w:type="paragraph" w:styleId="Header">
    <w:name w:val="header"/>
    <w:basedOn w:val="Normal"/>
    <w:link w:val="HeaderChar"/>
    <w:rsid w:val="00157F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7F44"/>
    <w:rPr>
      <w:rFonts w:ascii="Times New Roman" w:eastAsia="Times New Roman" w:hAnsi="Times New Roman" w:cs="Times New Roman"/>
      <w:sz w:val="16"/>
      <w:szCs w:val="20"/>
      <w:lang w:val="en-GB" w:eastAsia="en-US"/>
    </w:rPr>
  </w:style>
  <w:style w:type="paragraph" w:customStyle="1" w:styleId="Chapter">
    <w:name w:val="Chapter"/>
    <w:basedOn w:val="Normal"/>
    <w:rsid w:val="00157F44"/>
    <w:pPr>
      <w:spacing w:before="240"/>
    </w:pPr>
    <w:rPr>
      <w:rFonts w:ascii="Times New Roman" w:hAnsi="Times New Roman"/>
      <w:smallCaps/>
      <w:spacing w:val="80"/>
      <w:sz w:val="28"/>
    </w:rPr>
  </w:style>
  <w:style w:type="paragraph" w:customStyle="1" w:styleId="InChapter">
    <w:name w:val="InChapter"/>
    <w:basedOn w:val="Heading3"/>
    <w:rsid w:val="00157F44"/>
    <w:pPr>
      <w:spacing w:after="240"/>
      <w:outlineLvl w:val="9"/>
    </w:pPr>
    <w:rPr>
      <w:noProof/>
    </w:rPr>
  </w:style>
  <w:style w:type="paragraph" w:styleId="Index2">
    <w:name w:val="index 2"/>
    <w:basedOn w:val="Normal"/>
    <w:next w:val="Normal"/>
    <w:semiHidden/>
    <w:rsid w:val="00157F44"/>
    <w:pPr>
      <w:tabs>
        <w:tab w:val="right" w:pos="4176"/>
      </w:tabs>
      <w:ind w:left="568" w:hanging="284"/>
    </w:pPr>
    <w:rPr>
      <w:rFonts w:ascii="Garamond" w:hAnsi="Garamond"/>
    </w:rPr>
  </w:style>
  <w:style w:type="paragraph" w:customStyle="1" w:styleId="Byline">
    <w:name w:val="Byline"/>
    <w:rsid w:val="00157F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7F44"/>
    <w:pPr>
      <w:tabs>
        <w:tab w:val="clear" w:pos="3600"/>
        <w:tab w:val="clear" w:pos="3958"/>
      </w:tabs>
      <w:jc w:val="right"/>
    </w:pPr>
  </w:style>
  <w:style w:type="character" w:styleId="Emphasis">
    <w:name w:val="Emphasis"/>
    <w:basedOn w:val="DefaultParagraphFont"/>
    <w:qFormat/>
    <w:rsid w:val="00157F44"/>
    <w:rPr>
      <w:i/>
    </w:rPr>
  </w:style>
  <w:style w:type="paragraph" w:styleId="Caption">
    <w:name w:val="caption"/>
    <w:basedOn w:val="BodyText"/>
    <w:next w:val="Normal"/>
    <w:qFormat/>
    <w:rsid w:val="00157F44"/>
    <w:pPr>
      <w:framePr w:w="2268" w:hSpace="181" w:vSpace="181" w:wrap="around" w:vAnchor="text" w:hAnchor="page" w:x="1135" w:y="285" w:anchorLock="1"/>
    </w:pPr>
    <w:rPr>
      <w:i/>
    </w:rPr>
  </w:style>
  <w:style w:type="paragraph" w:customStyle="1" w:styleId="MiniTOCTitle">
    <w:name w:val="MiniTOCTitle"/>
    <w:basedOn w:val="Heading4"/>
    <w:rsid w:val="00157F44"/>
    <w:pPr>
      <w:spacing w:before="240"/>
      <w:outlineLvl w:val="9"/>
    </w:pPr>
    <w:rPr>
      <w:noProof/>
      <w:sz w:val="24"/>
    </w:rPr>
  </w:style>
  <w:style w:type="paragraph" w:customStyle="1" w:styleId="MiniTOCItem">
    <w:name w:val="MiniTOCItem"/>
    <w:basedOn w:val="ListBullet"/>
    <w:rsid w:val="00157F44"/>
    <w:pPr>
      <w:numPr>
        <w:numId w:val="0"/>
      </w:numPr>
      <w:tabs>
        <w:tab w:val="right" w:leader="dot" w:pos="6521"/>
      </w:tabs>
      <w:spacing w:before="0" w:after="0"/>
    </w:pPr>
  </w:style>
  <w:style w:type="paragraph" w:customStyle="1" w:styleId="TOFTitle">
    <w:name w:val="TOFTitle"/>
    <w:basedOn w:val="TOCTitle"/>
    <w:rsid w:val="00157F44"/>
  </w:style>
  <w:style w:type="paragraph" w:styleId="TableofFigures">
    <w:name w:val="table of figures"/>
    <w:basedOn w:val="Normal"/>
    <w:next w:val="Normal"/>
    <w:semiHidden/>
    <w:rsid w:val="00157F44"/>
    <w:pPr>
      <w:tabs>
        <w:tab w:val="right" w:leader="dot" w:pos="9072"/>
      </w:tabs>
      <w:ind w:left="970" w:hanging="403"/>
    </w:pPr>
    <w:rPr>
      <w:rFonts w:ascii="Times New Roman" w:hAnsi="Times New Roman"/>
      <w:b/>
    </w:rPr>
  </w:style>
  <w:style w:type="paragraph" w:styleId="ListNumber">
    <w:name w:val="List Number"/>
    <w:basedOn w:val="List"/>
    <w:rsid w:val="00157F44"/>
    <w:pPr>
      <w:numPr>
        <w:numId w:val="13"/>
      </w:numPr>
      <w:tabs>
        <w:tab w:val="clear" w:pos="340"/>
      </w:tabs>
    </w:pPr>
  </w:style>
  <w:style w:type="character" w:customStyle="1" w:styleId="WingdingSymbols">
    <w:name w:val="Wingding Symbols"/>
    <w:rsid w:val="00157F44"/>
    <w:rPr>
      <w:rFonts w:ascii="Wingdings" w:hAnsi="Wingdings"/>
    </w:rPr>
  </w:style>
  <w:style w:type="paragraph" w:customStyle="1" w:styleId="TableHeading">
    <w:name w:val="Table Heading"/>
    <w:basedOn w:val="HeadingBase"/>
    <w:rsid w:val="00157F44"/>
    <w:pPr>
      <w:keepLines/>
      <w:pBdr>
        <w:bottom w:val="single" w:sz="6" w:space="1" w:color="918585"/>
      </w:pBdr>
      <w:spacing w:before="240"/>
    </w:pPr>
  </w:style>
  <w:style w:type="character" w:customStyle="1" w:styleId="HotSpot">
    <w:name w:val="HotSpot"/>
    <w:rsid w:val="00157F44"/>
    <w:rPr>
      <w:color w:val="0033CC"/>
      <w:u w:val="none"/>
    </w:rPr>
  </w:style>
  <w:style w:type="paragraph" w:customStyle="1" w:styleId="BodyTextRight">
    <w:name w:val="Body Text Right"/>
    <w:basedOn w:val="BodyText"/>
    <w:rsid w:val="00157F44"/>
    <w:pPr>
      <w:spacing w:before="0" w:after="0"/>
      <w:jc w:val="right"/>
    </w:pPr>
  </w:style>
  <w:style w:type="paragraph" w:styleId="Index3">
    <w:name w:val="index 3"/>
    <w:basedOn w:val="ListNumber2"/>
    <w:next w:val="Normal"/>
    <w:semiHidden/>
    <w:rsid w:val="00157F44"/>
    <w:pPr>
      <w:numPr>
        <w:numId w:val="0"/>
      </w:numPr>
      <w:tabs>
        <w:tab w:val="right" w:leader="dot" w:pos="4176"/>
      </w:tabs>
    </w:pPr>
  </w:style>
  <w:style w:type="paragraph" w:styleId="ListNumber2">
    <w:name w:val="List Number 2"/>
    <w:basedOn w:val="List2"/>
    <w:rsid w:val="00157F44"/>
    <w:pPr>
      <w:numPr>
        <w:numId w:val="8"/>
      </w:numPr>
      <w:tabs>
        <w:tab w:val="clear" w:pos="1060"/>
      </w:tabs>
    </w:pPr>
  </w:style>
  <w:style w:type="paragraph" w:customStyle="1" w:styleId="MarginNote">
    <w:name w:val="Margin Note"/>
    <w:basedOn w:val="BodyText"/>
    <w:rsid w:val="00157F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7F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7F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7F44"/>
    <w:rPr>
      <w:sz w:val="32"/>
    </w:rPr>
  </w:style>
  <w:style w:type="paragraph" w:customStyle="1" w:styleId="HeadingProcedure">
    <w:name w:val="Heading Procedure"/>
    <w:basedOn w:val="HeadingBase"/>
    <w:next w:val="Normal"/>
    <w:rsid w:val="00157F44"/>
    <w:pPr>
      <w:tabs>
        <w:tab w:val="left" w:pos="0"/>
      </w:tabs>
      <w:spacing w:before="120" w:after="60"/>
    </w:pPr>
    <w:rPr>
      <w:i/>
      <w:color w:val="918585"/>
      <w:sz w:val="22"/>
    </w:rPr>
  </w:style>
  <w:style w:type="paragraph" w:customStyle="1" w:styleId="TableBodyText">
    <w:name w:val="Table Body Text"/>
    <w:basedOn w:val="BodyText"/>
    <w:rsid w:val="00157F44"/>
    <w:pPr>
      <w:spacing w:before="60" w:after="60"/>
    </w:pPr>
  </w:style>
  <w:style w:type="paragraph" w:styleId="ListContinue">
    <w:name w:val="List Continue"/>
    <w:basedOn w:val="List"/>
    <w:rsid w:val="00157F44"/>
    <w:pPr>
      <w:ind w:firstLine="0"/>
    </w:pPr>
  </w:style>
  <w:style w:type="paragraph" w:customStyle="1" w:styleId="ListNote">
    <w:name w:val="List Note"/>
    <w:basedOn w:val="List"/>
    <w:rsid w:val="00157F44"/>
    <w:pPr>
      <w:pBdr>
        <w:top w:val="single" w:sz="6" w:space="2" w:color="918585"/>
        <w:bottom w:val="single" w:sz="6" w:space="2" w:color="918585"/>
      </w:pBdr>
      <w:tabs>
        <w:tab w:val="left" w:pos="1021"/>
      </w:tabs>
      <w:ind w:firstLine="0"/>
    </w:pPr>
  </w:style>
  <w:style w:type="paragraph" w:customStyle="1" w:styleId="Warning">
    <w:name w:val="Warning"/>
    <w:basedOn w:val="BodyText"/>
    <w:rsid w:val="00157F44"/>
    <w:pPr>
      <w:shd w:val="clear" w:color="auto" w:fill="D9D9D9"/>
      <w:tabs>
        <w:tab w:val="left" w:pos="992"/>
      </w:tabs>
      <w:ind w:left="119" w:right="119"/>
    </w:pPr>
    <w:rPr>
      <w:sz w:val="20"/>
    </w:rPr>
  </w:style>
  <w:style w:type="paragraph" w:customStyle="1" w:styleId="MarginIcons">
    <w:name w:val="Margin Icons"/>
    <w:basedOn w:val="BodyText"/>
    <w:rsid w:val="00157F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7F44"/>
    <w:rPr>
      <w:rFonts w:ascii="Courier New" w:hAnsi="Courier New"/>
    </w:rPr>
  </w:style>
  <w:style w:type="paragraph" w:customStyle="1" w:styleId="NoteBullet">
    <w:name w:val="Note Bullet"/>
    <w:basedOn w:val="Note"/>
    <w:rsid w:val="00157F44"/>
    <w:pPr>
      <w:tabs>
        <w:tab w:val="clear" w:pos="680"/>
      </w:tabs>
      <w:spacing w:before="60" w:after="60"/>
    </w:pPr>
  </w:style>
  <w:style w:type="paragraph" w:customStyle="1" w:styleId="SubHeading2">
    <w:name w:val="SubHeading2"/>
    <w:basedOn w:val="HeadingBase"/>
    <w:rsid w:val="00157F44"/>
    <w:pPr>
      <w:spacing w:before="240" w:after="60"/>
    </w:pPr>
    <w:rPr>
      <w:sz w:val="20"/>
    </w:rPr>
  </w:style>
  <w:style w:type="paragraph" w:customStyle="1" w:styleId="SubHeading1">
    <w:name w:val="SubHeading1"/>
    <w:basedOn w:val="HeadingBase"/>
    <w:rsid w:val="00157F44"/>
    <w:pPr>
      <w:spacing w:before="240" w:after="60"/>
    </w:pPr>
    <w:rPr>
      <w:color w:val="918585"/>
      <w:sz w:val="22"/>
    </w:rPr>
  </w:style>
  <w:style w:type="paragraph" w:customStyle="1" w:styleId="SideHeading">
    <w:name w:val="Side Heading"/>
    <w:basedOn w:val="HeadingBase"/>
    <w:rsid w:val="00157F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7F44"/>
    <w:pPr>
      <w:numPr>
        <w:numId w:val="9"/>
      </w:numPr>
    </w:pPr>
  </w:style>
  <w:style w:type="paragraph" w:styleId="PlainText">
    <w:name w:val="Plain Text"/>
    <w:basedOn w:val="Normal"/>
    <w:link w:val="PlainTextChar"/>
    <w:rsid w:val="00157F44"/>
    <w:rPr>
      <w:sz w:val="20"/>
    </w:rPr>
  </w:style>
  <w:style w:type="character" w:customStyle="1" w:styleId="PlainTextChar">
    <w:name w:val="Plain Text Char"/>
    <w:basedOn w:val="DefaultParagraphFont"/>
    <w:link w:val="PlainText"/>
    <w:rsid w:val="00157F44"/>
    <w:rPr>
      <w:rFonts w:ascii="Courier New" w:eastAsia="Times New Roman" w:hAnsi="Courier New" w:cs="Times New Roman"/>
      <w:sz w:val="20"/>
      <w:szCs w:val="20"/>
      <w:lang w:eastAsia="en-US"/>
    </w:rPr>
  </w:style>
  <w:style w:type="character" w:customStyle="1" w:styleId="MenuOption">
    <w:name w:val="Menu Option"/>
    <w:basedOn w:val="DefaultParagraphFont"/>
    <w:rsid w:val="00157F44"/>
    <w:rPr>
      <w:b/>
      <w:smallCaps/>
    </w:rPr>
  </w:style>
  <w:style w:type="paragraph" w:customStyle="1" w:styleId="TableListNumber">
    <w:name w:val="Table List Number"/>
    <w:basedOn w:val="ListNumber"/>
    <w:rsid w:val="00157F44"/>
    <w:pPr>
      <w:numPr>
        <w:numId w:val="0"/>
      </w:numPr>
    </w:pPr>
  </w:style>
  <w:style w:type="paragraph" w:styleId="TOC4">
    <w:name w:val="toc 4"/>
    <w:basedOn w:val="TOCBase"/>
    <w:next w:val="Normal"/>
    <w:semiHidden/>
    <w:rsid w:val="00157F44"/>
    <w:pPr>
      <w:tabs>
        <w:tab w:val="right" w:leader="dot" w:pos="9071"/>
      </w:tabs>
      <w:ind w:left="1701"/>
    </w:pPr>
  </w:style>
  <w:style w:type="paragraph" w:customStyle="1" w:styleId="ListAlpha">
    <w:name w:val="List Alpha"/>
    <w:basedOn w:val="List"/>
    <w:rsid w:val="00157F44"/>
    <w:pPr>
      <w:numPr>
        <w:numId w:val="7"/>
      </w:numPr>
    </w:pPr>
  </w:style>
  <w:style w:type="paragraph" w:customStyle="1" w:styleId="ListAlpha2">
    <w:name w:val="List Alpha 2"/>
    <w:basedOn w:val="List2"/>
    <w:rsid w:val="00157F44"/>
    <w:pPr>
      <w:numPr>
        <w:numId w:val="6"/>
      </w:numPr>
    </w:pPr>
  </w:style>
  <w:style w:type="paragraph" w:styleId="List2">
    <w:name w:val="List 2"/>
    <w:basedOn w:val="BodyText"/>
    <w:rsid w:val="00157F44"/>
    <w:pPr>
      <w:tabs>
        <w:tab w:val="left" w:pos="680"/>
      </w:tabs>
      <w:spacing w:before="60" w:after="60"/>
      <w:ind w:left="680" w:hanging="340"/>
    </w:pPr>
  </w:style>
  <w:style w:type="paragraph" w:styleId="List3">
    <w:name w:val="List 3"/>
    <w:basedOn w:val="BodyText"/>
    <w:rsid w:val="00157F44"/>
    <w:pPr>
      <w:tabs>
        <w:tab w:val="left" w:pos="1021"/>
      </w:tabs>
      <w:spacing w:before="60" w:after="60"/>
      <w:ind w:left="1020" w:hanging="340"/>
    </w:pPr>
  </w:style>
  <w:style w:type="paragraph" w:styleId="List4">
    <w:name w:val="List 4"/>
    <w:basedOn w:val="BodyText"/>
    <w:rsid w:val="00157F44"/>
    <w:pPr>
      <w:tabs>
        <w:tab w:val="left" w:pos="1361"/>
      </w:tabs>
      <w:spacing w:before="60" w:after="60"/>
      <w:ind w:left="1361" w:hanging="340"/>
    </w:pPr>
  </w:style>
  <w:style w:type="paragraph" w:styleId="List5">
    <w:name w:val="List 5"/>
    <w:basedOn w:val="BodyText"/>
    <w:rsid w:val="00157F44"/>
    <w:pPr>
      <w:tabs>
        <w:tab w:val="left" w:pos="1701"/>
      </w:tabs>
      <w:spacing w:before="60" w:after="60"/>
      <w:ind w:left="1701" w:hanging="340"/>
    </w:pPr>
  </w:style>
  <w:style w:type="paragraph" w:styleId="ListBullet3">
    <w:name w:val="List Bullet 3"/>
    <w:basedOn w:val="List3"/>
    <w:rsid w:val="00157F44"/>
    <w:pPr>
      <w:numPr>
        <w:numId w:val="12"/>
      </w:numPr>
      <w:tabs>
        <w:tab w:val="clear" w:pos="1021"/>
      </w:tabs>
      <w:ind w:left="1037" w:hanging="357"/>
    </w:pPr>
  </w:style>
  <w:style w:type="paragraph" w:styleId="ListBullet4">
    <w:name w:val="List Bullet 4"/>
    <w:basedOn w:val="List4"/>
    <w:rsid w:val="00157F44"/>
    <w:pPr>
      <w:numPr>
        <w:numId w:val="1"/>
      </w:numPr>
      <w:tabs>
        <w:tab w:val="clear" w:pos="1361"/>
      </w:tabs>
    </w:pPr>
  </w:style>
  <w:style w:type="paragraph" w:styleId="ListBullet5">
    <w:name w:val="List Bullet 5"/>
    <w:basedOn w:val="List5"/>
    <w:rsid w:val="00157F44"/>
    <w:pPr>
      <w:numPr>
        <w:numId w:val="2"/>
      </w:numPr>
    </w:pPr>
  </w:style>
  <w:style w:type="paragraph" w:styleId="ListContinue2">
    <w:name w:val="List Continue 2"/>
    <w:basedOn w:val="List2"/>
    <w:rsid w:val="00157F44"/>
    <w:pPr>
      <w:ind w:firstLine="0"/>
    </w:pPr>
  </w:style>
  <w:style w:type="paragraph" w:styleId="ListContinue3">
    <w:name w:val="List Continue 3"/>
    <w:basedOn w:val="List3"/>
    <w:rsid w:val="00157F44"/>
    <w:pPr>
      <w:ind w:left="1021" w:firstLine="0"/>
    </w:pPr>
  </w:style>
  <w:style w:type="paragraph" w:styleId="ListContinue4">
    <w:name w:val="List Continue 4"/>
    <w:basedOn w:val="List4"/>
    <w:rsid w:val="00157F44"/>
    <w:pPr>
      <w:ind w:firstLine="0"/>
    </w:pPr>
  </w:style>
  <w:style w:type="paragraph" w:styleId="ListContinue5">
    <w:name w:val="List Continue 5"/>
    <w:basedOn w:val="List5"/>
    <w:rsid w:val="00157F44"/>
    <w:pPr>
      <w:ind w:firstLine="0"/>
    </w:pPr>
  </w:style>
  <w:style w:type="paragraph" w:styleId="ListNumber3">
    <w:name w:val="List Number 3"/>
    <w:basedOn w:val="List3"/>
    <w:rsid w:val="00157F44"/>
    <w:pPr>
      <w:numPr>
        <w:numId w:val="3"/>
      </w:numPr>
    </w:pPr>
  </w:style>
  <w:style w:type="paragraph" w:styleId="ListNumber4">
    <w:name w:val="List Number 4"/>
    <w:basedOn w:val="List4"/>
    <w:rsid w:val="00157F44"/>
    <w:pPr>
      <w:numPr>
        <w:numId w:val="4"/>
      </w:numPr>
    </w:pPr>
  </w:style>
  <w:style w:type="paragraph" w:styleId="ListNumber5">
    <w:name w:val="List Number 5"/>
    <w:basedOn w:val="List5"/>
    <w:rsid w:val="00157F44"/>
    <w:pPr>
      <w:numPr>
        <w:numId w:val="5"/>
      </w:numPr>
    </w:pPr>
  </w:style>
  <w:style w:type="paragraph" w:styleId="BlockText">
    <w:name w:val="Block Text"/>
    <w:basedOn w:val="Normal"/>
    <w:rsid w:val="00157F44"/>
    <w:pPr>
      <w:spacing w:after="120"/>
      <w:ind w:left="1440" w:right="1440"/>
    </w:pPr>
  </w:style>
  <w:style w:type="character" w:customStyle="1" w:styleId="Subscript">
    <w:name w:val="Subscript"/>
    <w:basedOn w:val="DefaultParagraphFont"/>
    <w:rsid w:val="00157F44"/>
    <w:rPr>
      <w:sz w:val="16"/>
      <w:vertAlign w:val="subscript"/>
    </w:rPr>
  </w:style>
  <w:style w:type="character" w:customStyle="1" w:styleId="Superscript">
    <w:name w:val="Superscript"/>
    <w:basedOn w:val="DefaultParagraphFont"/>
    <w:rsid w:val="00157F44"/>
    <w:rPr>
      <w:sz w:val="16"/>
      <w:vertAlign w:val="superscript"/>
    </w:rPr>
  </w:style>
  <w:style w:type="character" w:customStyle="1" w:styleId="Symbols">
    <w:name w:val="Symbols"/>
    <w:basedOn w:val="DefaultParagraphFont"/>
    <w:rsid w:val="00157F44"/>
    <w:rPr>
      <w:rFonts w:ascii="Symbol" w:hAnsi="Symbol"/>
    </w:rPr>
  </w:style>
  <w:style w:type="character" w:customStyle="1" w:styleId="MenuOptions">
    <w:name w:val="Menu Options"/>
    <w:basedOn w:val="DefaultParagraphFont"/>
    <w:rsid w:val="00157F44"/>
    <w:rPr>
      <w:rFonts w:ascii="Arial Narrow" w:hAnsi="Arial Narrow"/>
      <w:smallCaps/>
    </w:rPr>
  </w:style>
  <w:style w:type="character" w:customStyle="1" w:styleId="Buttons">
    <w:name w:val="Buttons"/>
    <w:basedOn w:val="DefaultParagraphFont"/>
    <w:rsid w:val="00157F44"/>
    <w:rPr>
      <w:b/>
    </w:rPr>
  </w:style>
  <w:style w:type="character" w:customStyle="1" w:styleId="Underlined">
    <w:name w:val="Underlined"/>
    <w:basedOn w:val="DefaultParagraphFont"/>
    <w:rsid w:val="00157F44"/>
    <w:rPr>
      <w:u w:val="single"/>
    </w:rPr>
  </w:style>
  <w:style w:type="paragraph" w:customStyle="1" w:styleId="TableBodyTextRight">
    <w:name w:val="Table Body Text Right"/>
    <w:basedOn w:val="TableBodyText"/>
    <w:rsid w:val="00157F44"/>
    <w:pPr>
      <w:widowControl w:val="0"/>
      <w:autoSpaceDE w:val="0"/>
      <w:autoSpaceDN w:val="0"/>
      <w:adjustRightInd w:val="0"/>
      <w:jc w:val="right"/>
    </w:pPr>
    <w:rPr>
      <w:rFonts w:cs="Arial"/>
      <w:szCs w:val="18"/>
    </w:rPr>
  </w:style>
  <w:style w:type="paragraph" w:customStyle="1" w:styleId="CopyrightText">
    <w:name w:val="Copyright Text"/>
    <w:basedOn w:val="BodyText"/>
    <w:rsid w:val="00157F44"/>
    <w:rPr>
      <w:sz w:val="18"/>
    </w:rPr>
  </w:style>
  <w:style w:type="paragraph" w:customStyle="1" w:styleId="BodySmallRight">
    <w:name w:val="Body Small Right"/>
    <w:basedOn w:val="BodyTextRight"/>
    <w:rsid w:val="00157F44"/>
    <w:rPr>
      <w:sz w:val="18"/>
      <w:szCs w:val="18"/>
    </w:rPr>
  </w:style>
  <w:style w:type="paragraph" w:customStyle="1" w:styleId="MarginEdition">
    <w:name w:val="Margin Edition"/>
    <w:basedOn w:val="MarginNote"/>
    <w:rsid w:val="00157F44"/>
    <w:pPr>
      <w:spacing w:before="0" w:after="0"/>
    </w:pPr>
    <w:rPr>
      <w:rFonts w:ascii="Times New Roman" w:hAnsi="Times New Roman"/>
      <w:color w:val="999999"/>
    </w:rPr>
  </w:style>
  <w:style w:type="paragraph" w:customStyle="1" w:styleId="Spacer">
    <w:name w:val="Spacer"/>
    <w:basedOn w:val="Normal"/>
    <w:rsid w:val="00157F44"/>
    <w:rPr>
      <w:sz w:val="2"/>
      <w:szCs w:val="2"/>
    </w:rPr>
  </w:style>
  <w:style w:type="character" w:customStyle="1" w:styleId="Small">
    <w:name w:val="Small"/>
    <w:basedOn w:val="DefaultParagraphFont"/>
    <w:rsid w:val="00157F44"/>
    <w:rPr>
      <w:sz w:val="16"/>
    </w:rPr>
  </w:style>
  <w:style w:type="paragraph" w:customStyle="1" w:styleId="WideTable">
    <w:name w:val="Wide Table"/>
    <w:basedOn w:val="Normal"/>
    <w:rsid w:val="00157F44"/>
    <w:pPr>
      <w:ind w:left="-1418"/>
    </w:pPr>
    <w:rPr>
      <w:sz w:val="2"/>
      <w:szCs w:val="2"/>
    </w:rPr>
  </w:style>
  <w:style w:type="character" w:styleId="PageNumber">
    <w:name w:val="page number"/>
    <w:basedOn w:val="DefaultParagraphFont"/>
    <w:rsid w:val="00157F44"/>
  </w:style>
  <w:style w:type="paragraph" w:styleId="Quote">
    <w:name w:val="Quote"/>
    <w:basedOn w:val="Heading1"/>
    <w:link w:val="QuoteChar"/>
    <w:qFormat/>
    <w:rsid w:val="00157F44"/>
    <w:rPr>
      <w:b w:val="0"/>
      <w:sz w:val="72"/>
      <w:szCs w:val="72"/>
      <w:lang w:val="en-NZ"/>
    </w:rPr>
  </w:style>
  <w:style w:type="character" w:customStyle="1" w:styleId="QuoteChar">
    <w:name w:val="Quote Char"/>
    <w:basedOn w:val="DefaultParagraphFont"/>
    <w:link w:val="Quote"/>
    <w:rsid w:val="00157F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7F44"/>
    <w:pPr>
      <w:pageBreakBefore/>
    </w:pPr>
  </w:style>
  <w:style w:type="paragraph" w:customStyle="1" w:styleId="Border">
    <w:name w:val="Border"/>
    <w:basedOn w:val="Normal"/>
    <w:qFormat/>
    <w:rsid w:val="00157F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7F44"/>
    <w:rPr>
      <w:b/>
      <w:bCs/>
      <w:i/>
      <w:iCs/>
      <w:color w:val="auto"/>
    </w:rPr>
  </w:style>
  <w:style w:type="paragraph" w:styleId="IntenseQuote">
    <w:name w:val="Intense Quote"/>
    <w:basedOn w:val="Normal"/>
    <w:next w:val="Normal"/>
    <w:link w:val="IntenseQuoteChar"/>
    <w:uiPriority w:val="30"/>
    <w:qFormat/>
    <w:rsid w:val="00157F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7F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7F44"/>
    <w:rPr>
      <w:smallCaps/>
      <w:color w:val="auto"/>
      <w:u w:val="single"/>
    </w:rPr>
  </w:style>
  <w:style w:type="character" w:styleId="IntenseReference">
    <w:name w:val="Intense Reference"/>
    <w:basedOn w:val="DefaultParagraphFont"/>
    <w:uiPriority w:val="32"/>
    <w:qFormat/>
    <w:rsid w:val="00157F44"/>
    <w:rPr>
      <w:b/>
      <w:bCs/>
      <w:smallCaps/>
      <w:color w:val="auto"/>
      <w:spacing w:val="5"/>
      <w:u w:val="single"/>
    </w:rPr>
  </w:style>
  <w:style w:type="paragraph" w:customStyle="1" w:styleId="2ColumnHeading">
    <w:name w:val="2Column Heading"/>
    <w:basedOn w:val="BodyText"/>
    <w:qFormat/>
    <w:rsid w:val="00157F44"/>
    <w:pPr>
      <w:spacing w:after="60"/>
      <w:ind w:left="-2268"/>
    </w:pPr>
    <w:rPr>
      <w:b/>
    </w:rPr>
  </w:style>
  <w:style w:type="paragraph" w:customStyle="1" w:styleId="Heading1TOC">
    <w:name w:val="Heading1 TOC"/>
    <w:basedOn w:val="Normal"/>
    <w:qFormat/>
    <w:rsid w:val="00157F44"/>
    <w:pPr>
      <w:spacing w:before="240" w:after="120"/>
    </w:pPr>
    <w:rPr>
      <w:rFonts w:ascii="Times New Roman" w:hAnsi="Times New Roman"/>
      <w:b/>
      <w:sz w:val="32"/>
    </w:rPr>
  </w:style>
  <w:style w:type="paragraph" w:customStyle="1" w:styleId="Heading2TOC">
    <w:name w:val="Heading2 TOC"/>
    <w:basedOn w:val="Normal"/>
    <w:qFormat/>
    <w:rsid w:val="00157F44"/>
    <w:pPr>
      <w:spacing w:before="240" w:after="60"/>
    </w:pPr>
    <w:rPr>
      <w:rFonts w:ascii="Times New Roman" w:hAnsi="Times New Roman"/>
      <w:b/>
      <w:sz w:val="28"/>
    </w:rPr>
  </w:style>
  <w:style w:type="character" w:customStyle="1" w:styleId="Underline">
    <w:name w:val="Underline"/>
    <w:basedOn w:val="DefaultParagraphFont"/>
    <w:qFormat/>
    <w:rsid w:val="00157F44"/>
    <w:rPr>
      <w:u w:val="single"/>
    </w:rPr>
  </w:style>
  <w:style w:type="character" w:customStyle="1" w:styleId="BoldandItalics">
    <w:name w:val="Bold and Italics"/>
    <w:qFormat/>
    <w:rsid w:val="00157F44"/>
    <w:rPr>
      <w:b/>
      <w:i/>
      <w:u w:val="none"/>
    </w:rPr>
  </w:style>
  <w:style w:type="paragraph" w:styleId="BalloonText">
    <w:name w:val="Balloon Text"/>
    <w:basedOn w:val="Normal"/>
    <w:link w:val="BalloonTextChar"/>
    <w:rsid w:val="00157F44"/>
    <w:rPr>
      <w:rFonts w:ascii="Tahoma" w:hAnsi="Tahoma" w:cs="Tahoma"/>
      <w:sz w:val="16"/>
      <w:szCs w:val="16"/>
    </w:rPr>
  </w:style>
  <w:style w:type="character" w:customStyle="1" w:styleId="BalloonTextChar">
    <w:name w:val="Balloon Text Char"/>
    <w:basedOn w:val="DefaultParagraphFont"/>
    <w:link w:val="BalloonText"/>
    <w:rsid w:val="00157F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7F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7F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7F44"/>
    <w:rPr>
      <w:b/>
      <w:color w:val="660033"/>
      <w:spacing w:val="0"/>
    </w:rPr>
  </w:style>
  <w:style w:type="paragraph" w:customStyle="1" w:styleId="Nameditemlist">
    <w:name w:val="Named item list"/>
    <w:basedOn w:val="BodyText"/>
    <w:qFormat/>
    <w:rsid w:val="00157F44"/>
    <w:pPr>
      <w:tabs>
        <w:tab w:val="left" w:pos="2835"/>
      </w:tabs>
      <w:ind w:left="2835" w:hanging="2835"/>
    </w:pPr>
  </w:style>
  <w:style w:type="paragraph" w:customStyle="1" w:styleId="BodyTextnopadding">
    <w:name w:val="Body Text no padding"/>
    <w:basedOn w:val="BodyText"/>
    <w:qFormat/>
    <w:rsid w:val="00157F44"/>
    <w:pPr>
      <w:spacing w:before="0" w:after="0"/>
    </w:pPr>
  </w:style>
  <w:style w:type="paragraph" w:customStyle="1" w:styleId="BodyTextBold">
    <w:name w:val="Body Text Bold"/>
    <w:basedOn w:val="BodyText"/>
    <w:qFormat/>
    <w:rsid w:val="00157F44"/>
    <w:rPr>
      <w:b/>
    </w:rPr>
  </w:style>
  <w:style w:type="character" w:styleId="Hyperlink">
    <w:name w:val="Hyperlink"/>
    <w:basedOn w:val="DefaultParagraphFont"/>
    <w:uiPriority w:val="99"/>
    <w:unhideWhenUsed/>
    <w:rsid w:val="00B83F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1122</Words>
  <Characters>7397</Characters>
  <Application>Microsoft Office Word</Application>
  <DocSecurity>0</DocSecurity>
  <Lines>308</Lines>
  <Paragraphs>123</Paragraphs>
  <ScaleCrop>false</ScaleCrop>
  <Company>Author-it Software Corporation Ltd.</Company>
  <LinksUpToDate>false</LinksUpToDate>
  <CharactersWithSpaces>8396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UEPMNT367 Install and commission stationary gas fuelled reciprocating engines</dc:title>
  <dc:subject>Approved</dc:subject>
  <dc:creator>Australian Industry Standards</dc:creator>
  <cp:keywords>Release: 2</cp:keywords>
  <dc:description>Review Date: 12 April 2008</dc:description>
  <cp:lastModifiedBy>HSD_TPCMSd.prod</cp:lastModifiedBy>
  <cp:revision>3</cp:revision>
  <dcterms:created xsi:type="dcterms:W3CDTF">2022-12-13T06:27:00Z</dcterms:created>
  <dcterms:modified xsi:type="dcterms:W3CDTF">2022-12-13T06:27:00Z</dcterms:modified>
</cp:coreProperties>
</file>