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241C" w:rsidP="00F7241C">
      <w:pPr>
        <w:pStyle w:val="Title"/>
      </w:pPr>
      <w:r>
        <w:fldChar w:fldCharType="begin"/>
      </w:r>
      <w:r>
        <w:instrText xml:space="preserve"> TITLE   \* MERGEFORMAT </w:instrText>
      </w:r>
      <w:r>
        <w:fldChar w:fldCharType="separate"/>
      </w:r>
      <w:r>
        <w:t>UEPMNT346 Maintain electrical equipment</w:t>
      </w:r>
      <w:r>
        <w:fldChar w:fldCharType="end"/>
      </w:r>
    </w:p>
    <w:p w:rsidR="00F7241C" w:rsidP="00F7241C">
      <w:pPr>
        <w:pStyle w:val="Version"/>
        <w:sectPr w:rsidSect="000A60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A605E" w:rsidP="000A605E">
      <w:pPr>
        <w:pStyle w:val="SuperHeading"/>
      </w:pPr>
      <w:r w:rsidRPr="000A605E">
        <w:t>UEPMNT346 Maintain electrical equipment</w:t>
      </w:r>
    </w:p>
    <w:p w:rsidR="00000000" w:rsidRPr="000A605E" w:rsidP="000A605E">
      <w:pPr>
        <w:pStyle w:val="Heading1"/>
      </w:pPr>
      <w:bookmarkStart w:id="1" w:name="O_1228442"/>
      <w:bookmarkEnd w:id="1"/>
      <w:r w:rsidRPr="000A605E">
        <w:t>Modification History</w:t>
      </w:r>
    </w:p>
    <w:tbl>
      <w:tblPr>
        <w:tblW w:w="9497" w:type="dxa"/>
        <w:tblLayout w:type="fixed"/>
        <w:tblCellMar>
          <w:left w:w="62" w:type="dxa"/>
          <w:right w:w="62" w:type="dxa"/>
        </w:tblCellMar>
        <w:tblLook w:val="0000"/>
      </w:tblPr>
      <w:tblGrid>
        <w:gridCol w:w="9497"/>
      </w:tblGrid>
      <w:tr w:rsidTr="000A6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05E" w:rsidP="000A605E">
            <w:pPr>
              <w:pStyle w:val="BodyText"/>
            </w:pPr>
            <w:r w:rsidRPr="000A605E">
              <w:rPr>
                <w:rStyle w:val="SpecialBold"/>
              </w:rPr>
              <w:t>Release 2.</w:t>
            </w:r>
            <w:r w:rsidRPr="000A605E">
              <w:t xml:space="preserve"> Minor release to update superseded pre-requisite units.</w:t>
            </w:r>
          </w:p>
          <w:p w:rsidR="00000000" w:rsidRPr="000A605E" w:rsidP="000A605E">
            <w:pPr>
              <w:pStyle w:val="BodyText"/>
            </w:pPr>
            <w:r w:rsidRPr="000A605E">
              <w:rPr>
                <w:rStyle w:val="SpecialBold"/>
              </w:rPr>
              <w:t>Release 1</w:t>
            </w:r>
            <w:r w:rsidRPr="000A605E">
              <w:t>. This is the first release of this unit of competency in the UEP Generation Training Package.</w:t>
            </w:r>
          </w:p>
        </w:tc>
      </w:tr>
    </w:tbl>
    <w:p w:rsidR="00000000" w:rsidRPr="000A605E" w:rsidP="000A605E">
      <w:pPr>
        <w:pStyle w:val="NoPaddingFontSize1"/>
      </w:pPr>
    </w:p>
    <w:p w:rsidR="00000000" w:rsidRPr="000A605E" w:rsidP="000A605E">
      <w:pPr>
        <w:pStyle w:val="AllowPageBreak"/>
      </w:pPr>
    </w:p>
    <w:p w:rsidR="00000000" w:rsidRPr="000A605E" w:rsidP="000A605E">
      <w:pPr>
        <w:pStyle w:val="Heading1"/>
      </w:pPr>
      <w:bookmarkStart w:id="2" w:name="O_1228441"/>
      <w:bookmarkEnd w:id="2"/>
      <w:r w:rsidRPr="000A605E">
        <w:t>Application</w:t>
      </w:r>
    </w:p>
    <w:tbl>
      <w:tblPr>
        <w:tblW w:w="9497" w:type="dxa"/>
        <w:tblLayout w:type="fixed"/>
        <w:tblCellMar>
          <w:left w:w="62" w:type="dxa"/>
          <w:right w:w="62" w:type="dxa"/>
        </w:tblCellMar>
        <w:tblLook w:val="0000"/>
      </w:tblPr>
      <w:tblGrid>
        <w:gridCol w:w="9497"/>
      </w:tblGrid>
      <w:tr w:rsidTr="000A6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05E" w:rsidP="000A605E">
            <w:pPr>
              <w:pStyle w:val="BodyText"/>
            </w:pPr>
            <w:r w:rsidRPr="000A605E">
              <w:t>This unit involves the skills a</w:t>
            </w:r>
            <w:r w:rsidRPr="000A605E">
              <w:t>nd knowledge required to undertake the maintenance of electrical equipment including, but not limited to, rotating and static machines, appliances, luminaries and associated control equipment, but it excludes High Voltage (H.V.) equipment.</w:t>
            </w:r>
          </w:p>
          <w:p w:rsidR="00000000" w:rsidRPr="000A605E" w:rsidP="000A605E">
            <w:pPr>
              <w:pStyle w:val="BodyText"/>
            </w:pPr>
            <w:r w:rsidRPr="000A605E">
              <w:t>Maintenance is a</w:t>
            </w:r>
            <w:r w:rsidRPr="000A605E">
              <w:t>n essential part of the ongoing care and upkeep of electrical equipment, defined as any machine, simple or complex, powered by electricity in a power generation facility, that is undertaken to ensure optimal efficiency.</w:t>
            </w:r>
          </w:p>
          <w:p w:rsidR="00000000" w:rsidRPr="000A605E" w:rsidP="000A605E">
            <w:pPr>
              <w:pStyle w:val="BodyText"/>
            </w:pPr>
            <w:r w:rsidRPr="000A605E">
              <w:t>Competency in this unit requires the</w:t>
            </w:r>
            <w:r w:rsidRPr="000A605E">
              <w:t xml:space="preserve"> ability to plan work, carry out maintenance on electrical equipment and to report on all completed work tasks. Individuals will, in general, work under supervision in an electrical, electronic and/or mechanical equipment repair workshop or on site. </w:t>
            </w:r>
          </w:p>
          <w:p w:rsidR="00000000" w:rsidRPr="000A605E" w:rsidP="000A605E">
            <w:pPr>
              <w:pStyle w:val="BodyText"/>
            </w:pPr>
            <w:r w:rsidRPr="000A605E">
              <w:t>Power</w:t>
            </w:r>
            <w:r w:rsidRPr="000A605E">
              <w:t xml:space="preserve"> generation maintenance personnel are typically trained and authorised to receive permits to work. </w:t>
            </w:r>
          </w:p>
          <w:p w:rsidR="00000000" w:rsidRPr="000A605E" w:rsidP="000A605E">
            <w:pPr>
              <w:pStyle w:val="BodyText"/>
            </w:pPr>
            <w:r w:rsidRPr="000A605E">
              <w:t>No licensing, legislative or certification requirements apply to this unit at the time of publication.</w:t>
            </w:r>
          </w:p>
          <w:p w:rsidR="00000000" w:rsidRPr="000A605E" w:rsidP="000A605E">
            <w:pPr>
              <w:pStyle w:val="BodyText"/>
            </w:pPr>
            <w:r w:rsidRPr="000A605E">
              <w:rPr>
                <w:rStyle w:val="SpecialBold"/>
              </w:rPr>
              <w:t>Note: Workplace practice</w:t>
            </w:r>
          </w:p>
          <w:p w:rsidR="00000000" w:rsidRPr="000A605E" w:rsidP="000A605E">
            <w:pPr>
              <w:pStyle w:val="BodyText"/>
            </w:pPr>
            <w:r w:rsidRPr="000A605E">
              <w:t>The application of the skill</w:t>
            </w:r>
            <w:r w:rsidRPr="000A605E">
              <w:t>s and knowledge described in this unit of competency may require a licence or training permit to practice in the workplace, where work is carried out on gas and electrical installations. Additional and/or other conditions may apply under state and territor</w:t>
            </w:r>
            <w:r w:rsidRPr="000A605E">
              <w:t xml:space="preserve">y legislative and regulatory licensing requirements.  </w:t>
            </w:r>
          </w:p>
        </w:tc>
      </w:tr>
    </w:tbl>
    <w:p w:rsidR="00000000" w:rsidRPr="000A605E" w:rsidP="000A605E">
      <w:pPr>
        <w:pStyle w:val="NoPaddingFontSize1"/>
      </w:pPr>
    </w:p>
    <w:p w:rsidR="00000000" w:rsidRPr="000A605E" w:rsidP="000A605E">
      <w:pPr>
        <w:pStyle w:val="AllowPageBreak"/>
      </w:pPr>
    </w:p>
    <w:p w:rsidR="00000000" w:rsidRPr="000A605E" w:rsidP="000A605E">
      <w:pPr>
        <w:pStyle w:val="Heading1"/>
      </w:pPr>
      <w:bookmarkStart w:id="3" w:name="O_1228440"/>
      <w:bookmarkEnd w:id="3"/>
      <w:r w:rsidRPr="000A605E">
        <w:t>Pre-requisite Unit</w:t>
      </w:r>
    </w:p>
    <w:tbl>
      <w:tblPr>
        <w:tblW w:w="9497" w:type="dxa"/>
        <w:tblLayout w:type="fixed"/>
        <w:tblCellMar>
          <w:left w:w="62" w:type="dxa"/>
          <w:right w:w="62" w:type="dxa"/>
        </w:tblCellMar>
        <w:tblLook w:val="0000"/>
      </w:tblPr>
      <w:tblGrid>
        <w:gridCol w:w="9497"/>
      </w:tblGrid>
      <w:tr w:rsidTr="000A6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05E" w:rsidP="000A605E">
            <w:pPr>
              <w:pStyle w:val="BodyText"/>
            </w:pPr>
            <w:r w:rsidRPr="000A605E">
              <w:t>UEECD0019 Fabricate, assemble and dismantle utilities industry components</w:t>
            </w:r>
          </w:p>
          <w:p w:rsidR="00000000" w:rsidRPr="000A605E" w:rsidP="000A605E">
            <w:pPr>
              <w:pStyle w:val="BodyText"/>
            </w:pPr>
            <w:r w:rsidRPr="000A605E">
              <w:t>UEECD0020 Fix and secure electrotechnology equipment</w:t>
            </w:r>
          </w:p>
          <w:p w:rsidR="00000000" w:rsidRPr="000A605E" w:rsidP="000A605E">
            <w:pPr>
              <w:pStyle w:val="BodyText"/>
            </w:pPr>
            <w:r w:rsidRPr="000A605E">
              <w:t xml:space="preserve">UEECD0051 Use drawings, diagrams, </w:t>
            </w:r>
            <w:r w:rsidRPr="000A605E">
              <w:t>schedules, standards, codes and specifications</w:t>
            </w:r>
          </w:p>
          <w:p w:rsidR="00000000" w:rsidRPr="000A605E" w:rsidP="000A605E">
            <w:pPr>
              <w:pStyle w:val="BodyText"/>
            </w:pPr>
            <w:r w:rsidRPr="000A605E">
              <w:t>UEEEL0003 Arrange circuits, control and protection for general electrical installations</w:t>
            </w:r>
          </w:p>
          <w:p w:rsidR="00000000" w:rsidRPr="000A605E" w:rsidP="000A605E">
            <w:pPr>
              <w:pStyle w:val="BodyText"/>
            </w:pPr>
            <w:r w:rsidRPr="000A605E">
              <w:t>UEEEL0011 Evaluate performance of low voltage electrical apparatus</w:t>
            </w:r>
          </w:p>
          <w:p w:rsidR="00000000" w:rsidRPr="000A605E" w:rsidP="000A605E">
            <w:pPr>
              <w:pStyle w:val="BodyText"/>
            </w:pPr>
            <w:r w:rsidRPr="000A605E">
              <w:t>UEEEL0014 Isolate, test and troubleshoot low voltage electrical circuits</w:t>
            </w:r>
          </w:p>
          <w:p w:rsidR="00000000" w:rsidRPr="000A605E" w:rsidP="000A605E">
            <w:pPr>
              <w:pStyle w:val="BodyText"/>
            </w:pPr>
            <w:r w:rsidRPr="000A605E">
              <w:t>UEEEL0020 Solve problems in low voltage A.C. circuits</w:t>
            </w:r>
          </w:p>
          <w:p w:rsidR="00000000" w:rsidRPr="000A605E" w:rsidP="000A605E">
            <w:pPr>
              <w:pStyle w:val="BodyText"/>
            </w:pPr>
            <w:r w:rsidRPr="000A605E">
              <w:t xml:space="preserve">UEEEL0021 Solve problems in magnetic and electromagnetic devices </w:t>
            </w:r>
          </w:p>
          <w:p w:rsidR="00000000" w:rsidRPr="000A605E" w:rsidP="000A605E">
            <w:pPr>
              <w:pStyle w:val="BodyText"/>
            </w:pPr>
            <w:r w:rsidRPr="000A605E">
              <w:t>UEEEL0023 Terminate cables, cords and accessories for low volta</w:t>
            </w:r>
            <w:r w:rsidRPr="000A605E">
              <w:t>ge circuits</w:t>
            </w:r>
          </w:p>
          <w:p w:rsidR="00000000" w:rsidRPr="000A605E" w:rsidP="000A605E">
            <w:pPr>
              <w:pStyle w:val="BodyText"/>
            </w:pPr>
            <w:r w:rsidRPr="000A605E">
              <w:t>UEEEL0024 Test and connect alternating current (a.c.) rotating machines</w:t>
            </w:r>
          </w:p>
          <w:p w:rsidR="00000000" w:rsidRPr="000A605E" w:rsidP="000A605E">
            <w:pPr>
              <w:pStyle w:val="BodyText"/>
            </w:pPr>
            <w:r w:rsidRPr="000A605E">
              <w:t xml:space="preserve">UEEEL0025 Test and connect transformers </w:t>
            </w:r>
          </w:p>
        </w:tc>
      </w:tr>
    </w:tbl>
    <w:p w:rsidR="00000000" w:rsidRPr="000A605E" w:rsidP="000A605E">
      <w:pPr>
        <w:pStyle w:val="NoPaddingFontSize1"/>
      </w:pPr>
    </w:p>
    <w:p w:rsidR="00000000" w:rsidRPr="000A605E" w:rsidP="000A605E">
      <w:pPr>
        <w:pStyle w:val="AllowPageBreak"/>
      </w:pPr>
    </w:p>
    <w:p w:rsidR="00000000" w:rsidRPr="000A605E" w:rsidP="000A605E">
      <w:pPr>
        <w:pStyle w:val="Heading1"/>
      </w:pPr>
      <w:bookmarkStart w:id="4" w:name="O_1228439"/>
      <w:bookmarkEnd w:id="4"/>
      <w:r w:rsidRPr="000A605E">
        <w:t>Competency Field</w:t>
      </w:r>
    </w:p>
    <w:tbl>
      <w:tblPr>
        <w:tblW w:w="9497" w:type="dxa"/>
        <w:tblLayout w:type="fixed"/>
        <w:tblCellMar>
          <w:left w:w="62" w:type="dxa"/>
          <w:right w:w="62" w:type="dxa"/>
        </w:tblCellMar>
        <w:tblLook w:val="0000"/>
      </w:tblPr>
      <w:tblGrid>
        <w:gridCol w:w="9497"/>
      </w:tblGrid>
      <w:tr w:rsidTr="000A6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05E" w:rsidP="000A605E">
            <w:pPr>
              <w:pStyle w:val="BodyText"/>
            </w:pPr>
            <w:r w:rsidRPr="000A605E">
              <w:t>Maintenance</w:t>
            </w:r>
          </w:p>
        </w:tc>
      </w:tr>
    </w:tbl>
    <w:p w:rsidR="00000000" w:rsidRPr="000A605E" w:rsidP="000A605E">
      <w:pPr>
        <w:pStyle w:val="NoPaddingFontSize1"/>
      </w:pPr>
    </w:p>
    <w:p w:rsidR="00000000" w:rsidRPr="000A605E" w:rsidP="000A605E">
      <w:pPr>
        <w:pStyle w:val="AllowPageBreak"/>
      </w:pPr>
    </w:p>
    <w:p w:rsidR="00000000" w:rsidRPr="000A605E" w:rsidP="000A605E">
      <w:pPr>
        <w:pStyle w:val="Heading1"/>
      </w:pPr>
      <w:bookmarkStart w:id="5" w:name="O_1228438"/>
      <w:bookmarkEnd w:id="5"/>
      <w:r w:rsidRPr="000A605E">
        <w:t>Unit Sector</w:t>
      </w:r>
    </w:p>
    <w:tbl>
      <w:tblPr>
        <w:tblW w:w="9497" w:type="dxa"/>
        <w:tblLayout w:type="fixed"/>
        <w:tblCellMar>
          <w:left w:w="62" w:type="dxa"/>
          <w:right w:w="62" w:type="dxa"/>
        </w:tblCellMar>
        <w:tblLook w:val="0000"/>
      </w:tblPr>
      <w:tblGrid>
        <w:gridCol w:w="9497"/>
      </w:tblGrid>
      <w:tr w:rsidTr="000A6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05E" w:rsidP="000A605E">
            <w:pPr>
              <w:pStyle w:val="BodyText"/>
            </w:pPr>
            <w:r w:rsidRPr="000A605E">
              <w:t>Electricity generation</w:t>
            </w:r>
          </w:p>
        </w:tc>
      </w:tr>
    </w:tbl>
    <w:p w:rsidR="00000000" w:rsidRPr="000A605E" w:rsidP="000A605E">
      <w:pPr>
        <w:pStyle w:val="NoPaddingFontSize1"/>
      </w:pPr>
    </w:p>
    <w:p w:rsidR="00000000" w:rsidRPr="000A605E" w:rsidP="000A605E">
      <w:pPr>
        <w:pStyle w:val="AllowPageBreak"/>
      </w:pPr>
    </w:p>
    <w:p w:rsidR="00000000" w:rsidRPr="000A605E" w:rsidP="000A605E">
      <w:pPr>
        <w:pStyle w:val="Heading1"/>
      </w:pPr>
      <w:bookmarkStart w:id="6" w:name="O_1228437"/>
      <w:bookmarkEnd w:id="6"/>
      <w:r w:rsidRPr="000A605E">
        <w:t>Elem</w:t>
      </w:r>
      <w:r w:rsidRPr="000A605E">
        <w:t>ents and Performance Criteria</w:t>
      </w:r>
    </w:p>
    <w:tbl>
      <w:tblPr>
        <w:tblW w:w="9498" w:type="dxa"/>
        <w:tblLayout w:type="fixed"/>
        <w:tblCellMar>
          <w:left w:w="62" w:type="dxa"/>
          <w:right w:w="62" w:type="dxa"/>
        </w:tblCellMar>
        <w:tblLook w:val="0000"/>
      </w:tblPr>
      <w:tblGrid>
        <w:gridCol w:w="339"/>
        <w:gridCol w:w="2870"/>
        <w:gridCol w:w="697"/>
        <w:gridCol w:w="5592"/>
      </w:tblGrid>
      <w:tr w:rsidTr="000A605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A605E" w:rsidP="000A605E">
            <w:pPr>
              <w:pStyle w:val="BodyText"/>
            </w:pPr>
            <w:r w:rsidRPr="000A605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rPr>
                <w:rStyle w:val="SpecialBold"/>
              </w:rPr>
              <w:t>PERFORMANCE CRITERIA</w:t>
            </w:r>
          </w:p>
        </w:tc>
      </w:tr>
      <w:tr w:rsidTr="000A605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t>Performance criteria describe the performance needed to demonstrate achievement of the element.</w:t>
            </w:r>
          </w:p>
        </w:tc>
      </w:tr>
      <w:tr w:rsidTr="000A60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605E" w:rsidP="000A605E">
            <w:pPr>
              <w:pStyle w:val="BodyText"/>
            </w:pPr>
            <w:r w:rsidRPr="000A605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A605E" w:rsidP="000A605E">
            <w:pPr>
              <w:pStyle w:val="BodyText"/>
            </w:pPr>
            <w:r w:rsidRPr="000A605E">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t>Requirements including scope of work and assigned roles are identified and confirmed with appropriate personnel or by site inspection, in accordance with workplace procedures</w:t>
            </w:r>
          </w:p>
        </w:tc>
      </w:tr>
      <w:tr w:rsidTr="000A60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05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t>Work, Health and Safety (WHS/Occupational Health and Safety (OHS) regulations, legislative requirements, industry standards, codes of practice, manufacturers’ specifications, environmental obligations and workplace procedures are reviewed in preparation fo</w:t>
            </w:r>
            <w:r w:rsidRPr="000A605E">
              <w:t xml:space="preserve">r work </w:t>
            </w:r>
          </w:p>
        </w:tc>
      </w:tr>
      <w:tr w:rsidTr="000A60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05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t>Resources are obtained and inspected for compliance with job specification</w:t>
            </w:r>
          </w:p>
        </w:tc>
      </w:tr>
      <w:tr w:rsidTr="000A60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05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t xml:space="preserve">Relevant plans, drawings and manuals are selected and used, in accordance with workplace procedures </w:t>
            </w:r>
          </w:p>
        </w:tc>
      </w:tr>
      <w:tr w:rsidTr="000A60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05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t>Correct materials and components for work are   obt</w:t>
            </w:r>
            <w:r w:rsidRPr="000A605E">
              <w:t>ained and inspected, in accordance with workplace procedures, for compliance with job specification</w:t>
            </w:r>
          </w:p>
        </w:tc>
      </w:tr>
      <w:tr w:rsidTr="000A60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05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t xml:space="preserve">Work is planned, sequenced and prioritised, in accordance with workplace procedures </w:t>
            </w:r>
          </w:p>
        </w:tc>
      </w:tr>
      <w:tr w:rsidTr="000A60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05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t xml:space="preserve">Potential hazards are identified and risk control measures are selected and implemented, in accordance </w:t>
            </w:r>
            <w:r w:rsidRPr="000A605E">
              <w:t>with the workplace procedures</w:t>
            </w:r>
          </w:p>
        </w:tc>
      </w:tr>
      <w:tr w:rsidTr="000A60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05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t>Work area is prepared, in accordance with workplace procedures</w:t>
            </w:r>
          </w:p>
        </w:tc>
      </w:tr>
      <w:tr w:rsidTr="000A60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605E" w:rsidP="000A605E">
            <w:pPr>
              <w:pStyle w:val="BodyText"/>
            </w:pPr>
            <w:r w:rsidRPr="000A605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A605E" w:rsidP="000A605E">
            <w:pPr>
              <w:pStyle w:val="BodyText"/>
            </w:pPr>
            <w:r w:rsidRPr="000A605E">
              <w:rPr>
                <w:rStyle w:val="SpecialBold"/>
              </w:rPr>
              <w:t>Carry out electrical equipment</w:t>
            </w:r>
            <w:r w:rsidRPr="000A605E">
              <w:t xml:space="preserve"> </w:t>
            </w:r>
            <w:r w:rsidRPr="000A605E">
              <w:rPr>
                <w:rStyle w:val="SpecialBold"/>
              </w:rPr>
              <w:t>maintenance</w:t>
            </w:r>
          </w:p>
        </w:tc>
        <w:tc>
          <w:tcPr>
            <w:tcW w:w="697" w:type="dxa"/>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t xml:space="preserve">Isolations are confirmed, in accordance with workplace procedures </w:t>
            </w:r>
          </w:p>
        </w:tc>
      </w:tr>
      <w:tr w:rsidTr="000A60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05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t xml:space="preserve">Electrical equipment is maintained using appropriate plans, drawings and manuals, in accordance with workplace procedures </w:t>
            </w:r>
          </w:p>
        </w:tc>
      </w:tr>
      <w:tr w:rsidTr="000A60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05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t xml:space="preserve">Resets or adjustments to electrical equipment are carried out, in accordance with workplace procedures </w:t>
            </w:r>
          </w:p>
        </w:tc>
      </w:tr>
      <w:tr w:rsidTr="000A60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05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t xml:space="preserve">Maintenance on electrical equipment is completed, in accordance with workplace procedures, without damage or loss to other equipment </w:t>
            </w:r>
          </w:p>
        </w:tc>
      </w:tr>
      <w:tr w:rsidTr="000A60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05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t>Fina</w:t>
            </w:r>
            <w:r w:rsidRPr="000A605E">
              <w:t xml:space="preserve">l inspection of electrical equipment is carried out, in accordance with workplace procedures </w:t>
            </w:r>
          </w:p>
        </w:tc>
      </w:tr>
      <w:tr w:rsidTr="000A60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605E" w:rsidP="000A605E">
            <w:pPr>
              <w:pStyle w:val="BodyText"/>
            </w:pPr>
            <w:r w:rsidRPr="000A605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A605E" w:rsidP="000A605E">
            <w:pPr>
              <w:pStyle w:val="BodyText"/>
            </w:pPr>
            <w:r w:rsidRPr="000A605E">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t xml:space="preserve">Work is completed and appropriate personnel are notified, in accordance with workplace procedures </w:t>
            </w:r>
          </w:p>
        </w:tc>
      </w:tr>
      <w:tr w:rsidTr="000A60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05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t>Work area is cleared of waste, cleaned, restored and secured, in accordance with workplace procedures</w:t>
            </w:r>
          </w:p>
        </w:tc>
      </w:tr>
      <w:tr w:rsidTr="000A60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05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t>Tools and equipment are cleaned, maintained and stored, in accordance with workplace procedures</w:t>
            </w:r>
          </w:p>
        </w:tc>
      </w:tr>
      <w:tr w:rsidTr="000A60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05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605E">
            <w:pPr>
              <w:pStyle w:val="BodyText"/>
              <w:rPr>
                <w:lang w:val="en-NZ"/>
              </w:rPr>
            </w:pPr>
            <w:r w:rsidRPr="000A605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0A605E" w:rsidP="000A605E">
            <w:pPr>
              <w:pStyle w:val="BodyText"/>
            </w:pPr>
            <w:r w:rsidRPr="000A605E">
              <w:t>Work completion details are finalised, in ac</w:t>
            </w:r>
            <w:r w:rsidRPr="000A605E">
              <w:t>cordance with workplace procedures</w:t>
            </w:r>
          </w:p>
        </w:tc>
      </w:tr>
    </w:tbl>
    <w:p w:rsidR="00000000" w:rsidRPr="000A605E" w:rsidP="000A605E">
      <w:pPr>
        <w:pStyle w:val="NoPaddingFontSize1"/>
      </w:pPr>
    </w:p>
    <w:p w:rsidR="00000000" w:rsidRPr="000A605E" w:rsidP="000A605E">
      <w:pPr>
        <w:pStyle w:val="AllowPageBreak"/>
      </w:pPr>
    </w:p>
    <w:p w:rsidR="00000000" w:rsidRPr="000A605E" w:rsidP="000A605E">
      <w:pPr>
        <w:pStyle w:val="Heading1"/>
      </w:pPr>
      <w:bookmarkStart w:id="7" w:name="O_1228436"/>
      <w:bookmarkEnd w:id="7"/>
      <w:r w:rsidRPr="000A605E">
        <w:t>Foundation Skills</w:t>
      </w:r>
    </w:p>
    <w:tbl>
      <w:tblPr>
        <w:tblW w:w="9497" w:type="dxa"/>
        <w:tblLayout w:type="fixed"/>
        <w:tblCellMar>
          <w:left w:w="62" w:type="dxa"/>
          <w:right w:w="62" w:type="dxa"/>
        </w:tblCellMar>
        <w:tblLook w:val="0000"/>
      </w:tblPr>
      <w:tblGrid>
        <w:gridCol w:w="9497"/>
      </w:tblGrid>
      <w:tr w:rsidTr="000A6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05E" w:rsidP="000A605E">
            <w:pPr>
              <w:pStyle w:val="BodyText"/>
            </w:pPr>
            <w:r w:rsidRPr="000A605E">
              <w:t>Foundation skills essential to performance are explicit in the performance criteria of this unit of competency.</w:t>
            </w:r>
          </w:p>
        </w:tc>
      </w:tr>
    </w:tbl>
    <w:p w:rsidR="00000000" w:rsidRPr="000A605E" w:rsidP="000A605E">
      <w:pPr>
        <w:pStyle w:val="NoPaddingFontSize1"/>
      </w:pPr>
    </w:p>
    <w:p w:rsidR="00000000" w:rsidRPr="000A605E" w:rsidP="000A605E">
      <w:pPr>
        <w:pStyle w:val="AllowPageBreak"/>
      </w:pPr>
    </w:p>
    <w:p w:rsidR="00000000" w:rsidRPr="000A605E" w:rsidP="000A605E">
      <w:pPr>
        <w:pStyle w:val="Heading1"/>
      </w:pPr>
      <w:bookmarkStart w:id="8" w:name="O_1228435"/>
      <w:bookmarkEnd w:id="8"/>
      <w:r w:rsidRPr="000A605E">
        <w:t>Range of Conditions</w:t>
      </w:r>
    </w:p>
    <w:tbl>
      <w:tblPr>
        <w:tblW w:w="9497" w:type="dxa"/>
        <w:tblLayout w:type="fixed"/>
        <w:tblCellMar>
          <w:left w:w="62" w:type="dxa"/>
          <w:right w:w="62" w:type="dxa"/>
        </w:tblCellMar>
        <w:tblLook w:val="0000"/>
      </w:tblPr>
      <w:tblGrid>
        <w:gridCol w:w="9497"/>
      </w:tblGrid>
      <w:tr w:rsidTr="000A6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05E" w:rsidP="000A605E">
            <w:pPr>
              <w:pStyle w:val="BodyText"/>
            </w:pPr>
            <w:r w:rsidRPr="000A605E">
              <w:t>Range is restricted to essential operating conditions and any other variables essential to the work environment.</w:t>
            </w:r>
          </w:p>
          <w:p w:rsidR="00000000" w:rsidRPr="000A605E" w:rsidP="000A605E">
            <w:pPr>
              <w:pStyle w:val="BodyText"/>
            </w:pPr>
            <w:r w:rsidRPr="000A605E">
              <w:t>Non-essential conditions may be found in the Companion Volume Implementation Guide.</w:t>
            </w:r>
          </w:p>
        </w:tc>
      </w:tr>
    </w:tbl>
    <w:p w:rsidR="00000000" w:rsidRPr="000A605E" w:rsidP="000A605E">
      <w:pPr>
        <w:pStyle w:val="NoPaddingFontSize1"/>
      </w:pPr>
    </w:p>
    <w:p w:rsidR="00000000" w:rsidRPr="000A605E" w:rsidP="000A605E">
      <w:pPr>
        <w:pStyle w:val="AllowPageBreak"/>
      </w:pPr>
    </w:p>
    <w:p w:rsidR="00000000" w:rsidRPr="000A605E" w:rsidP="000A605E">
      <w:pPr>
        <w:pStyle w:val="Heading1"/>
      </w:pPr>
      <w:bookmarkStart w:id="9" w:name="O_1228434"/>
      <w:bookmarkEnd w:id="9"/>
      <w:r w:rsidRPr="000A605E">
        <w:t>Unit Mapping Information</w:t>
      </w:r>
    </w:p>
    <w:tbl>
      <w:tblPr>
        <w:tblW w:w="9497" w:type="dxa"/>
        <w:tblLayout w:type="fixed"/>
        <w:tblCellMar>
          <w:left w:w="62" w:type="dxa"/>
          <w:right w:w="62" w:type="dxa"/>
        </w:tblCellMar>
        <w:tblLook w:val="0000"/>
      </w:tblPr>
      <w:tblGrid>
        <w:gridCol w:w="9497"/>
      </w:tblGrid>
      <w:tr w:rsidTr="000A6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05E" w:rsidP="000A605E">
            <w:pPr>
              <w:pStyle w:val="BodyText"/>
            </w:pPr>
            <w:r w:rsidRPr="000A605E">
              <w:t>This unit rep</w:t>
            </w:r>
            <w:r w:rsidRPr="000A605E">
              <w:t>laces and is equivalent to UEPMNT346B Maintain electrical equipment.</w:t>
            </w:r>
          </w:p>
        </w:tc>
      </w:tr>
    </w:tbl>
    <w:p w:rsidR="00000000" w:rsidRPr="000A605E" w:rsidP="000A605E">
      <w:pPr>
        <w:pStyle w:val="NoPaddingFontSize1"/>
      </w:pPr>
    </w:p>
    <w:p w:rsidR="00000000" w:rsidRPr="000A605E" w:rsidP="000A605E">
      <w:pPr>
        <w:pStyle w:val="AllowPageBreak"/>
      </w:pPr>
    </w:p>
    <w:p w:rsidR="00000000" w:rsidRPr="000A605E" w:rsidP="000A605E">
      <w:pPr>
        <w:pStyle w:val="Heading1"/>
      </w:pPr>
      <w:bookmarkStart w:id="10" w:name="O_1228443"/>
      <w:bookmarkEnd w:id="10"/>
      <w:r w:rsidRPr="000A605E">
        <w:t>Links</w:t>
      </w:r>
    </w:p>
    <w:p w:rsidR="00000000" w:rsidRPr="000A605E" w:rsidP="00F7241C">
      <w:pPr>
        <w:pStyle w:val="BodyText"/>
      </w:pPr>
      <w:r w:rsidRPr="000A605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F56D7">
        <w:rPr>
          <w:rStyle w:val="Hyperlink"/>
        </w:rPr>
        <w:t>https://vetnet.gov.au/Pages/TrainingDocs.aspx?q=1715b9fa-e7bd-441c-bb8d-cf22c9c825a8</w:t>
      </w:r>
      <w:r>
        <w:fldChar w:fldCharType="end"/>
      </w:r>
    </w:p>
    <w:p w:rsidR="00000000" w:rsidRPr="000A605E" w:rsidP="000A605E"/>
    <w:sectPr w:rsidSect="000A60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0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05E" w:rsidRPr="00F7241C" w:rsidP="00F724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0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41C" w:rsidP="000A60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241C" w:rsidP="000A605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7241C" w:rsidP="000A60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0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4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605E" w:rsidRPr="00F7241C" w:rsidP="00F724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0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41C" w:rsidRPr="002D2AF8" w:rsidP="000A605E">
    <w:pPr>
      <w:pStyle w:val="Header"/>
      <w:framePr w:wrap="around"/>
    </w:pPr>
    <w:r>
      <w:fldChar w:fldCharType="begin"/>
    </w:r>
    <w:r>
      <w:instrText xml:space="preserve"> TITLE   \* MERGEFORMAT </w:instrText>
    </w:r>
    <w:r>
      <w:fldChar w:fldCharType="separate"/>
    </w:r>
    <w:r>
      <w:t>UEPMNT346 Maintain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F7241C" w:rsidP="000A60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0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605E"/>
    <w:pPr>
      <w:spacing w:before="360" w:after="60"/>
      <w:outlineLvl w:val="0"/>
    </w:pPr>
    <w:rPr>
      <w:sz w:val="32"/>
    </w:rPr>
  </w:style>
  <w:style w:type="paragraph" w:styleId="Heading2">
    <w:name w:val="heading 2"/>
    <w:basedOn w:val="HeadingBase"/>
    <w:next w:val="BodyText"/>
    <w:link w:val="Heading2Char"/>
    <w:qFormat/>
    <w:rsid w:val="000A605E"/>
    <w:pPr>
      <w:keepLines/>
      <w:spacing w:before="240" w:after="120"/>
      <w:outlineLvl w:val="1"/>
    </w:pPr>
    <w:rPr>
      <w:sz w:val="28"/>
      <w:szCs w:val="40"/>
    </w:rPr>
  </w:style>
  <w:style w:type="paragraph" w:styleId="Heading3">
    <w:name w:val="heading 3"/>
    <w:basedOn w:val="HeadingBase"/>
    <w:next w:val="BodyText"/>
    <w:link w:val="Heading3Char"/>
    <w:qFormat/>
    <w:rsid w:val="000A605E"/>
    <w:pPr>
      <w:spacing w:before="180" w:after="120"/>
      <w:outlineLvl w:val="2"/>
    </w:pPr>
    <w:rPr>
      <w:spacing w:val="-10"/>
      <w:kern w:val="32"/>
    </w:rPr>
  </w:style>
  <w:style w:type="paragraph" w:styleId="Heading4">
    <w:name w:val="heading 4"/>
    <w:basedOn w:val="HeadingBase"/>
    <w:next w:val="BodyText"/>
    <w:link w:val="Heading4Char"/>
    <w:qFormat/>
    <w:rsid w:val="000A605E"/>
    <w:pPr>
      <w:spacing w:before="160" w:after="120"/>
      <w:outlineLvl w:val="3"/>
    </w:pPr>
    <w:rPr>
      <w:sz w:val="22"/>
    </w:rPr>
  </w:style>
  <w:style w:type="paragraph" w:styleId="Heading5">
    <w:name w:val="heading 5"/>
    <w:basedOn w:val="HeadingBase"/>
    <w:next w:val="Normal"/>
    <w:link w:val="Heading5Char"/>
    <w:qFormat/>
    <w:rsid w:val="000A605E"/>
    <w:pPr>
      <w:spacing w:before="80"/>
      <w:outlineLvl w:val="4"/>
    </w:pPr>
    <w:rPr>
      <w:color w:val="918585"/>
      <w:sz w:val="20"/>
    </w:rPr>
  </w:style>
  <w:style w:type="paragraph" w:styleId="Heading6">
    <w:name w:val="heading 6"/>
    <w:basedOn w:val="HeadingBase"/>
    <w:next w:val="Normal"/>
    <w:link w:val="Heading6Char"/>
    <w:qFormat/>
    <w:rsid w:val="000A605E"/>
    <w:pPr>
      <w:spacing w:before="60"/>
      <w:outlineLvl w:val="5"/>
    </w:pPr>
    <w:rPr>
      <w:color w:val="918585"/>
      <w:sz w:val="20"/>
    </w:rPr>
  </w:style>
  <w:style w:type="paragraph" w:styleId="Heading7">
    <w:name w:val="heading 7"/>
    <w:basedOn w:val="Normal"/>
    <w:next w:val="Normal"/>
    <w:link w:val="Heading7Char"/>
    <w:qFormat/>
    <w:rsid w:val="000A605E"/>
    <w:pPr>
      <w:ind w:left="720"/>
      <w:outlineLvl w:val="6"/>
    </w:pPr>
    <w:rPr>
      <w:i/>
    </w:rPr>
  </w:style>
  <w:style w:type="paragraph" w:styleId="Heading8">
    <w:name w:val="heading 8"/>
    <w:basedOn w:val="Normal"/>
    <w:next w:val="Normal"/>
    <w:link w:val="Heading8Char"/>
    <w:qFormat/>
    <w:rsid w:val="000A605E"/>
    <w:pPr>
      <w:ind w:left="720"/>
      <w:outlineLvl w:val="7"/>
    </w:pPr>
    <w:rPr>
      <w:i/>
    </w:rPr>
  </w:style>
  <w:style w:type="paragraph" w:styleId="Heading9">
    <w:name w:val="heading 9"/>
    <w:basedOn w:val="Normal"/>
    <w:next w:val="Normal"/>
    <w:link w:val="Heading9Char"/>
    <w:qFormat/>
    <w:rsid w:val="000A605E"/>
    <w:pPr>
      <w:ind w:left="720"/>
      <w:outlineLvl w:val="8"/>
    </w:pPr>
    <w:rPr>
      <w:i/>
    </w:rPr>
  </w:style>
  <w:style w:type="character" w:default="1" w:styleId="DefaultParagraphFont">
    <w:name w:val="Default Paragraph Font"/>
    <w:uiPriority w:val="1"/>
    <w:unhideWhenUsed/>
    <w:rsid w:val="000A60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605E"/>
  </w:style>
  <w:style w:type="character" w:customStyle="1" w:styleId="Heading1Char">
    <w:name w:val="Heading 1 Char"/>
    <w:basedOn w:val="DefaultParagraphFont"/>
    <w:link w:val="Heading1"/>
    <w:rsid w:val="000A605E"/>
    <w:rPr>
      <w:rFonts w:ascii="Times New Roman" w:eastAsia="Times New Roman" w:hAnsi="Times New Roman" w:cs="Times New Roman"/>
      <w:b/>
      <w:sz w:val="32"/>
      <w:szCs w:val="20"/>
      <w:lang w:eastAsia="en-US"/>
    </w:rPr>
  </w:style>
  <w:style w:type="paragraph" w:styleId="BodyText">
    <w:name w:val="Body Text"/>
    <w:basedOn w:val="Normal"/>
    <w:link w:val="BodyTextChar"/>
    <w:rsid w:val="000A60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605E"/>
    <w:rPr>
      <w:rFonts w:ascii="Times New Roman" w:eastAsia="Times New Roman" w:hAnsi="Times New Roman" w:cs="Times New Roman"/>
      <w:sz w:val="24"/>
      <w:lang w:eastAsia="en-US"/>
    </w:rPr>
  </w:style>
  <w:style w:type="character" w:customStyle="1" w:styleId="SpecialBold">
    <w:name w:val="Special Bold"/>
    <w:basedOn w:val="DefaultParagraphFont"/>
    <w:rsid w:val="000A605E"/>
    <w:rPr>
      <w:b/>
      <w:spacing w:val="0"/>
    </w:rPr>
  </w:style>
  <w:style w:type="paragraph" w:customStyle="1" w:styleId="SuperHeading">
    <w:name w:val="SuperHeading"/>
    <w:basedOn w:val="Normal"/>
    <w:rsid w:val="000A605E"/>
    <w:pPr>
      <w:spacing w:before="240" w:after="120"/>
      <w:outlineLvl w:val="0"/>
    </w:pPr>
    <w:rPr>
      <w:rFonts w:ascii="Times New Roman" w:hAnsi="Times New Roman"/>
      <w:b/>
      <w:sz w:val="32"/>
    </w:rPr>
  </w:style>
  <w:style w:type="paragraph" w:customStyle="1" w:styleId="AllowPageBreak">
    <w:name w:val="AllowPageBreak"/>
    <w:rsid w:val="000A605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A60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60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60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60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60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60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60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605E"/>
    <w:rPr>
      <w:rFonts w:ascii="Courier New" w:eastAsia="Times New Roman" w:hAnsi="Courier New" w:cs="Times New Roman"/>
      <w:i/>
      <w:szCs w:val="20"/>
      <w:lang w:eastAsia="en-US"/>
    </w:rPr>
  </w:style>
  <w:style w:type="paragraph" w:customStyle="1" w:styleId="HeadingBase">
    <w:name w:val="Heading Base"/>
    <w:rsid w:val="000A60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605E"/>
    <w:pPr>
      <w:tabs>
        <w:tab w:val="right" w:leader="dot" w:pos="9072"/>
      </w:tabs>
      <w:ind w:left="567"/>
    </w:pPr>
    <w:rPr>
      <w:szCs w:val="22"/>
    </w:rPr>
  </w:style>
  <w:style w:type="paragraph" w:customStyle="1" w:styleId="TOCBase">
    <w:name w:val="TOC Base"/>
    <w:rsid w:val="000A60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605E"/>
    <w:pPr>
      <w:tabs>
        <w:tab w:val="right" w:leader="dot" w:pos="9072"/>
      </w:tabs>
      <w:spacing w:before="40" w:after="40"/>
      <w:ind w:left="284"/>
    </w:pPr>
    <w:rPr>
      <w:rFonts w:ascii="Times New Roman" w:hAnsi="Times New Roman"/>
    </w:rPr>
  </w:style>
  <w:style w:type="paragraph" w:styleId="TOC1">
    <w:name w:val="toc 1"/>
    <w:basedOn w:val="TOCBase"/>
    <w:next w:val="Normal"/>
    <w:rsid w:val="000A60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60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605E"/>
    <w:rPr>
      <w:rFonts w:ascii="Times New Roman" w:eastAsia="Times New Roman" w:hAnsi="Times New Roman" w:cs="Times New Roman"/>
      <w:sz w:val="16"/>
      <w:lang w:eastAsia="en-US"/>
    </w:rPr>
  </w:style>
  <w:style w:type="paragraph" w:styleId="Title">
    <w:name w:val="Title"/>
    <w:basedOn w:val="HeadingBase"/>
    <w:link w:val="TitleChar"/>
    <w:qFormat/>
    <w:rsid w:val="000A605E"/>
    <w:pPr>
      <w:spacing w:before="5040"/>
      <w:jc w:val="center"/>
    </w:pPr>
    <w:rPr>
      <w:sz w:val="48"/>
      <w:szCs w:val="72"/>
      <w:lang w:val="en-US"/>
    </w:rPr>
  </w:style>
  <w:style w:type="character" w:customStyle="1" w:styleId="TitleChar">
    <w:name w:val="Title Char"/>
    <w:basedOn w:val="DefaultParagraphFont"/>
    <w:link w:val="Title"/>
    <w:rsid w:val="000A60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605E"/>
    <w:pPr>
      <w:tabs>
        <w:tab w:val="left" w:pos="3600"/>
        <w:tab w:val="left" w:pos="3958"/>
      </w:tabs>
    </w:pPr>
  </w:style>
  <w:style w:type="paragraph" w:styleId="List">
    <w:name w:val="List"/>
    <w:basedOn w:val="BodyText"/>
    <w:next w:val="BodyText"/>
    <w:rsid w:val="000A605E"/>
    <w:pPr>
      <w:tabs>
        <w:tab w:val="left" w:pos="340"/>
      </w:tabs>
      <w:spacing w:before="60" w:after="60"/>
      <w:ind w:left="340" w:hanging="340"/>
    </w:pPr>
  </w:style>
  <w:style w:type="paragraph" w:styleId="ListBullet">
    <w:name w:val="List Bullet"/>
    <w:basedOn w:val="List"/>
    <w:rsid w:val="000A605E"/>
    <w:pPr>
      <w:numPr>
        <w:numId w:val="10"/>
      </w:numPr>
      <w:tabs>
        <w:tab w:val="clear" w:pos="340"/>
      </w:tabs>
      <w:spacing w:before="40" w:after="40"/>
    </w:pPr>
  </w:style>
  <w:style w:type="paragraph" w:customStyle="1" w:styleId="Note">
    <w:name w:val="Note"/>
    <w:basedOn w:val="BodyText"/>
    <w:rsid w:val="000A60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605E"/>
    <w:pPr>
      <w:framePr w:wrap="auto" w:hAnchor="text" w:y="6049"/>
    </w:pPr>
    <w:rPr>
      <w:color w:val="000000"/>
      <w:sz w:val="40"/>
    </w:rPr>
  </w:style>
  <w:style w:type="paragraph" w:customStyle="1" w:styleId="TOCTitle">
    <w:name w:val="TOCTitle"/>
    <w:basedOn w:val="Heading1"/>
    <w:rsid w:val="000A605E"/>
    <w:pPr>
      <w:spacing w:after="240"/>
      <w:jc w:val="center"/>
      <w:outlineLvl w:val="9"/>
    </w:pPr>
    <w:rPr>
      <w:caps/>
    </w:rPr>
  </w:style>
  <w:style w:type="paragraph" w:customStyle="1" w:styleId="Version">
    <w:name w:val="Version"/>
    <w:rsid w:val="000A60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605E"/>
    <w:pPr>
      <w:numPr>
        <w:numId w:val="11"/>
      </w:numPr>
      <w:tabs>
        <w:tab w:val="clear" w:pos="680"/>
      </w:tabs>
    </w:pPr>
  </w:style>
  <w:style w:type="paragraph" w:styleId="Index1">
    <w:name w:val="index 1"/>
    <w:basedOn w:val="Normal"/>
    <w:next w:val="Normal"/>
    <w:semiHidden/>
    <w:rsid w:val="000A605E"/>
    <w:pPr>
      <w:keepNext w:val="0"/>
      <w:tabs>
        <w:tab w:val="right" w:pos="4176"/>
      </w:tabs>
      <w:ind w:left="198" w:hanging="198"/>
    </w:pPr>
    <w:rPr>
      <w:rFonts w:ascii="Garamond" w:hAnsi="Garamond"/>
    </w:rPr>
  </w:style>
  <w:style w:type="paragraph" w:styleId="IndexHeading">
    <w:name w:val="index heading"/>
    <w:basedOn w:val="Normal"/>
    <w:next w:val="Index1"/>
    <w:semiHidden/>
    <w:rsid w:val="000A605E"/>
    <w:pPr>
      <w:spacing w:before="120" w:after="120"/>
    </w:pPr>
    <w:rPr>
      <w:rFonts w:ascii="Arial" w:hAnsi="Arial"/>
      <w:b/>
      <w:color w:val="918585"/>
      <w:sz w:val="24"/>
    </w:rPr>
  </w:style>
  <w:style w:type="paragraph" w:styleId="Header">
    <w:name w:val="header"/>
    <w:basedOn w:val="Normal"/>
    <w:link w:val="HeaderChar"/>
    <w:rsid w:val="000A60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605E"/>
    <w:rPr>
      <w:rFonts w:ascii="Times New Roman" w:eastAsia="Times New Roman" w:hAnsi="Times New Roman" w:cs="Times New Roman"/>
      <w:sz w:val="16"/>
      <w:szCs w:val="20"/>
      <w:lang w:val="en-GB" w:eastAsia="en-US"/>
    </w:rPr>
  </w:style>
  <w:style w:type="paragraph" w:customStyle="1" w:styleId="Chapter">
    <w:name w:val="Chapter"/>
    <w:basedOn w:val="Normal"/>
    <w:rsid w:val="000A605E"/>
    <w:pPr>
      <w:spacing w:before="240"/>
    </w:pPr>
    <w:rPr>
      <w:rFonts w:ascii="Times New Roman" w:hAnsi="Times New Roman"/>
      <w:smallCaps/>
      <w:spacing w:val="80"/>
      <w:sz w:val="28"/>
    </w:rPr>
  </w:style>
  <w:style w:type="paragraph" w:customStyle="1" w:styleId="InChapter">
    <w:name w:val="InChapter"/>
    <w:basedOn w:val="Heading3"/>
    <w:rsid w:val="000A605E"/>
    <w:pPr>
      <w:spacing w:after="240"/>
      <w:outlineLvl w:val="9"/>
    </w:pPr>
    <w:rPr>
      <w:noProof/>
    </w:rPr>
  </w:style>
  <w:style w:type="paragraph" w:styleId="Index2">
    <w:name w:val="index 2"/>
    <w:basedOn w:val="Normal"/>
    <w:next w:val="Normal"/>
    <w:semiHidden/>
    <w:rsid w:val="000A605E"/>
    <w:pPr>
      <w:tabs>
        <w:tab w:val="right" w:pos="4176"/>
      </w:tabs>
      <w:ind w:left="568" w:hanging="284"/>
    </w:pPr>
    <w:rPr>
      <w:rFonts w:ascii="Garamond" w:hAnsi="Garamond"/>
    </w:rPr>
  </w:style>
  <w:style w:type="paragraph" w:customStyle="1" w:styleId="Byline">
    <w:name w:val="Byline"/>
    <w:rsid w:val="000A60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605E"/>
    <w:pPr>
      <w:tabs>
        <w:tab w:val="clear" w:pos="3600"/>
        <w:tab w:val="clear" w:pos="3958"/>
      </w:tabs>
      <w:jc w:val="right"/>
    </w:pPr>
  </w:style>
  <w:style w:type="character" w:styleId="Emphasis">
    <w:name w:val="Emphasis"/>
    <w:basedOn w:val="DefaultParagraphFont"/>
    <w:qFormat/>
    <w:rsid w:val="000A605E"/>
    <w:rPr>
      <w:i/>
    </w:rPr>
  </w:style>
  <w:style w:type="paragraph" w:styleId="Caption">
    <w:name w:val="caption"/>
    <w:basedOn w:val="BodyText"/>
    <w:next w:val="Normal"/>
    <w:qFormat/>
    <w:rsid w:val="000A605E"/>
    <w:pPr>
      <w:framePr w:w="2268" w:hSpace="181" w:vSpace="181" w:wrap="around" w:vAnchor="text" w:hAnchor="page" w:x="1135" w:y="285" w:anchorLock="1"/>
    </w:pPr>
    <w:rPr>
      <w:i/>
    </w:rPr>
  </w:style>
  <w:style w:type="paragraph" w:customStyle="1" w:styleId="MiniTOCTitle">
    <w:name w:val="MiniTOCTitle"/>
    <w:basedOn w:val="Heading4"/>
    <w:rsid w:val="000A605E"/>
    <w:pPr>
      <w:spacing w:before="240"/>
      <w:outlineLvl w:val="9"/>
    </w:pPr>
    <w:rPr>
      <w:noProof/>
      <w:sz w:val="24"/>
    </w:rPr>
  </w:style>
  <w:style w:type="paragraph" w:customStyle="1" w:styleId="MiniTOCItem">
    <w:name w:val="MiniTOCItem"/>
    <w:basedOn w:val="ListBullet"/>
    <w:rsid w:val="000A605E"/>
    <w:pPr>
      <w:numPr>
        <w:numId w:val="0"/>
      </w:numPr>
      <w:tabs>
        <w:tab w:val="right" w:leader="dot" w:pos="6521"/>
      </w:tabs>
      <w:spacing w:before="0" w:after="0"/>
    </w:pPr>
  </w:style>
  <w:style w:type="paragraph" w:customStyle="1" w:styleId="TOFTitle">
    <w:name w:val="TOFTitle"/>
    <w:basedOn w:val="TOCTitle"/>
    <w:rsid w:val="000A605E"/>
  </w:style>
  <w:style w:type="paragraph" w:styleId="TableofFigures">
    <w:name w:val="table of figures"/>
    <w:basedOn w:val="Normal"/>
    <w:next w:val="Normal"/>
    <w:semiHidden/>
    <w:rsid w:val="000A605E"/>
    <w:pPr>
      <w:tabs>
        <w:tab w:val="right" w:leader="dot" w:pos="9072"/>
      </w:tabs>
      <w:ind w:left="970" w:hanging="403"/>
    </w:pPr>
    <w:rPr>
      <w:rFonts w:ascii="Times New Roman" w:hAnsi="Times New Roman"/>
      <w:b/>
    </w:rPr>
  </w:style>
  <w:style w:type="paragraph" w:styleId="ListNumber">
    <w:name w:val="List Number"/>
    <w:basedOn w:val="List"/>
    <w:rsid w:val="000A605E"/>
    <w:pPr>
      <w:numPr>
        <w:numId w:val="13"/>
      </w:numPr>
      <w:tabs>
        <w:tab w:val="clear" w:pos="340"/>
      </w:tabs>
    </w:pPr>
  </w:style>
  <w:style w:type="character" w:customStyle="1" w:styleId="WingdingSymbols">
    <w:name w:val="Wingding Symbols"/>
    <w:rsid w:val="000A605E"/>
    <w:rPr>
      <w:rFonts w:ascii="Wingdings" w:hAnsi="Wingdings"/>
    </w:rPr>
  </w:style>
  <w:style w:type="paragraph" w:customStyle="1" w:styleId="TableHeading">
    <w:name w:val="Table Heading"/>
    <w:basedOn w:val="HeadingBase"/>
    <w:rsid w:val="000A605E"/>
    <w:pPr>
      <w:keepLines/>
      <w:pBdr>
        <w:bottom w:val="single" w:sz="6" w:space="1" w:color="918585"/>
      </w:pBdr>
      <w:spacing w:before="240"/>
    </w:pPr>
  </w:style>
  <w:style w:type="character" w:customStyle="1" w:styleId="HotSpot">
    <w:name w:val="HotSpot"/>
    <w:rsid w:val="000A605E"/>
    <w:rPr>
      <w:color w:val="0033CC"/>
      <w:u w:val="none"/>
    </w:rPr>
  </w:style>
  <w:style w:type="paragraph" w:customStyle="1" w:styleId="BodyTextRight">
    <w:name w:val="Body Text Right"/>
    <w:basedOn w:val="BodyText"/>
    <w:rsid w:val="000A605E"/>
    <w:pPr>
      <w:spacing w:before="0" w:after="0"/>
      <w:jc w:val="right"/>
    </w:pPr>
  </w:style>
  <w:style w:type="paragraph" w:styleId="Index3">
    <w:name w:val="index 3"/>
    <w:basedOn w:val="ListNumber2"/>
    <w:next w:val="Normal"/>
    <w:semiHidden/>
    <w:rsid w:val="000A605E"/>
    <w:pPr>
      <w:numPr>
        <w:numId w:val="0"/>
      </w:numPr>
      <w:tabs>
        <w:tab w:val="right" w:leader="dot" w:pos="4176"/>
      </w:tabs>
    </w:pPr>
  </w:style>
  <w:style w:type="paragraph" w:styleId="ListNumber2">
    <w:name w:val="List Number 2"/>
    <w:basedOn w:val="List2"/>
    <w:rsid w:val="000A605E"/>
    <w:pPr>
      <w:numPr>
        <w:numId w:val="8"/>
      </w:numPr>
      <w:tabs>
        <w:tab w:val="clear" w:pos="1060"/>
      </w:tabs>
    </w:pPr>
  </w:style>
  <w:style w:type="paragraph" w:customStyle="1" w:styleId="MarginNote">
    <w:name w:val="Margin Note"/>
    <w:basedOn w:val="BodyText"/>
    <w:rsid w:val="000A60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60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60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605E"/>
    <w:rPr>
      <w:sz w:val="32"/>
    </w:rPr>
  </w:style>
  <w:style w:type="paragraph" w:customStyle="1" w:styleId="HeadingProcedure">
    <w:name w:val="Heading Procedure"/>
    <w:basedOn w:val="HeadingBase"/>
    <w:next w:val="Normal"/>
    <w:rsid w:val="000A605E"/>
    <w:pPr>
      <w:tabs>
        <w:tab w:val="left" w:pos="0"/>
      </w:tabs>
      <w:spacing w:before="120" w:after="60"/>
    </w:pPr>
    <w:rPr>
      <w:i/>
      <w:color w:val="918585"/>
      <w:sz w:val="22"/>
    </w:rPr>
  </w:style>
  <w:style w:type="paragraph" w:customStyle="1" w:styleId="TableBodyText">
    <w:name w:val="Table Body Text"/>
    <w:basedOn w:val="BodyText"/>
    <w:rsid w:val="000A605E"/>
    <w:pPr>
      <w:spacing w:before="60" w:after="60"/>
    </w:pPr>
  </w:style>
  <w:style w:type="paragraph" w:styleId="ListContinue">
    <w:name w:val="List Continue"/>
    <w:basedOn w:val="List"/>
    <w:rsid w:val="000A605E"/>
    <w:pPr>
      <w:ind w:firstLine="0"/>
    </w:pPr>
  </w:style>
  <w:style w:type="paragraph" w:customStyle="1" w:styleId="ListNote">
    <w:name w:val="List Note"/>
    <w:basedOn w:val="List"/>
    <w:rsid w:val="000A605E"/>
    <w:pPr>
      <w:pBdr>
        <w:top w:val="single" w:sz="6" w:space="2" w:color="918585"/>
        <w:bottom w:val="single" w:sz="6" w:space="2" w:color="918585"/>
      </w:pBdr>
      <w:tabs>
        <w:tab w:val="left" w:pos="1021"/>
      </w:tabs>
      <w:ind w:firstLine="0"/>
    </w:pPr>
  </w:style>
  <w:style w:type="paragraph" w:customStyle="1" w:styleId="Warning">
    <w:name w:val="Warning"/>
    <w:basedOn w:val="BodyText"/>
    <w:rsid w:val="000A605E"/>
    <w:pPr>
      <w:shd w:val="clear" w:color="auto" w:fill="D9D9D9"/>
      <w:tabs>
        <w:tab w:val="left" w:pos="992"/>
      </w:tabs>
      <w:ind w:left="119" w:right="119"/>
    </w:pPr>
    <w:rPr>
      <w:sz w:val="20"/>
    </w:rPr>
  </w:style>
  <w:style w:type="paragraph" w:customStyle="1" w:styleId="MarginIcons">
    <w:name w:val="Margin Icons"/>
    <w:basedOn w:val="BodyText"/>
    <w:rsid w:val="000A60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605E"/>
    <w:rPr>
      <w:rFonts w:ascii="Courier New" w:hAnsi="Courier New"/>
    </w:rPr>
  </w:style>
  <w:style w:type="paragraph" w:customStyle="1" w:styleId="NoteBullet">
    <w:name w:val="Note Bullet"/>
    <w:basedOn w:val="Note"/>
    <w:rsid w:val="000A605E"/>
    <w:pPr>
      <w:tabs>
        <w:tab w:val="clear" w:pos="680"/>
      </w:tabs>
      <w:spacing w:before="60" w:after="60"/>
    </w:pPr>
  </w:style>
  <w:style w:type="paragraph" w:customStyle="1" w:styleId="SubHeading2">
    <w:name w:val="SubHeading2"/>
    <w:basedOn w:val="HeadingBase"/>
    <w:rsid w:val="000A605E"/>
    <w:pPr>
      <w:spacing w:before="240" w:after="60"/>
    </w:pPr>
    <w:rPr>
      <w:sz w:val="20"/>
    </w:rPr>
  </w:style>
  <w:style w:type="paragraph" w:customStyle="1" w:styleId="SubHeading1">
    <w:name w:val="SubHeading1"/>
    <w:basedOn w:val="HeadingBase"/>
    <w:rsid w:val="000A605E"/>
    <w:pPr>
      <w:spacing w:before="240" w:after="60"/>
    </w:pPr>
    <w:rPr>
      <w:color w:val="918585"/>
      <w:sz w:val="22"/>
    </w:rPr>
  </w:style>
  <w:style w:type="paragraph" w:customStyle="1" w:styleId="SideHeading">
    <w:name w:val="Side Heading"/>
    <w:basedOn w:val="HeadingBase"/>
    <w:rsid w:val="000A60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605E"/>
    <w:pPr>
      <w:numPr>
        <w:numId w:val="9"/>
      </w:numPr>
    </w:pPr>
  </w:style>
  <w:style w:type="paragraph" w:styleId="PlainText">
    <w:name w:val="Plain Text"/>
    <w:basedOn w:val="Normal"/>
    <w:link w:val="PlainTextChar"/>
    <w:rsid w:val="000A605E"/>
    <w:rPr>
      <w:sz w:val="20"/>
    </w:rPr>
  </w:style>
  <w:style w:type="character" w:customStyle="1" w:styleId="PlainTextChar">
    <w:name w:val="Plain Text Char"/>
    <w:basedOn w:val="DefaultParagraphFont"/>
    <w:link w:val="PlainText"/>
    <w:rsid w:val="000A605E"/>
    <w:rPr>
      <w:rFonts w:ascii="Courier New" w:eastAsia="Times New Roman" w:hAnsi="Courier New" w:cs="Times New Roman"/>
      <w:sz w:val="20"/>
      <w:szCs w:val="20"/>
      <w:lang w:eastAsia="en-US"/>
    </w:rPr>
  </w:style>
  <w:style w:type="character" w:customStyle="1" w:styleId="MenuOption">
    <w:name w:val="Menu Option"/>
    <w:basedOn w:val="DefaultParagraphFont"/>
    <w:rsid w:val="000A605E"/>
    <w:rPr>
      <w:b/>
      <w:smallCaps/>
    </w:rPr>
  </w:style>
  <w:style w:type="paragraph" w:customStyle="1" w:styleId="TableListNumber">
    <w:name w:val="Table List Number"/>
    <w:basedOn w:val="ListNumber"/>
    <w:rsid w:val="000A605E"/>
    <w:pPr>
      <w:numPr>
        <w:numId w:val="0"/>
      </w:numPr>
    </w:pPr>
  </w:style>
  <w:style w:type="paragraph" w:styleId="TOC4">
    <w:name w:val="toc 4"/>
    <w:basedOn w:val="TOCBase"/>
    <w:next w:val="Normal"/>
    <w:semiHidden/>
    <w:rsid w:val="000A605E"/>
    <w:pPr>
      <w:tabs>
        <w:tab w:val="right" w:leader="dot" w:pos="9071"/>
      </w:tabs>
      <w:ind w:left="1701"/>
    </w:pPr>
  </w:style>
  <w:style w:type="paragraph" w:customStyle="1" w:styleId="ListAlpha">
    <w:name w:val="List Alpha"/>
    <w:basedOn w:val="List"/>
    <w:rsid w:val="000A605E"/>
    <w:pPr>
      <w:numPr>
        <w:numId w:val="7"/>
      </w:numPr>
    </w:pPr>
  </w:style>
  <w:style w:type="paragraph" w:customStyle="1" w:styleId="ListAlpha2">
    <w:name w:val="List Alpha 2"/>
    <w:basedOn w:val="List2"/>
    <w:rsid w:val="000A605E"/>
    <w:pPr>
      <w:numPr>
        <w:numId w:val="6"/>
      </w:numPr>
    </w:pPr>
  </w:style>
  <w:style w:type="paragraph" w:styleId="List2">
    <w:name w:val="List 2"/>
    <w:basedOn w:val="BodyText"/>
    <w:rsid w:val="000A605E"/>
    <w:pPr>
      <w:tabs>
        <w:tab w:val="left" w:pos="680"/>
      </w:tabs>
      <w:spacing w:before="60" w:after="60"/>
      <w:ind w:left="680" w:hanging="340"/>
    </w:pPr>
  </w:style>
  <w:style w:type="paragraph" w:styleId="List3">
    <w:name w:val="List 3"/>
    <w:basedOn w:val="BodyText"/>
    <w:rsid w:val="000A605E"/>
    <w:pPr>
      <w:tabs>
        <w:tab w:val="left" w:pos="1021"/>
      </w:tabs>
      <w:spacing w:before="60" w:after="60"/>
      <w:ind w:left="1020" w:hanging="340"/>
    </w:pPr>
  </w:style>
  <w:style w:type="paragraph" w:styleId="List4">
    <w:name w:val="List 4"/>
    <w:basedOn w:val="BodyText"/>
    <w:rsid w:val="000A605E"/>
    <w:pPr>
      <w:tabs>
        <w:tab w:val="left" w:pos="1361"/>
      </w:tabs>
      <w:spacing w:before="60" w:after="60"/>
      <w:ind w:left="1361" w:hanging="340"/>
    </w:pPr>
  </w:style>
  <w:style w:type="paragraph" w:styleId="List5">
    <w:name w:val="List 5"/>
    <w:basedOn w:val="BodyText"/>
    <w:rsid w:val="000A605E"/>
    <w:pPr>
      <w:tabs>
        <w:tab w:val="left" w:pos="1701"/>
      </w:tabs>
      <w:spacing w:before="60" w:after="60"/>
      <w:ind w:left="1701" w:hanging="340"/>
    </w:pPr>
  </w:style>
  <w:style w:type="paragraph" w:styleId="ListBullet3">
    <w:name w:val="List Bullet 3"/>
    <w:basedOn w:val="List3"/>
    <w:rsid w:val="000A605E"/>
    <w:pPr>
      <w:numPr>
        <w:numId w:val="12"/>
      </w:numPr>
      <w:tabs>
        <w:tab w:val="clear" w:pos="1021"/>
      </w:tabs>
      <w:ind w:left="1037" w:hanging="357"/>
    </w:pPr>
  </w:style>
  <w:style w:type="paragraph" w:styleId="ListBullet4">
    <w:name w:val="List Bullet 4"/>
    <w:basedOn w:val="List4"/>
    <w:rsid w:val="000A605E"/>
    <w:pPr>
      <w:numPr>
        <w:numId w:val="1"/>
      </w:numPr>
      <w:tabs>
        <w:tab w:val="clear" w:pos="1361"/>
      </w:tabs>
    </w:pPr>
  </w:style>
  <w:style w:type="paragraph" w:styleId="ListBullet5">
    <w:name w:val="List Bullet 5"/>
    <w:basedOn w:val="List5"/>
    <w:rsid w:val="000A605E"/>
    <w:pPr>
      <w:numPr>
        <w:numId w:val="2"/>
      </w:numPr>
    </w:pPr>
  </w:style>
  <w:style w:type="paragraph" w:styleId="ListContinue2">
    <w:name w:val="List Continue 2"/>
    <w:basedOn w:val="List2"/>
    <w:rsid w:val="000A605E"/>
    <w:pPr>
      <w:ind w:firstLine="0"/>
    </w:pPr>
  </w:style>
  <w:style w:type="paragraph" w:styleId="ListContinue3">
    <w:name w:val="List Continue 3"/>
    <w:basedOn w:val="List3"/>
    <w:rsid w:val="000A605E"/>
    <w:pPr>
      <w:ind w:left="1021" w:firstLine="0"/>
    </w:pPr>
  </w:style>
  <w:style w:type="paragraph" w:styleId="ListContinue4">
    <w:name w:val="List Continue 4"/>
    <w:basedOn w:val="List4"/>
    <w:rsid w:val="000A605E"/>
    <w:pPr>
      <w:ind w:firstLine="0"/>
    </w:pPr>
  </w:style>
  <w:style w:type="paragraph" w:styleId="ListContinue5">
    <w:name w:val="List Continue 5"/>
    <w:basedOn w:val="List5"/>
    <w:rsid w:val="000A605E"/>
    <w:pPr>
      <w:ind w:firstLine="0"/>
    </w:pPr>
  </w:style>
  <w:style w:type="paragraph" w:styleId="ListNumber3">
    <w:name w:val="List Number 3"/>
    <w:basedOn w:val="List3"/>
    <w:rsid w:val="000A605E"/>
    <w:pPr>
      <w:numPr>
        <w:numId w:val="3"/>
      </w:numPr>
    </w:pPr>
  </w:style>
  <w:style w:type="paragraph" w:styleId="ListNumber4">
    <w:name w:val="List Number 4"/>
    <w:basedOn w:val="List4"/>
    <w:rsid w:val="000A605E"/>
    <w:pPr>
      <w:numPr>
        <w:numId w:val="4"/>
      </w:numPr>
    </w:pPr>
  </w:style>
  <w:style w:type="paragraph" w:styleId="ListNumber5">
    <w:name w:val="List Number 5"/>
    <w:basedOn w:val="List5"/>
    <w:rsid w:val="000A605E"/>
    <w:pPr>
      <w:numPr>
        <w:numId w:val="5"/>
      </w:numPr>
    </w:pPr>
  </w:style>
  <w:style w:type="paragraph" w:styleId="BlockText">
    <w:name w:val="Block Text"/>
    <w:basedOn w:val="Normal"/>
    <w:rsid w:val="000A605E"/>
    <w:pPr>
      <w:spacing w:after="120"/>
      <w:ind w:left="1440" w:right="1440"/>
    </w:pPr>
  </w:style>
  <w:style w:type="character" w:customStyle="1" w:styleId="Subscript">
    <w:name w:val="Subscript"/>
    <w:basedOn w:val="DefaultParagraphFont"/>
    <w:rsid w:val="000A605E"/>
    <w:rPr>
      <w:sz w:val="16"/>
      <w:vertAlign w:val="subscript"/>
    </w:rPr>
  </w:style>
  <w:style w:type="character" w:customStyle="1" w:styleId="Superscript">
    <w:name w:val="Superscript"/>
    <w:basedOn w:val="DefaultParagraphFont"/>
    <w:rsid w:val="000A605E"/>
    <w:rPr>
      <w:sz w:val="16"/>
      <w:vertAlign w:val="superscript"/>
    </w:rPr>
  </w:style>
  <w:style w:type="character" w:customStyle="1" w:styleId="Symbols">
    <w:name w:val="Symbols"/>
    <w:basedOn w:val="DefaultParagraphFont"/>
    <w:rsid w:val="000A605E"/>
    <w:rPr>
      <w:rFonts w:ascii="Symbol" w:hAnsi="Symbol"/>
    </w:rPr>
  </w:style>
  <w:style w:type="character" w:customStyle="1" w:styleId="MenuOptions">
    <w:name w:val="Menu Options"/>
    <w:basedOn w:val="DefaultParagraphFont"/>
    <w:rsid w:val="000A605E"/>
    <w:rPr>
      <w:rFonts w:ascii="Arial Narrow" w:hAnsi="Arial Narrow"/>
      <w:smallCaps/>
    </w:rPr>
  </w:style>
  <w:style w:type="character" w:customStyle="1" w:styleId="Buttons">
    <w:name w:val="Buttons"/>
    <w:basedOn w:val="DefaultParagraphFont"/>
    <w:rsid w:val="000A605E"/>
    <w:rPr>
      <w:b/>
    </w:rPr>
  </w:style>
  <w:style w:type="character" w:customStyle="1" w:styleId="Underlined">
    <w:name w:val="Underlined"/>
    <w:basedOn w:val="DefaultParagraphFont"/>
    <w:rsid w:val="000A605E"/>
    <w:rPr>
      <w:u w:val="single"/>
    </w:rPr>
  </w:style>
  <w:style w:type="paragraph" w:customStyle="1" w:styleId="TableBodyTextRight">
    <w:name w:val="Table Body Text Right"/>
    <w:basedOn w:val="TableBodyText"/>
    <w:rsid w:val="000A605E"/>
    <w:pPr>
      <w:widowControl w:val="0"/>
      <w:autoSpaceDE w:val="0"/>
      <w:autoSpaceDN w:val="0"/>
      <w:adjustRightInd w:val="0"/>
      <w:jc w:val="right"/>
    </w:pPr>
    <w:rPr>
      <w:rFonts w:cs="Arial"/>
      <w:szCs w:val="18"/>
    </w:rPr>
  </w:style>
  <w:style w:type="paragraph" w:customStyle="1" w:styleId="CopyrightText">
    <w:name w:val="Copyright Text"/>
    <w:basedOn w:val="BodyText"/>
    <w:rsid w:val="000A605E"/>
    <w:rPr>
      <w:sz w:val="18"/>
    </w:rPr>
  </w:style>
  <w:style w:type="paragraph" w:customStyle="1" w:styleId="BodySmallRight">
    <w:name w:val="Body Small Right"/>
    <w:basedOn w:val="BodyTextRight"/>
    <w:rsid w:val="000A605E"/>
    <w:rPr>
      <w:sz w:val="18"/>
      <w:szCs w:val="18"/>
    </w:rPr>
  </w:style>
  <w:style w:type="paragraph" w:customStyle="1" w:styleId="MarginEdition">
    <w:name w:val="Margin Edition"/>
    <w:basedOn w:val="MarginNote"/>
    <w:rsid w:val="000A605E"/>
    <w:pPr>
      <w:spacing w:before="0" w:after="0"/>
    </w:pPr>
    <w:rPr>
      <w:rFonts w:ascii="Times New Roman" w:hAnsi="Times New Roman"/>
      <w:color w:val="999999"/>
    </w:rPr>
  </w:style>
  <w:style w:type="paragraph" w:customStyle="1" w:styleId="Spacer">
    <w:name w:val="Spacer"/>
    <w:basedOn w:val="Normal"/>
    <w:rsid w:val="000A605E"/>
    <w:rPr>
      <w:sz w:val="2"/>
      <w:szCs w:val="2"/>
    </w:rPr>
  </w:style>
  <w:style w:type="character" w:customStyle="1" w:styleId="Small">
    <w:name w:val="Small"/>
    <w:basedOn w:val="DefaultParagraphFont"/>
    <w:rsid w:val="000A605E"/>
    <w:rPr>
      <w:sz w:val="16"/>
    </w:rPr>
  </w:style>
  <w:style w:type="paragraph" w:customStyle="1" w:styleId="WideTable">
    <w:name w:val="Wide Table"/>
    <w:basedOn w:val="Normal"/>
    <w:rsid w:val="000A605E"/>
    <w:pPr>
      <w:ind w:left="-1418"/>
    </w:pPr>
    <w:rPr>
      <w:sz w:val="2"/>
      <w:szCs w:val="2"/>
    </w:rPr>
  </w:style>
  <w:style w:type="character" w:styleId="PageNumber">
    <w:name w:val="page number"/>
    <w:basedOn w:val="DefaultParagraphFont"/>
    <w:rsid w:val="000A605E"/>
  </w:style>
  <w:style w:type="paragraph" w:styleId="Quote">
    <w:name w:val="Quote"/>
    <w:basedOn w:val="Heading1"/>
    <w:link w:val="QuoteChar"/>
    <w:qFormat/>
    <w:rsid w:val="000A605E"/>
    <w:rPr>
      <w:b w:val="0"/>
      <w:sz w:val="72"/>
      <w:szCs w:val="72"/>
      <w:lang w:val="en-NZ"/>
    </w:rPr>
  </w:style>
  <w:style w:type="character" w:customStyle="1" w:styleId="QuoteChar">
    <w:name w:val="Quote Char"/>
    <w:basedOn w:val="DefaultParagraphFont"/>
    <w:link w:val="Quote"/>
    <w:rsid w:val="000A60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605E"/>
    <w:pPr>
      <w:pageBreakBefore/>
    </w:pPr>
  </w:style>
  <w:style w:type="paragraph" w:customStyle="1" w:styleId="Border">
    <w:name w:val="Border"/>
    <w:basedOn w:val="Normal"/>
    <w:qFormat/>
    <w:rsid w:val="000A60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605E"/>
    <w:rPr>
      <w:b/>
      <w:bCs/>
      <w:i/>
      <w:iCs/>
      <w:color w:val="auto"/>
    </w:rPr>
  </w:style>
  <w:style w:type="paragraph" w:styleId="IntenseQuote">
    <w:name w:val="Intense Quote"/>
    <w:basedOn w:val="Normal"/>
    <w:next w:val="Normal"/>
    <w:link w:val="IntenseQuoteChar"/>
    <w:uiPriority w:val="30"/>
    <w:qFormat/>
    <w:rsid w:val="000A60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60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605E"/>
    <w:rPr>
      <w:smallCaps/>
      <w:color w:val="auto"/>
      <w:u w:val="single"/>
    </w:rPr>
  </w:style>
  <w:style w:type="character" w:styleId="IntenseReference">
    <w:name w:val="Intense Reference"/>
    <w:basedOn w:val="DefaultParagraphFont"/>
    <w:uiPriority w:val="32"/>
    <w:qFormat/>
    <w:rsid w:val="000A605E"/>
    <w:rPr>
      <w:b/>
      <w:bCs/>
      <w:smallCaps/>
      <w:color w:val="auto"/>
      <w:spacing w:val="5"/>
      <w:u w:val="single"/>
    </w:rPr>
  </w:style>
  <w:style w:type="paragraph" w:customStyle="1" w:styleId="2ColumnHeading">
    <w:name w:val="2Column Heading"/>
    <w:basedOn w:val="BodyText"/>
    <w:qFormat/>
    <w:rsid w:val="000A605E"/>
    <w:pPr>
      <w:spacing w:after="60"/>
      <w:ind w:left="-2268"/>
    </w:pPr>
    <w:rPr>
      <w:b/>
    </w:rPr>
  </w:style>
  <w:style w:type="paragraph" w:customStyle="1" w:styleId="Heading1TOC">
    <w:name w:val="Heading1 TOC"/>
    <w:basedOn w:val="Normal"/>
    <w:qFormat/>
    <w:rsid w:val="000A605E"/>
    <w:pPr>
      <w:spacing w:before="240" w:after="120"/>
    </w:pPr>
    <w:rPr>
      <w:rFonts w:ascii="Times New Roman" w:hAnsi="Times New Roman"/>
      <w:b/>
      <w:sz w:val="32"/>
    </w:rPr>
  </w:style>
  <w:style w:type="paragraph" w:customStyle="1" w:styleId="Heading2TOC">
    <w:name w:val="Heading2 TOC"/>
    <w:basedOn w:val="Normal"/>
    <w:qFormat/>
    <w:rsid w:val="000A605E"/>
    <w:pPr>
      <w:spacing w:before="240" w:after="60"/>
    </w:pPr>
    <w:rPr>
      <w:rFonts w:ascii="Times New Roman" w:hAnsi="Times New Roman"/>
      <w:b/>
      <w:sz w:val="28"/>
    </w:rPr>
  </w:style>
  <w:style w:type="character" w:customStyle="1" w:styleId="Underline">
    <w:name w:val="Underline"/>
    <w:basedOn w:val="DefaultParagraphFont"/>
    <w:qFormat/>
    <w:rsid w:val="000A605E"/>
    <w:rPr>
      <w:u w:val="single"/>
    </w:rPr>
  </w:style>
  <w:style w:type="character" w:customStyle="1" w:styleId="BoldandItalics">
    <w:name w:val="Bold and Italics"/>
    <w:qFormat/>
    <w:rsid w:val="000A605E"/>
    <w:rPr>
      <w:b/>
      <w:i/>
      <w:u w:val="none"/>
    </w:rPr>
  </w:style>
  <w:style w:type="paragraph" w:styleId="BalloonText">
    <w:name w:val="Balloon Text"/>
    <w:basedOn w:val="Normal"/>
    <w:link w:val="BalloonTextChar"/>
    <w:rsid w:val="000A605E"/>
    <w:rPr>
      <w:rFonts w:ascii="Tahoma" w:hAnsi="Tahoma" w:cs="Tahoma"/>
      <w:sz w:val="16"/>
      <w:szCs w:val="16"/>
    </w:rPr>
  </w:style>
  <w:style w:type="character" w:customStyle="1" w:styleId="BalloonTextChar">
    <w:name w:val="Balloon Text Char"/>
    <w:basedOn w:val="DefaultParagraphFont"/>
    <w:link w:val="BalloonText"/>
    <w:rsid w:val="000A60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60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60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605E"/>
    <w:rPr>
      <w:b/>
      <w:color w:val="660033"/>
      <w:spacing w:val="0"/>
    </w:rPr>
  </w:style>
  <w:style w:type="paragraph" w:customStyle="1" w:styleId="Nameditemlist">
    <w:name w:val="Named item list"/>
    <w:basedOn w:val="BodyText"/>
    <w:qFormat/>
    <w:rsid w:val="000A605E"/>
    <w:pPr>
      <w:tabs>
        <w:tab w:val="left" w:pos="2835"/>
      </w:tabs>
      <w:ind w:left="2835" w:hanging="2835"/>
    </w:pPr>
  </w:style>
  <w:style w:type="paragraph" w:customStyle="1" w:styleId="BodyTextnopadding">
    <w:name w:val="Body Text no padding"/>
    <w:basedOn w:val="BodyText"/>
    <w:qFormat/>
    <w:rsid w:val="000A605E"/>
    <w:pPr>
      <w:spacing w:before="0" w:after="0"/>
    </w:pPr>
  </w:style>
  <w:style w:type="paragraph" w:customStyle="1" w:styleId="BodyTextBold">
    <w:name w:val="Body Text Bold"/>
    <w:basedOn w:val="BodyText"/>
    <w:qFormat/>
    <w:rsid w:val="000A605E"/>
    <w:rPr>
      <w:b/>
    </w:rPr>
  </w:style>
  <w:style w:type="character" w:styleId="Hyperlink">
    <w:name w:val="Hyperlink"/>
    <w:basedOn w:val="DefaultParagraphFont"/>
    <w:uiPriority w:val="99"/>
    <w:unhideWhenUsed/>
    <w:rsid w:val="00F724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756</Words>
  <Characters>4891</Characters>
  <Application>Microsoft Office Word</Application>
  <DocSecurity>0</DocSecurity>
  <Lines>188</Lines>
  <Paragraphs>100</Paragraphs>
  <ScaleCrop>false</ScaleCrop>
  <Company>Author-it Software Corporation Ltd.</Company>
  <LinksUpToDate>false</LinksUpToDate>
  <CharactersWithSpaces>5547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UEPMNT346 Maintain electrical equipment</dc:title>
  <dc:subject>Approved</dc:subject>
  <dc:creator>Australian Industry Standards</dc:creator>
  <cp:keywords>Release: 2</cp:keywords>
  <dc:description>Review Date: 12 April 2008</dc:description>
  <cp:lastModifiedBy>HSD_TPCMSd.prod</cp:lastModifiedBy>
  <cp:revision>3</cp:revision>
  <dcterms:created xsi:type="dcterms:W3CDTF">2022-12-13T06:27:00Z</dcterms:created>
  <dcterms:modified xsi:type="dcterms:W3CDTF">2022-12-13T06:27:00Z</dcterms:modified>
</cp:coreProperties>
</file>