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C72" w:rsidP="00676C72">
      <w:pPr>
        <w:pStyle w:val="Title"/>
      </w:pPr>
      <w:r>
        <w:fldChar w:fldCharType="begin"/>
      </w:r>
      <w:r>
        <w:instrText xml:space="preserve"> TITLE   \* MERGEFORMAT </w:instrText>
      </w:r>
      <w:r>
        <w:fldChar w:fldCharType="separate"/>
      </w:r>
      <w:r>
        <w:t>UEPMNT320 Inspect and repair faults in mechanical equipment and components</w:t>
      </w:r>
      <w:r>
        <w:fldChar w:fldCharType="end"/>
      </w:r>
    </w:p>
    <w:p w:rsidR="00676C72" w:rsidP="00676C72">
      <w:pPr>
        <w:pStyle w:val="Version"/>
        <w:sectPr w:rsidSect="001B6F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6FA6" w:rsidP="001B6FA6">
      <w:pPr>
        <w:pStyle w:val="SuperHeading"/>
      </w:pPr>
      <w:r w:rsidRPr="001B6FA6">
        <w:t>UEPMNT320 Inspect and repair faults in mechanical equipment and components</w:t>
      </w:r>
    </w:p>
    <w:p w:rsidR="00000000" w:rsidRPr="001B6FA6" w:rsidP="001B6FA6">
      <w:pPr>
        <w:pStyle w:val="Heading1"/>
      </w:pPr>
      <w:bookmarkStart w:id="1" w:name="O_980776"/>
      <w:bookmarkEnd w:id="1"/>
      <w:r w:rsidRPr="001B6FA6">
        <w:t>Modification History</w:t>
      </w:r>
    </w:p>
    <w:tbl>
      <w:tblPr>
        <w:tblW w:w="9497" w:type="dxa"/>
        <w:tblLayout w:type="fixed"/>
        <w:tblCellMar>
          <w:left w:w="62" w:type="dxa"/>
          <w:right w:w="62" w:type="dxa"/>
        </w:tblCellMar>
        <w:tblLook w:val="0000"/>
      </w:tblPr>
      <w:tblGrid>
        <w:gridCol w:w="9497"/>
      </w:tblGrid>
      <w:tr w:rsidTr="001B6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6FA6" w:rsidP="001B6FA6">
            <w:pPr>
              <w:pStyle w:val="BodyText"/>
            </w:pPr>
            <w:r w:rsidRPr="001B6FA6">
              <w:rPr>
                <w:rStyle w:val="SpecialBold"/>
              </w:rPr>
              <w:t>Release 1</w:t>
            </w:r>
            <w:r w:rsidRPr="001B6FA6">
              <w:t>. This is the first release of this unit of competency in the UEP Generation Training Package.</w:t>
            </w:r>
          </w:p>
        </w:tc>
      </w:tr>
    </w:tbl>
    <w:p w:rsidR="00000000" w:rsidRPr="001B6FA6" w:rsidP="001B6FA6">
      <w:pPr>
        <w:pStyle w:val="NoPaddingFontSize1"/>
      </w:pPr>
    </w:p>
    <w:p w:rsidR="00000000" w:rsidRPr="001B6FA6" w:rsidP="001B6FA6">
      <w:pPr>
        <w:pStyle w:val="AllowPageBreak"/>
      </w:pPr>
    </w:p>
    <w:p w:rsidR="00000000" w:rsidRPr="001B6FA6" w:rsidP="001B6FA6">
      <w:pPr>
        <w:pStyle w:val="Heading1"/>
      </w:pPr>
      <w:bookmarkStart w:id="2" w:name="O_980777"/>
      <w:bookmarkEnd w:id="2"/>
      <w:r w:rsidRPr="001B6FA6">
        <w:t>Application</w:t>
      </w:r>
    </w:p>
    <w:tbl>
      <w:tblPr>
        <w:tblW w:w="9497" w:type="dxa"/>
        <w:tblLayout w:type="fixed"/>
        <w:tblCellMar>
          <w:left w:w="62" w:type="dxa"/>
          <w:right w:w="62" w:type="dxa"/>
        </w:tblCellMar>
        <w:tblLook w:val="0000"/>
      </w:tblPr>
      <w:tblGrid>
        <w:gridCol w:w="9497"/>
      </w:tblGrid>
      <w:tr w:rsidTr="001B6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6FA6" w:rsidP="001B6FA6">
            <w:pPr>
              <w:pStyle w:val="BodyText"/>
            </w:pPr>
            <w:r w:rsidRPr="001B6FA6">
              <w:t>This unit involves the skills and knowledge required to inspect and repair faults in a range of mechanical equipment and components which may require fabrication work to be carried out.</w:t>
            </w:r>
          </w:p>
          <w:p w:rsidR="00000000" w:rsidRPr="001B6FA6" w:rsidP="001B6FA6">
            <w:pPr>
              <w:pStyle w:val="BodyText"/>
            </w:pPr>
            <w:r w:rsidRPr="001B6FA6">
              <w:t>An inspection is a critical appraisal involving the examination, measu</w:t>
            </w:r>
            <w:r w:rsidRPr="001B6FA6">
              <w:t xml:space="preserve">rement, testing, gauging, and comparison of mechanical equipment. Repairs involving fabrication will include the construction of structures or components from various materials using processes such as cutting, bending and assembling. </w:t>
            </w:r>
          </w:p>
          <w:p w:rsidR="00000000" w:rsidRPr="001B6FA6" w:rsidP="001B6FA6">
            <w:pPr>
              <w:pStyle w:val="BodyText"/>
            </w:pPr>
            <w:r w:rsidRPr="001B6FA6">
              <w:t>Competency in this un</w:t>
            </w:r>
            <w:r w:rsidRPr="001B6FA6">
              <w:t>it requires the ability to plan work, inspect and dismantle mechanical equipment or components, repair faulty mechanical equipment or components, manufacture mechanical parts or components, reassemble mechanical equipment or components and report on all co</w:t>
            </w:r>
            <w:r w:rsidRPr="001B6FA6">
              <w:t xml:space="preserve">mpleted work tasks. Individuals will, in general, work under supervision in an electrical, electronic and/or mechanical equipment repair workshop or on site. </w:t>
            </w:r>
          </w:p>
          <w:p w:rsidR="00000000" w:rsidRPr="001B6FA6" w:rsidP="001B6FA6">
            <w:pPr>
              <w:pStyle w:val="BodyText"/>
            </w:pPr>
            <w:r w:rsidRPr="001B6FA6">
              <w:t>Power generation maintenance personnel are typically trained and authorised to receive permits to</w:t>
            </w:r>
            <w:r w:rsidRPr="001B6FA6">
              <w:t xml:space="preserve"> work.</w:t>
            </w:r>
          </w:p>
          <w:p w:rsidR="00000000" w:rsidRPr="001B6FA6" w:rsidP="001B6FA6">
            <w:pPr>
              <w:pStyle w:val="BodyText"/>
            </w:pPr>
            <w:r w:rsidRPr="001B6FA6">
              <w:t>No licensing, legislative or certification requirements apply to this unit at the time of publication.</w:t>
            </w:r>
          </w:p>
          <w:p w:rsidR="00000000" w:rsidRPr="001B6FA6" w:rsidP="001B6FA6">
            <w:pPr>
              <w:pStyle w:val="BodyText"/>
            </w:pPr>
            <w:r w:rsidRPr="001B6FA6">
              <w:rPr>
                <w:rStyle w:val="SpecialBold"/>
              </w:rPr>
              <w:t>Note: Workplace practice</w:t>
            </w:r>
          </w:p>
          <w:p w:rsidR="00000000" w:rsidRPr="001B6FA6" w:rsidP="001B6FA6">
            <w:pPr>
              <w:pStyle w:val="BodyText"/>
            </w:pPr>
            <w:r w:rsidRPr="001B6FA6">
              <w:t>The application of the skills and knowledge described in this unit of competency may require a licence or training permit</w:t>
            </w:r>
            <w:r w:rsidRPr="001B6FA6">
              <w:t xml:space="preserve"> to practice in the workplace, where work is carried out on gas and electrical installations. Additional and/or other conditions may apply under state and territory legislative and regulatory licensing requirements. </w:t>
            </w:r>
          </w:p>
        </w:tc>
      </w:tr>
    </w:tbl>
    <w:p w:rsidR="00000000" w:rsidRPr="001B6FA6" w:rsidP="001B6FA6">
      <w:pPr>
        <w:pStyle w:val="NoPaddingFontSize1"/>
      </w:pPr>
    </w:p>
    <w:p w:rsidR="00000000" w:rsidRPr="001B6FA6" w:rsidP="001B6FA6">
      <w:pPr>
        <w:pStyle w:val="AllowPageBreak"/>
      </w:pPr>
    </w:p>
    <w:p w:rsidR="00000000" w:rsidRPr="001B6FA6" w:rsidP="001B6FA6">
      <w:pPr>
        <w:pStyle w:val="Heading1"/>
      </w:pPr>
      <w:bookmarkStart w:id="3" w:name="O_980778"/>
      <w:bookmarkEnd w:id="3"/>
      <w:r w:rsidRPr="001B6FA6">
        <w:t>Pre-requisite Unit</w:t>
      </w:r>
    </w:p>
    <w:tbl>
      <w:tblPr>
        <w:tblW w:w="9497" w:type="dxa"/>
        <w:tblLayout w:type="fixed"/>
        <w:tblCellMar>
          <w:left w:w="62" w:type="dxa"/>
          <w:right w:w="62" w:type="dxa"/>
        </w:tblCellMar>
        <w:tblLook w:val="0000"/>
      </w:tblPr>
      <w:tblGrid>
        <w:gridCol w:w="9497"/>
      </w:tblGrid>
      <w:tr w:rsidTr="001B6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6FA6" w:rsidP="001B6FA6">
            <w:pPr>
              <w:pStyle w:val="BodyText"/>
            </w:pPr>
            <w:r w:rsidRPr="001B6FA6">
              <w:t>M</w:t>
            </w:r>
            <w:r w:rsidRPr="001B6FA6">
              <w:t>EM18006C Repair and fit engineering components</w:t>
            </w:r>
          </w:p>
          <w:p w:rsidR="00000000" w:rsidRPr="001B6FA6" w:rsidP="001B6FA6">
            <w:pPr>
              <w:pStyle w:val="BodyText"/>
            </w:pPr>
            <w:r w:rsidRPr="001B6FA6">
              <w:t>MEM09002B Interpret technical drawing</w:t>
            </w:r>
          </w:p>
          <w:p w:rsidR="00000000" w:rsidRPr="001B6FA6" w:rsidP="001B6FA6">
            <w:pPr>
              <w:pStyle w:val="BodyText"/>
            </w:pPr>
            <w:r w:rsidRPr="001B6FA6">
              <w:t>MEM12023A Perform engineering measurements</w:t>
            </w:r>
          </w:p>
          <w:p w:rsidR="00000000" w:rsidRPr="001B6FA6" w:rsidP="001B6FA6">
            <w:pPr>
              <w:pStyle w:val="BodyText"/>
            </w:pPr>
            <w:r w:rsidRPr="001B6FA6">
              <w:t>MEM18001C Use hand tools</w:t>
            </w:r>
          </w:p>
          <w:p w:rsidR="00000000" w:rsidRPr="001B6FA6" w:rsidP="001B6FA6">
            <w:pPr>
              <w:pStyle w:val="BodyText"/>
            </w:pPr>
            <w:r w:rsidRPr="001B6FA6">
              <w:t>MEM18002B Use power tools/hand held operations</w:t>
            </w:r>
          </w:p>
          <w:p w:rsidR="00000000" w:rsidRPr="001B6FA6" w:rsidP="001B6FA6">
            <w:pPr>
              <w:pStyle w:val="BodyText"/>
            </w:pPr>
            <w:r w:rsidRPr="001B6FA6">
              <w:t>MEM18003C Use tools for precision work</w:t>
            </w:r>
          </w:p>
          <w:p w:rsidR="00000000" w:rsidRPr="001B6FA6" w:rsidP="001B6FA6">
            <w:pPr>
              <w:pStyle w:val="BodyText"/>
            </w:pPr>
            <w:r w:rsidRPr="001B6FA6">
              <w:t>MEM18055B Dismantle, replace and assemble engineering components</w:t>
            </w:r>
          </w:p>
        </w:tc>
      </w:tr>
    </w:tbl>
    <w:p w:rsidR="00000000" w:rsidRPr="001B6FA6" w:rsidP="001B6FA6">
      <w:pPr>
        <w:pStyle w:val="NoPaddingFontSize1"/>
      </w:pPr>
    </w:p>
    <w:p w:rsidR="00000000" w:rsidRPr="001B6FA6" w:rsidP="001B6FA6">
      <w:pPr>
        <w:pStyle w:val="AllowPageBreak"/>
      </w:pPr>
    </w:p>
    <w:p w:rsidR="00000000" w:rsidRPr="001B6FA6" w:rsidP="001B6FA6">
      <w:pPr>
        <w:pStyle w:val="Heading1"/>
      </w:pPr>
      <w:bookmarkStart w:id="4" w:name="O_980779"/>
      <w:bookmarkEnd w:id="4"/>
      <w:r w:rsidRPr="001B6FA6">
        <w:t>Competency Field</w:t>
      </w:r>
    </w:p>
    <w:tbl>
      <w:tblPr>
        <w:tblW w:w="9497" w:type="dxa"/>
        <w:tblLayout w:type="fixed"/>
        <w:tblCellMar>
          <w:left w:w="62" w:type="dxa"/>
          <w:right w:w="62" w:type="dxa"/>
        </w:tblCellMar>
        <w:tblLook w:val="0000"/>
      </w:tblPr>
      <w:tblGrid>
        <w:gridCol w:w="9497"/>
      </w:tblGrid>
      <w:tr w:rsidTr="001B6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6FA6" w:rsidP="001B6FA6">
            <w:pPr>
              <w:pStyle w:val="BodyText"/>
            </w:pPr>
            <w:r w:rsidRPr="001B6FA6">
              <w:t>Maintenance</w:t>
            </w:r>
          </w:p>
        </w:tc>
      </w:tr>
    </w:tbl>
    <w:p w:rsidR="00000000" w:rsidRPr="001B6FA6" w:rsidP="001B6FA6">
      <w:pPr>
        <w:pStyle w:val="NoPaddingFontSize1"/>
      </w:pPr>
    </w:p>
    <w:p w:rsidR="00000000" w:rsidRPr="001B6FA6" w:rsidP="001B6FA6">
      <w:pPr>
        <w:pStyle w:val="AllowPageBreak"/>
      </w:pPr>
    </w:p>
    <w:p w:rsidR="00000000" w:rsidRPr="001B6FA6" w:rsidP="001B6FA6">
      <w:pPr>
        <w:pStyle w:val="Heading1"/>
      </w:pPr>
      <w:bookmarkStart w:id="5" w:name="O_980780"/>
      <w:bookmarkEnd w:id="5"/>
      <w:r w:rsidRPr="001B6FA6">
        <w:t>Unit Sector</w:t>
      </w:r>
    </w:p>
    <w:tbl>
      <w:tblPr>
        <w:tblW w:w="9497" w:type="dxa"/>
        <w:tblLayout w:type="fixed"/>
        <w:tblCellMar>
          <w:left w:w="62" w:type="dxa"/>
          <w:right w:w="62" w:type="dxa"/>
        </w:tblCellMar>
        <w:tblLook w:val="0000"/>
      </w:tblPr>
      <w:tblGrid>
        <w:gridCol w:w="9497"/>
      </w:tblGrid>
      <w:tr w:rsidTr="001B6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6FA6" w:rsidP="001B6FA6">
            <w:pPr>
              <w:pStyle w:val="BodyText"/>
            </w:pPr>
            <w:r w:rsidRPr="001B6FA6">
              <w:t>Electricity generation</w:t>
            </w:r>
          </w:p>
        </w:tc>
      </w:tr>
    </w:tbl>
    <w:p w:rsidR="00000000" w:rsidRPr="001B6FA6" w:rsidP="001B6FA6">
      <w:pPr>
        <w:pStyle w:val="NoPaddingFontSize1"/>
      </w:pPr>
    </w:p>
    <w:p w:rsidR="00000000" w:rsidRPr="001B6FA6" w:rsidP="001B6FA6">
      <w:pPr>
        <w:pStyle w:val="AllowPageBreak"/>
      </w:pPr>
    </w:p>
    <w:p w:rsidR="00000000" w:rsidRPr="001B6FA6" w:rsidP="001B6FA6">
      <w:pPr>
        <w:pStyle w:val="Heading1"/>
      </w:pPr>
      <w:bookmarkStart w:id="6" w:name="O_980781"/>
      <w:bookmarkEnd w:id="6"/>
      <w:r w:rsidRPr="001B6FA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B6FA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B6FA6" w:rsidP="001B6FA6">
            <w:pPr>
              <w:pStyle w:val="BodyText"/>
            </w:pPr>
            <w:r w:rsidRPr="001B6FA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PERFORMANCE CRITERIA</w:t>
            </w:r>
          </w:p>
        </w:tc>
      </w:tr>
      <w:tr w:rsidTr="001B6FA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Performance criteria describe the performance needed to demonstrate achievement of the element.</w:t>
            </w:r>
          </w:p>
        </w:tc>
      </w:tr>
      <w:tr w:rsidTr="001B6F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B6FA6" w:rsidP="001B6FA6">
            <w:pPr>
              <w:pStyle w:val="BodyText"/>
            </w:pPr>
            <w:r w:rsidRPr="001B6FA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B6FA6" w:rsidP="001B6FA6">
            <w:pPr>
              <w:pStyle w:val="BodyText"/>
            </w:pPr>
            <w:r w:rsidRPr="001B6FA6">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Requirements including scope of work and assigned roles are identified and confirm</w:t>
            </w:r>
            <w:r w:rsidRPr="001B6FA6">
              <w:t>ed with appropriate personnel or by site inspection, in accordance with workplace procedures</w:t>
            </w:r>
          </w:p>
        </w:tc>
      </w:tr>
      <w:tr w:rsidTr="001B6F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1B6F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Work, Health and Safety (WHS)/Occupational Health and Safety (OHS) regulations, legislative requirements, industry standards, codes of practice, manufacture</w:t>
            </w:r>
            <w:r w:rsidRPr="001B6FA6">
              <w:t>rs’ specifications, environmental obligations and workplace procedures are reviewed in preparation for work</w:t>
            </w:r>
          </w:p>
        </w:tc>
      </w:tr>
      <w:tr w:rsidTr="001B6F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1B6F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Resources are obtained and inspected, in accordance with workplace procedures, for compliance with job specification</w:t>
            </w:r>
          </w:p>
        </w:tc>
      </w:tr>
      <w:tr w:rsidTr="001B6F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1B6F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 xml:space="preserve">Relevant plans, drawings and manuals are selected and interpreted, in accordance with workplace procedures </w:t>
            </w:r>
          </w:p>
        </w:tc>
      </w:tr>
      <w:tr w:rsidTr="001B6F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1B6F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Correct materials and components for work are determined, obtained and inspected, in accordance with workplace procedures, for compliance wit</w:t>
            </w:r>
            <w:r w:rsidRPr="001B6FA6">
              <w:t>h job specification</w:t>
            </w:r>
          </w:p>
        </w:tc>
      </w:tr>
      <w:tr w:rsidTr="001B6F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1B6F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 xml:space="preserve">Work is planned, sequenced and prioritised, in accordance with workplace procedures </w:t>
            </w:r>
          </w:p>
        </w:tc>
      </w:tr>
      <w:tr w:rsidTr="001B6F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1B6F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Potential hazards are identified and risk control measures are selected and implemented, in accordance with workplace procedures</w:t>
            </w:r>
          </w:p>
        </w:tc>
      </w:tr>
      <w:tr w:rsidTr="001B6F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1B6F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Work area is prepared, in accordance with workplace procedures</w:t>
            </w:r>
          </w:p>
        </w:tc>
      </w:tr>
      <w:tr w:rsidTr="001B6F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B6FA6" w:rsidP="001B6FA6">
            <w:pPr>
              <w:pStyle w:val="BodyText"/>
            </w:pPr>
            <w:r w:rsidRPr="001B6FA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B6FA6" w:rsidP="001B6FA6">
            <w:pPr>
              <w:pStyle w:val="BodyText"/>
            </w:pPr>
            <w:r w:rsidRPr="001B6FA6">
              <w:rPr>
                <w:rStyle w:val="SpecialBold"/>
              </w:rPr>
              <w:t>Inspect and dismantle equipment</w:t>
            </w:r>
            <w:r w:rsidRPr="001B6FA6">
              <w:t xml:space="preserve"> </w:t>
            </w:r>
            <w:r w:rsidRPr="001B6FA6">
              <w:rPr>
                <w:rStyle w:val="SpecialBold"/>
              </w:rPr>
              <w:t>or components</w:t>
            </w:r>
          </w:p>
        </w:tc>
        <w:tc>
          <w:tcPr>
            <w:tcW w:w="697"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Mechanical equipment and/or components are dismantled and marked, in accordance with workplace procedures, to facilitate reassembly</w:t>
            </w:r>
          </w:p>
        </w:tc>
      </w:tr>
      <w:tr w:rsidTr="001B6F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1B6F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Damaged or faulty mechanical equipment and components are inspected and assessed, in accordance with workplace procedures, against operational and manufacturers' specifications</w:t>
            </w:r>
          </w:p>
        </w:tc>
      </w:tr>
      <w:tr w:rsidTr="001B6F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1B6F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Faulty mechanical equipment and/or components are identified, in accorda</w:t>
            </w:r>
            <w:r w:rsidRPr="001B6FA6">
              <w:t>nce with workplace procedures, for repair, replacement or manufacture</w:t>
            </w:r>
          </w:p>
        </w:tc>
      </w:tr>
      <w:tr w:rsidTr="001B6F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B6FA6" w:rsidP="001B6FA6">
            <w:pPr>
              <w:pStyle w:val="BodyText"/>
            </w:pPr>
            <w:r w:rsidRPr="001B6FA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B6FA6" w:rsidP="001B6FA6">
            <w:pPr>
              <w:pStyle w:val="BodyText"/>
            </w:pPr>
            <w:r w:rsidRPr="001B6FA6">
              <w:rPr>
                <w:rStyle w:val="SpecialBold"/>
              </w:rPr>
              <w:t>Repair</w:t>
            </w:r>
            <w:r w:rsidRPr="001B6FA6">
              <w:t xml:space="preserve"> </w:t>
            </w:r>
            <w:r w:rsidRPr="001B6FA6">
              <w:rPr>
                <w:rStyle w:val="SpecialBold"/>
              </w:rPr>
              <w:t>faulty equipment</w:t>
            </w:r>
            <w:r w:rsidRPr="001B6FA6">
              <w:t xml:space="preserve"> </w:t>
            </w:r>
            <w:r w:rsidRPr="001B6FA6">
              <w:rPr>
                <w:rStyle w:val="SpecialBold"/>
              </w:rPr>
              <w:t>or components</w:t>
            </w:r>
          </w:p>
        </w:tc>
        <w:tc>
          <w:tcPr>
            <w:tcW w:w="697"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Methods of repair are determined, in accordance with workplace procedures and approved engineering techniques</w:t>
            </w:r>
          </w:p>
        </w:tc>
      </w:tr>
      <w:tr w:rsidTr="001B6F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1B6F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Repairs are completed, in accordance with workplace procedures, using approved engineering techniques</w:t>
            </w:r>
          </w:p>
        </w:tc>
      </w:tr>
      <w:tr w:rsidTr="001B6F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1B6F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Replacement parts are selected, assessed against mechanical equipment or component specifications and are fitted using approved engineering techniq</w:t>
            </w:r>
            <w:r w:rsidRPr="001B6FA6">
              <w:t>ues, in accordance with workplace procedures</w:t>
            </w:r>
          </w:p>
        </w:tc>
      </w:tr>
      <w:tr w:rsidTr="001B6F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B6FA6" w:rsidP="001B6FA6">
            <w:pPr>
              <w:pStyle w:val="BodyText"/>
            </w:pPr>
            <w:r w:rsidRPr="001B6FA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B6FA6" w:rsidP="001B6FA6">
            <w:pPr>
              <w:pStyle w:val="BodyText"/>
            </w:pPr>
            <w:r w:rsidRPr="001B6FA6">
              <w:rPr>
                <w:rStyle w:val="SpecialBold"/>
              </w:rPr>
              <w:t>Manufacture parts or components</w:t>
            </w:r>
          </w:p>
        </w:tc>
        <w:tc>
          <w:tcPr>
            <w:tcW w:w="697"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Mechanical equipment parts and component specifications are determined, in accordance with workplace procedures, using approved engineering techniques</w:t>
            </w:r>
          </w:p>
        </w:tc>
      </w:tr>
      <w:tr w:rsidTr="001B6F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1B6F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 xml:space="preserve">Appropriate materials are selected, in accordance with the workplace procedures </w:t>
            </w:r>
          </w:p>
        </w:tc>
      </w:tr>
      <w:tr w:rsidTr="001B6F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1B6F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Mechanical equipment parts and components are manufactured or fabricated, in accordance with workplace procedures using approved engineering techniques</w:t>
            </w:r>
          </w:p>
        </w:tc>
      </w:tr>
      <w:tr w:rsidTr="001B6F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1B6F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Completed</w:t>
            </w:r>
            <w:r w:rsidRPr="001B6FA6">
              <w:t xml:space="preserve"> work is inspected, in accordance with workplace procedures, to ensure compliance with   manufacturers' specifications</w:t>
            </w:r>
          </w:p>
        </w:tc>
      </w:tr>
      <w:tr w:rsidTr="001B6F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B6FA6" w:rsidP="001B6FA6">
            <w:pPr>
              <w:pStyle w:val="BodyText"/>
            </w:pPr>
            <w:r w:rsidRPr="001B6FA6">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1B6FA6" w:rsidP="001B6FA6">
            <w:pPr>
              <w:pStyle w:val="BodyText"/>
            </w:pPr>
            <w:r w:rsidRPr="001B6FA6">
              <w:rPr>
                <w:rStyle w:val="SpecialBold"/>
              </w:rPr>
              <w:t>Reassemble equipment</w:t>
            </w:r>
            <w:r w:rsidRPr="001B6FA6">
              <w:t xml:space="preserve"> </w:t>
            </w:r>
            <w:r w:rsidRPr="001B6FA6">
              <w:rPr>
                <w:rStyle w:val="SpecialBold"/>
              </w:rPr>
              <w:t>or</w:t>
            </w:r>
            <w:r w:rsidRPr="001B6FA6">
              <w:t xml:space="preserve"> </w:t>
            </w:r>
            <w:r w:rsidRPr="001B6FA6">
              <w:rPr>
                <w:rStyle w:val="SpecialBold"/>
              </w:rPr>
              <w:t>components</w:t>
            </w:r>
          </w:p>
        </w:tc>
        <w:tc>
          <w:tcPr>
            <w:tcW w:w="697"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Mechanical equipment and/or components are reassembled, in accordance with workplace procedures</w:t>
            </w:r>
            <w:r w:rsidRPr="001B6FA6">
              <w:t xml:space="preserve"> </w:t>
            </w:r>
          </w:p>
        </w:tc>
      </w:tr>
      <w:tr w:rsidTr="001B6F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1B6F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Final assembly is inspected, in accordance with workplace procedures, to ensure compliance with operational or manufacturers' specification</w:t>
            </w:r>
          </w:p>
        </w:tc>
      </w:tr>
      <w:tr w:rsidTr="001B6F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B6FA6" w:rsidP="001B6FA6">
            <w:pPr>
              <w:pStyle w:val="BodyText"/>
            </w:pPr>
            <w:r w:rsidRPr="001B6FA6">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1B6FA6" w:rsidP="001B6FA6">
            <w:pPr>
              <w:pStyle w:val="BodyText"/>
            </w:pPr>
            <w:r w:rsidRPr="001B6FA6">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 xml:space="preserve">Work is completed and appropriate personnel are notified, in accordance with workplace procedures </w:t>
            </w:r>
          </w:p>
        </w:tc>
      </w:tr>
      <w:tr w:rsidTr="001B6F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1B6F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Work area is cleared of waste, cleaned, restored and secured, in accordance with workplace procedures</w:t>
            </w:r>
          </w:p>
        </w:tc>
      </w:tr>
      <w:tr w:rsidTr="001B6F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1B6F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t>Tools and equipment are cleaned, maintain</w:t>
            </w:r>
            <w:r w:rsidRPr="001B6FA6">
              <w:t>ed and stored, in accordance with workplace procedures</w:t>
            </w:r>
          </w:p>
        </w:tc>
      </w:tr>
      <w:tr w:rsidTr="001B6F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1B6F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6FA6">
            <w:pPr>
              <w:pStyle w:val="BodyText"/>
              <w:rPr>
                <w:lang w:val="en-NZ"/>
              </w:rPr>
            </w:pPr>
            <w:r w:rsidRPr="001B6FA6">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1B6FA6" w:rsidP="001B6FA6">
            <w:pPr>
              <w:pStyle w:val="BodyText"/>
            </w:pPr>
            <w:r w:rsidRPr="001B6FA6">
              <w:t>Work completion details are finalised, in accordance with workplace procedures</w:t>
            </w:r>
          </w:p>
        </w:tc>
      </w:tr>
    </w:tbl>
    <w:p w:rsidR="00000000" w:rsidRPr="001B6FA6" w:rsidP="001B6FA6">
      <w:pPr>
        <w:pStyle w:val="NoPaddingFontSize1"/>
      </w:pPr>
    </w:p>
    <w:p w:rsidR="00000000" w:rsidRPr="001B6FA6" w:rsidP="001B6FA6">
      <w:pPr>
        <w:pStyle w:val="AllowPageBreak"/>
      </w:pPr>
    </w:p>
    <w:p w:rsidR="00000000" w:rsidRPr="001B6FA6" w:rsidP="001B6FA6">
      <w:pPr>
        <w:pStyle w:val="Heading1"/>
      </w:pPr>
      <w:bookmarkStart w:id="7" w:name="O_980782"/>
      <w:bookmarkEnd w:id="7"/>
      <w:r w:rsidRPr="001B6FA6">
        <w:t>Foundation Skills</w:t>
      </w:r>
    </w:p>
    <w:tbl>
      <w:tblPr>
        <w:tblW w:w="9497" w:type="dxa"/>
        <w:tblLayout w:type="fixed"/>
        <w:tblCellMar>
          <w:left w:w="62" w:type="dxa"/>
          <w:right w:w="62" w:type="dxa"/>
        </w:tblCellMar>
        <w:tblLook w:val="0000"/>
      </w:tblPr>
      <w:tblGrid>
        <w:gridCol w:w="9497"/>
      </w:tblGrid>
      <w:tr w:rsidTr="001B6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6FA6" w:rsidP="001B6FA6">
            <w:pPr>
              <w:pStyle w:val="BodyText"/>
            </w:pPr>
            <w:r w:rsidRPr="001B6FA6">
              <w:t>Foundation skills essential to p</w:t>
            </w:r>
            <w:r w:rsidRPr="001B6FA6">
              <w:t>erformance are explicit in the performance criteria of this unit of competency.</w:t>
            </w:r>
          </w:p>
        </w:tc>
      </w:tr>
    </w:tbl>
    <w:p w:rsidR="00000000" w:rsidRPr="001B6FA6" w:rsidP="001B6FA6">
      <w:pPr>
        <w:pStyle w:val="NoPaddingFontSize1"/>
      </w:pPr>
    </w:p>
    <w:p w:rsidR="00000000" w:rsidRPr="001B6FA6" w:rsidP="001B6FA6">
      <w:pPr>
        <w:pStyle w:val="AllowPageBreak"/>
      </w:pPr>
    </w:p>
    <w:p w:rsidR="00000000" w:rsidRPr="001B6FA6" w:rsidP="001B6FA6">
      <w:pPr>
        <w:pStyle w:val="Heading1"/>
      </w:pPr>
      <w:bookmarkStart w:id="8" w:name="O_980783"/>
      <w:bookmarkEnd w:id="8"/>
      <w:r w:rsidRPr="001B6FA6">
        <w:t>Range of Conditions</w:t>
      </w:r>
    </w:p>
    <w:tbl>
      <w:tblPr>
        <w:tblW w:w="9497" w:type="dxa"/>
        <w:tblLayout w:type="fixed"/>
        <w:tblCellMar>
          <w:left w:w="62" w:type="dxa"/>
          <w:right w:w="62" w:type="dxa"/>
        </w:tblCellMar>
        <w:tblLook w:val="0000"/>
      </w:tblPr>
      <w:tblGrid>
        <w:gridCol w:w="9497"/>
      </w:tblGrid>
      <w:tr w:rsidTr="001B6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6FA6" w:rsidP="001B6FA6">
            <w:pPr>
              <w:pStyle w:val="BodyText"/>
            </w:pPr>
            <w:r w:rsidRPr="001B6FA6">
              <w:t>Range is restricted to essential operating conditions and any other variables essential to the work environment.</w:t>
            </w:r>
          </w:p>
          <w:p w:rsidR="00000000" w:rsidRPr="001B6FA6" w:rsidP="001B6FA6">
            <w:pPr>
              <w:pStyle w:val="BodyText"/>
            </w:pPr>
            <w:r w:rsidRPr="001B6FA6">
              <w:t>Non-essential conditions</w:t>
            </w:r>
            <w:r w:rsidRPr="001B6FA6">
              <w:t xml:space="preserve"> may be found in the Companion Volume Implementation Guide.</w:t>
            </w:r>
          </w:p>
        </w:tc>
      </w:tr>
    </w:tbl>
    <w:p w:rsidR="00000000" w:rsidRPr="001B6FA6" w:rsidP="001B6FA6">
      <w:pPr>
        <w:pStyle w:val="NoPaddingFontSize1"/>
      </w:pPr>
    </w:p>
    <w:p w:rsidR="00000000" w:rsidRPr="001B6FA6" w:rsidP="001B6FA6">
      <w:pPr>
        <w:pStyle w:val="AllowPageBreak"/>
      </w:pPr>
    </w:p>
    <w:p w:rsidR="00000000" w:rsidRPr="001B6FA6" w:rsidP="001B6FA6">
      <w:pPr>
        <w:pStyle w:val="Heading1"/>
      </w:pPr>
      <w:bookmarkStart w:id="9" w:name="O_980784"/>
      <w:bookmarkEnd w:id="9"/>
      <w:r w:rsidRPr="001B6FA6">
        <w:t>Unit Mapping Information</w:t>
      </w:r>
    </w:p>
    <w:tbl>
      <w:tblPr>
        <w:tblW w:w="9497" w:type="dxa"/>
        <w:tblLayout w:type="fixed"/>
        <w:tblCellMar>
          <w:left w:w="62" w:type="dxa"/>
          <w:right w:w="62" w:type="dxa"/>
        </w:tblCellMar>
        <w:tblLook w:val="0000"/>
      </w:tblPr>
      <w:tblGrid>
        <w:gridCol w:w="9497"/>
      </w:tblGrid>
      <w:tr w:rsidTr="001B6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6FA6" w:rsidP="001B6FA6">
            <w:pPr>
              <w:pStyle w:val="BodyText"/>
            </w:pPr>
            <w:r w:rsidRPr="001B6FA6">
              <w:t>This unit replaces and is equivalent to UEPMNT320B Inspect and repair/replace faults in mechanical equipment/components.</w:t>
            </w:r>
          </w:p>
        </w:tc>
      </w:tr>
    </w:tbl>
    <w:p w:rsidR="00000000" w:rsidRPr="001B6FA6" w:rsidP="001B6FA6">
      <w:pPr>
        <w:pStyle w:val="NoPaddingFontSize1"/>
      </w:pPr>
    </w:p>
    <w:p w:rsidR="00000000" w:rsidRPr="001B6FA6" w:rsidP="001B6FA6">
      <w:pPr>
        <w:pStyle w:val="AllowPageBreak"/>
      </w:pPr>
    </w:p>
    <w:p w:rsidR="00000000" w:rsidRPr="001B6FA6" w:rsidP="001B6FA6">
      <w:pPr>
        <w:pStyle w:val="Heading1"/>
      </w:pPr>
      <w:bookmarkStart w:id="10" w:name="O_980791"/>
      <w:bookmarkEnd w:id="10"/>
      <w:r w:rsidRPr="001B6FA6">
        <w:t>Links</w:t>
      </w:r>
    </w:p>
    <w:p w:rsidR="00000000" w:rsidRPr="001B6FA6" w:rsidP="001B6FA6">
      <w:pPr>
        <w:pStyle w:val="BodyText"/>
      </w:pPr>
      <w:r w:rsidRPr="001B6FA6">
        <w:t>Companion Volume implementation guides are found in VETNet - https://vetnet.education.gov.au/Pages/TrainingDocs.aspx?q=1715b9fa-e7bd-441c-bb8d-cf22c9c825a8</w:t>
      </w:r>
    </w:p>
    <w:p w:rsidR="00000000" w:rsidRPr="001B6FA6" w:rsidP="001B6FA6"/>
    <w:sectPr w:rsidSect="001B6F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72">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72" w:rsidP="001B6F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76C72" w:rsidP="001B6FA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76C72" w:rsidP="001B6F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6FA6" w:rsidRPr="00676C72" w:rsidP="00676C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72" w:rsidRPr="002D2AF8" w:rsidP="001B6FA6">
    <w:pPr>
      <w:pStyle w:val="Header"/>
      <w:framePr w:wrap="around"/>
    </w:pPr>
    <w:r>
      <w:fldChar w:fldCharType="begin"/>
    </w:r>
    <w:r>
      <w:instrText xml:space="preserve"> TITLE   \* MERGEFORMAT </w:instrText>
    </w:r>
    <w:r>
      <w:fldChar w:fldCharType="separate"/>
    </w:r>
    <w:r>
      <w:t>UEPMNT320 Inspect and repair faults in mechanical equipment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676C72" w:rsidP="001B6F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F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6FA6"/>
    <w:pPr>
      <w:spacing w:before="360" w:after="60"/>
      <w:outlineLvl w:val="0"/>
    </w:pPr>
    <w:rPr>
      <w:sz w:val="32"/>
    </w:rPr>
  </w:style>
  <w:style w:type="paragraph" w:styleId="Heading2">
    <w:name w:val="heading 2"/>
    <w:basedOn w:val="HeadingBase"/>
    <w:next w:val="BodyText"/>
    <w:link w:val="Heading2Char"/>
    <w:qFormat/>
    <w:rsid w:val="001B6FA6"/>
    <w:pPr>
      <w:keepLines/>
      <w:spacing w:before="240" w:after="120"/>
      <w:outlineLvl w:val="1"/>
    </w:pPr>
    <w:rPr>
      <w:sz w:val="28"/>
      <w:szCs w:val="40"/>
    </w:rPr>
  </w:style>
  <w:style w:type="paragraph" w:styleId="Heading3">
    <w:name w:val="heading 3"/>
    <w:basedOn w:val="HeadingBase"/>
    <w:next w:val="BodyText"/>
    <w:link w:val="Heading3Char"/>
    <w:qFormat/>
    <w:rsid w:val="001B6FA6"/>
    <w:pPr>
      <w:spacing w:before="180" w:after="120"/>
      <w:outlineLvl w:val="2"/>
    </w:pPr>
    <w:rPr>
      <w:spacing w:val="-10"/>
      <w:kern w:val="32"/>
    </w:rPr>
  </w:style>
  <w:style w:type="paragraph" w:styleId="Heading4">
    <w:name w:val="heading 4"/>
    <w:basedOn w:val="HeadingBase"/>
    <w:next w:val="BodyText"/>
    <w:link w:val="Heading4Char"/>
    <w:qFormat/>
    <w:rsid w:val="001B6FA6"/>
    <w:pPr>
      <w:spacing w:before="160" w:after="120"/>
      <w:outlineLvl w:val="3"/>
    </w:pPr>
    <w:rPr>
      <w:sz w:val="22"/>
    </w:rPr>
  </w:style>
  <w:style w:type="paragraph" w:styleId="Heading5">
    <w:name w:val="heading 5"/>
    <w:basedOn w:val="HeadingBase"/>
    <w:next w:val="Normal"/>
    <w:link w:val="Heading5Char"/>
    <w:qFormat/>
    <w:rsid w:val="001B6FA6"/>
    <w:pPr>
      <w:spacing w:before="80"/>
      <w:outlineLvl w:val="4"/>
    </w:pPr>
    <w:rPr>
      <w:color w:val="918585"/>
      <w:sz w:val="20"/>
    </w:rPr>
  </w:style>
  <w:style w:type="paragraph" w:styleId="Heading6">
    <w:name w:val="heading 6"/>
    <w:basedOn w:val="HeadingBase"/>
    <w:next w:val="Normal"/>
    <w:link w:val="Heading6Char"/>
    <w:qFormat/>
    <w:rsid w:val="001B6FA6"/>
    <w:pPr>
      <w:spacing w:before="60"/>
      <w:outlineLvl w:val="5"/>
    </w:pPr>
    <w:rPr>
      <w:color w:val="918585"/>
      <w:sz w:val="20"/>
    </w:rPr>
  </w:style>
  <w:style w:type="paragraph" w:styleId="Heading7">
    <w:name w:val="heading 7"/>
    <w:basedOn w:val="Normal"/>
    <w:next w:val="Normal"/>
    <w:link w:val="Heading7Char"/>
    <w:qFormat/>
    <w:rsid w:val="001B6FA6"/>
    <w:pPr>
      <w:ind w:left="720"/>
      <w:outlineLvl w:val="6"/>
    </w:pPr>
    <w:rPr>
      <w:i/>
    </w:rPr>
  </w:style>
  <w:style w:type="paragraph" w:styleId="Heading8">
    <w:name w:val="heading 8"/>
    <w:basedOn w:val="Normal"/>
    <w:next w:val="Normal"/>
    <w:link w:val="Heading8Char"/>
    <w:qFormat/>
    <w:rsid w:val="001B6FA6"/>
    <w:pPr>
      <w:ind w:left="720"/>
      <w:outlineLvl w:val="7"/>
    </w:pPr>
    <w:rPr>
      <w:i/>
    </w:rPr>
  </w:style>
  <w:style w:type="paragraph" w:styleId="Heading9">
    <w:name w:val="heading 9"/>
    <w:basedOn w:val="Normal"/>
    <w:next w:val="Normal"/>
    <w:link w:val="Heading9Char"/>
    <w:qFormat/>
    <w:rsid w:val="001B6FA6"/>
    <w:pPr>
      <w:ind w:left="720"/>
      <w:outlineLvl w:val="8"/>
    </w:pPr>
    <w:rPr>
      <w:i/>
    </w:rPr>
  </w:style>
  <w:style w:type="character" w:default="1" w:styleId="DefaultParagraphFont">
    <w:name w:val="Default Paragraph Font"/>
    <w:uiPriority w:val="1"/>
    <w:unhideWhenUsed/>
    <w:rsid w:val="001B6F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FA6"/>
  </w:style>
  <w:style w:type="character" w:customStyle="1" w:styleId="Heading1Char">
    <w:name w:val="Heading 1 Char"/>
    <w:basedOn w:val="DefaultParagraphFont"/>
    <w:link w:val="Heading1"/>
    <w:rsid w:val="001B6FA6"/>
    <w:rPr>
      <w:rFonts w:ascii="Times New Roman" w:eastAsia="Times New Roman" w:hAnsi="Times New Roman" w:cs="Times New Roman"/>
      <w:b/>
      <w:sz w:val="32"/>
      <w:szCs w:val="20"/>
      <w:lang w:eastAsia="en-US"/>
    </w:rPr>
  </w:style>
  <w:style w:type="paragraph" w:styleId="BodyText">
    <w:name w:val="Body Text"/>
    <w:basedOn w:val="Normal"/>
    <w:link w:val="BodyTextChar"/>
    <w:rsid w:val="001B6F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6FA6"/>
    <w:rPr>
      <w:rFonts w:ascii="Times New Roman" w:eastAsia="Times New Roman" w:hAnsi="Times New Roman" w:cs="Times New Roman"/>
      <w:sz w:val="24"/>
      <w:lang w:eastAsia="en-US"/>
    </w:rPr>
  </w:style>
  <w:style w:type="character" w:customStyle="1" w:styleId="SpecialBold">
    <w:name w:val="Special Bold"/>
    <w:basedOn w:val="DefaultParagraphFont"/>
    <w:rsid w:val="001B6FA6"/>
    <w:rPr>
      <w:b/>
      <w:spacing w:val="0"/>
    </w:rPr>
  </w:style>
  <w:style w:type="paragraph" w:customStyle="1" w:styleId="SuperHeading">
    <w:name w:val="SuperHeading"/>
    <w:basedOn w:val="Normal"/>
    <w:rsid w:val="001B6FA6"/>
    <w:pPr>
      <w:spacing w:before="240" w:after="120"/>
      <w:outlineLvl w:val="0"/>
    </w:pPr>
    <w:rPr>
      <w:rFonts w:ascii="Times New Roman" w:hAnsi="Times New Roman"/>
      <w:b/>
      <w:sz w:val="32"/>
    </w:rPr>
  </w:style>
  <w:style w:type="paragraph" w:customStyle="1" w:styleId="AllowPageBreak">
    <w:name w:val="AllowPageBreak"/>
    <w:rsid w:val="001B6F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6F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F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F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F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F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F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6F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6FA6"/>
    <w:rPr>
      <w:rFonts w:ascii="Courier New" w:eastAsia="Times New Roman" w:hAnsi="Courier New" w:cs="Times New Roman"/>
      <w:i/>
      <w:szCs w:val="20"/>
      <w:lang w:eastAsia="en-US"/>
    </w:rPr>
  </w:style>
  <w:style w:type="paragraph" w:customStyle="1" w:styleId="HeadingBase">
    <w:name w:val="Heading Base"/>
    <w:rsid w:val="001B6F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FA6"/>
    <w:pPr>
      <w:tabs>
        <w:tab w:val="right" w:leader="dot" w:pos="9072"/>
      </w:tabs>
      <w:ind w:left="567"/>
    </w:pPr>
    <w:rPr>
      <w:szCs w:val="22"/>
    </w:rPr>
  </w:style>
  <w:style w:type="paragraph" w:customStyle="1" w:styleId="TOCBase">
    <w:name w:val="TOC Base"/>
    <w:rsid w:val="001B6F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FA6"/>
    <w:pPr>
      <w:tabs>
        <w:tab w:val="right" w:leader="dot" w:pos="9072"/>
      </w:tabs>
      <w:spacing w:before="40" w:after="40"/>
      <w:ind w:left="284"/>
    </w:pPr>
    <w:rPr>
      <w:rFonts w:ascii="Times New Roman" w:hAnsi="Times New Roman"/>
    </w:rPr>
  </w:style>
  <w:style w:type="paragraph" w:styleId="TOC1">
    <w:name w:val="toc 1"/>
    <w:basedOn w:val="TOCBase"/>
    <w:next w:val="Normal"/>
    <w:rsid w:val="001B6F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6F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FA6"/>
    <w:rPr>
      <w:rFonts w:ascii="Times New Roman" w:eastAsia="Times New Roman" w:hAnsi="Times New Roman" w:cs="Times New Roman"/>
      <w:sz w:val="16"/>
      <w:lang w:eastAsia="en-US"/>
    </w:rPr>
  </w:style>
  <w:style w:type="paragraph" w:styleId="Title">
    <w:name w:val="Title"/>
    <w:basedOn w:val="HeadingBase"/>
    <w:link w:val="TitleChar"/>
    <w:qFormat/>
    <w:rsid w:val="001B6FA6"/>
    <w:pPr>
      <w:spacing w:before="5040"/>
      <w:jc w:val="center"/>
    </w:pPr>
    <w:rPr>
      <w:sz w:val="48"/>
      <w:szCs w:val="72"/>
      <w:lang w:val="en-US"/>
    </w:rPr>
  </w:style>
  <w:style w:type="character" w:customStyle="1" w:styleId="TitleChar">
    <w:name w:val="Title Char"/>
    <w:basedOn w:val="DefaultParagraphFont"/>
    <w:link w:val="Title"/>
    <w:rsid w:val="001B6F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FA6"/>
    <w:pPr>
      <w:tabs>
        <w:tab w:val="left" w:pos="3600"/>
        <w:tab w:val="left" w:pos="3958"/>
      </w:tabs>
    </w:pPr>
  </w:style>
  <w:style w:type="paragraph" w:styleId="List">
    <w:name w:val="List"/>
    <w:basedOn w:val="BodyText"/>
    <w:next w:val="BodyText"/>
    <w:rsid w:val="001B6FA6"/>
    <w:pPr>
      <w:tabs>
        <w:tab w:val="left" w:pos="340"/>
      </w:tabs>
      <w:spacing w:before="60" w:after="60"/>
      <w:ind w:left="340" w:hanging="340"/>
    </w:pPr>
  </w:style>
  <w:style w:type="paragraph" w:styleId="ListBullet">
    <w:name w:val="List Bullet"/>
    <w:basedOn w:val="List"/>
    <w:rsid w:val="001B6FA6"/>
    <w:pPr>
      <w:numPr>
        <w:numId w:val="11"/>
      </w:numPr>
      <w:tabs>
        <w:tab w:val="clear" w:pos="340"/>
      </w:tabs>
      <w:spacing w:before="40" w:after="40"/>
    </w:pPr>
  </w:style>
  <w:style w:type="paragraph" w:customStyle="1" w:styleId="Note">
    <w:name w:val="Note"/>
    <w:basedOn w:val="BodyText"/>
    <w:rsid w:val="001B6F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6FA6"/>
    <w:pPr>
      <w:framePr w:wrap="auto" w:hAnchor="text" w:y="6049"/>
    </w:pPr>
    <w:rPr>
      <w:color w:val="000000"/>
      <w:sz w:val="40"/>
    </w:rPr>
  </w:style>
  <w:style w:type="paragraph" w:customStyle="1" w:styleId="TOCTitle">
    <w:name w:val="TOCTitle"/>
    <w:basedOn w:val="Heading1"/>
    <w:rsid w:val="001B6FA6"/>
    <w:pPr>
      <w:spacing w:after="240"/>
      <w:jc w:val="center"/>
      <w:outlineLvl w:val="9"/>
    </w:pPr>
    <w:rPr>
      <w:caps/>
    </w:rPr>
  </w:style>
  <w:style w:type="paragraph" w:customStyle="1" w:styleId="Version">
    <w:name w:val="Version"/>
    <w:rsid w:val="001B6F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6FA6"/>
    <w:pPr>
      <w:numPr>
        <w:numId w:val="12"/>
      </w:numPr>
      <w:tabs>
        <w:tab w:val="clear" w:pos="680"/>
      </w:tabs>
    </w:pPr>
  </w:style>
  <w:style w:type="paragraph" w:styleId="Index1">
    <w:name w:val="index 1"/>
    <w:basedOn w:val="Normal"/>
    <w:next w:val="Normal"/>
    <w:semiHidden/>
    <w:rsid w:val="001B6FA6"/>
    <w:pPr>
      <w:keepNext w:val="0"/>
      <w:tabs>
        <w:tab w:val="right" w:pos="4176"/>
      </w:tabs>
      <w:ind w:left="198" w:hanging="198"/>
    </w:pPr>
    <w:rPr>
      <w:rFonts w:ascii="Garamond" w:hAnsi="Garamond"/>
    </w:rPr>
  </w:style>
  <w:style w:type="paragraph" w:styleId="IndexHeading">
    <w:name w:val="index heading"/>
    <w:basedOn w:val="Normal"/>
    <w:next w:val="Index1"/>
    <w:semiHidden/>
    <w:rsid w:val="001B6FA6"/>
    <w:pPr>
      <w:spacing w:before="120" w:after="120"/>
    </w:pPr>
    <w:rPr>
      <w:rFonts w:ascii="Arial" w:hAnsi="Arial"/>
      <w:b/>
      <w:color w:val="918585"/>
      <w:sz w:val="24"/>
    </w:rPr>
  </w:style>
  <w:style w:type="paragraph" w:styleId="Header">
    <w:name w:val="header"/>
    <w:basedOn w:val="Normal"/>
    <w:link w:val="HeaderChar"/>
    <w:rsid w:val="001B6F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FA6"/>
    <w:rPr>
      <w:rFonts w:ascii="Times New Roman" w:eastAsia="Times New Roman" w:hAnsi="Times New Roman" w:cs="Times New Roman"/>
      <w:sz w:val="16"/>
      <w:szCs w:val="20"/>
      <w:lang w:val="en-GB" w:eastAsia="en-US"/>
    </w:rPr>
  </w:style>
  <w:style w:type="paragraph" w:customStyle="1" w:styleId="Chapter">
    <w:name w:val="Chapter"/>
    <w:basedOn w:val="Normal"/>
    <w:rsid w:val="001B6FA6"/>
    <w:pPr>
      <w:spacing w:before="240"/>
    </w:pPr>
    <w:rPr>
      <w:rFonts w:ascii="Times New Roman" w:hAnsi="Times New Roman"/>
      <w:smallCaps/>
      <w:spacing w:val="80"/>
      <w:sz w:val="28"/>
    </w:rPr>
  </w:style>
  <w:style w:type="paragraph" w:customStyle="1" w:styleId="InChapter">
    <w:name w:val="InChapter"/>
    <w:basedOn w:val="Heading3"/>
    <w:rsid w:val="001B6FA6"/>
    <w:pPr>
      <w:spacing w:after="240"/>
      <w:outlineLvl w:val="9"/>
    </w:pPr>
    <w:rPr>
      <w:noProof/>
    </w:rPr>
  </w:style>
  <w:style w:type="paragraph" w:styleId="Index2">
    <w:name w:val="index 2"/>
    <w:basedOn w:val="Normal"/>
    <w:next w:val="Normal"/>
    <w:semiHidden/>
    <w:rsid w:val="001B6FA6"/>
    <w:pPr>
      <w:tabs>
        <w:tab w:val="right" w:pos="4176"/>
      </w:tabs>
      <w:ind w:left="568" w:hanging="284"/>
    </w:pPr>
    <w:rPr>
      <w:rFonts w:ascii="Garamond" w:hAnsi="Garamond"/>
    </w:rPr>
  </w:style>
  <w:style w:type="paragraph" w:customStyle="1" w:styleId="Byline">
    <w:name w:val="Byline"/>
    <w:rsid w:val="001B6F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FA6"/>
    <w:pPr>
      <w:tabs>
        <w:tab w:val="clear" w:pos="3600"/>
        <w:tab w:val="clear" w:pos="3958"/>
      </w:tabs>
      <w:jc w:val="right"/>
    </w:pPr>
  </w:style>
  <w:style w:type="character" w:styleId="Emphasis">
    <w:name w:val="Emphasis"/>
    <w:basedOn w:val="DefaultParagraphFont"/>
    <w:qFormat/>
    <w:rsid w:val="001B6FA6"/>
    <w:rPr>
      <w:i/>
    </w:rPr>
  </w:style>
  <w:style w:type="paragraph" w:styleId="Caption">
    <w:name w:val="caption"/>
    <w:basedOn w:val="BodyText"/>
    <w:next w:val="Normal"/>
    <w:qFormat/>
    <w:rsid w:val="001B6FA6"/>
    <w:pPr>
      <w:framePr w:w="2268" w:hSpace="181" w:vSpace="181" w:wrap="around" w:vAnchor="text" w:hAnchor="page" w:x="1135" w:y="285" w:anchorLock="1"/>
    </w:pPr>
    <w:rPr>
      <w:i/>
    </w:rPr>
  </w:style>
  <w:style w:type="paragraph" w:customStyle="1" w:styleId="MiniTOCTitle">
    <w:name w:val="MiniTOCTitle"/>
    <w:basedOn w:val="Heading4"/>
    <w:rsid w:val="001B6FA6"/>
    <w:pPr>
      <w:spacing w:before="240"/>
      <w:outlineLvl w:val="9"/>
    </w:pPr>
    <w:rPr>
      <w:noProof/>
      <w:sz w:val="24"/>
    </w:rPr>
  </w:style>
  <w:style w:type="paragraph" w:customStyle="1" w:styleId="MiniTOCItem">
    <w:name w:val="MiniTOCItem"/>
    <w:basedOn w:val="ListBullet"/>
    <w:rsid w:val="001B6FA6"/>
    <w:pPr>
      <w:numPr>
        <w:numId w:val="0"/>
      </w:numPr>
      <w:tabs>
        <w:tab w:val="right" w:leader="dot" w:pos="6521"/>
      </w:tabs>
      <w:spacing w:before="0" w:after="0"/>
    </w:pPr>
  </w:style>
  <w:style w:type="paragraph" w:customStyle="1" w:styleId="TOFTitle">
    <w:name w:val="TOFTitle"/>
    <w:basedOn w:val="TOCTitle"/>
    <w:rsid w:val="001B6FA6"/>
  </w:style>
  <w:style w:type="paragraph" w:styleId="TableofFigures">
    <w:name w:val="table of figures"/>
    <w:basedOn w:val="Normal"/>
    <w:next w:val="Normal"/>
    <w:semiHidden/>
    <w:rsid w:val="001B6FA6"/>
    <w:pPr>
      <w:tabs>
        <w:tab w:val="right" w:leader="dot" w:pos="9072"/>
      </w:tabs>
      <w:ind w:left="970" w:hanging="403"/>
    </w:pPr>
    <w:rPr>
      <w:rFonts w:ascii="Times New Roman" w:hAnsi="Times New Roman"/>
      <w:b/>
    </w:rPr>
  </w:style>
  <w:style w:type="paragraph" w:styleId="ListNumber">
    <w:name w:val="List Number"/>
    <w:basedOn w:val="List"/>
    <w:rsid w:val="001B6FA6"/>
    <w:pPr>
      <w:numPr>
        <w:numId w:val="9"/>
      </w:numPr>
    </w:pPr>
  </w:style>
  <w:style w:type="character" w:customStyle="1" w:styleId="WingdingSymbols">
    <w:name w:val="Wingding Symbols"/>
    <w:rsid w:val="001B6FA6"/>
    <w:rPr>
      <w:rFonts w:ascii="Wingdings" w:hAnsi="Wingdings"/>
    </w:rPr>
  </w:style>
  <w:style w:type="paragraph" w:customStyle="1" w:styleId="TableHeading">
    <w:name w:val="Table Heading"/>
    <w:basedOn w:val="HeadingBase"/>
    <w:rsid w:val="001B6FA6"/>
    <w:pPr>
      <w:keepLines/>
      <w:pBdr>
        <w:bottom w:val="single" w:sz="6" w:space="1" w:color="918585"/>
      </w:pBdr>
      <w:spacing w:before="240"/>
    </w:pPr>
  </w:style>
  <w:style w:type="character" w:customStyle="1" w:styleId="HotSpot">
    <w:name w:val="HotSpot"/>
    <w:rsid w:val="001B6FA6"/>
    <w:rPr>
      <w:color w:val="0033CC"/>
      <w:u w:val="none"/>
    </w:rPr>
  </w:style>
  <w:style w:type="paragraph" w:customStyle="1" w:styleId="BodyTextRight">
    <w:name w:val="Body Text Right"/>
    <w:basedOn w:val="BodyText"/>
    <w:rsid w:val="001B6FA6"/>
    <w:pPr>
      <w:spacing w:before="0" w:after="0"/>
      <w:jc w:val="right"/>
    </w:pPr>
  </w:style>
  <w:style w:type="paragraph" w:styleId="Index3">
    <w:name w:val="index 3"/>
    <w:basedOn w:val="ListNumber2"/>
    <w:next w:val="Normal"/>
    <w:semiHidden/>
    <w:rsid w:val="001B6FA6"/>
    <w:pPr>
      <w:numPr>
        <w:numId w:val="0"/>
      </w:numPr>
      <w:tabs>
        <w:tab w:val="right" w:leader="dot" w:pos="4176"/>
      </w:tabs>
    </w:pPr>
  </w:style>
  <w:style w:type="paragraph" w:styleId="ListNumber2">
    <w:name w:val="List Number 2"/>
    <w:basedOn w:val="List2"/>
    <w:rsid w:val="001B6FA6"/>
    <w:pPr>
      <w:numPr>
        <w:numId w:val="8"/>
      </w:numPr>
      <w:tabs>
        <w:tab w:val="clear" w:pos="1060"/>
      </w:tabs>
    </w:pPr>
  </w:style>
  <w:style w:type="paragraph" w:customStyle="1" w:styleId="MarginNote">
    <w:name w:val="Margin Note"/>
    <w:basedOn w:val="BodyText"/>
    <w:rsid w:val="001B6F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F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F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6FA6"/>
    <w:rPr>
      <w:sz w:val="32"/>
    </w:rPr>
  </w:style>
  <w:style w:type="paragraph" w:customStyle="1" w:styleId="HeadingProcedure">
    <w:name w:val="Heading Procedure"/>
    <w:basedOn w:val="HeadingBase"/>
    <w:next w:val="Normal"/>
    <w:rsid w:val="001B6FA6"/>
    <w:pPr>
      <w:tabs>
        <w:tab w:val="left" w:pos="0"/>
      </w:tabs>
      <w:spacing w:before="120" w:after="60"/>
    </w:pPr>
    <w:rPr>
      <w:i/>
      <w:color w:val="918585"/>
      <w:sz w:val="22"/>
    </w:rPr>
  </w:style>
  <w:style w:type="paragraph" w:customStyle="1" w:styleId="TableBodyText">
    <w:name w:val="Table Body Text"/>
    <w:basedOn w:val="BodyText"/>
    <w:rsid w:val="001B6FA6"/>
    <w:pPr>
      <w:spacing w:before="60" w:after="60"/>
    </w:pPr>
  </w:style>
  <w:style w:type="paragraph" w:styleId="ListContinue">
    <w:name w:val="List Continue"/>
    <w:basedOn w:val="List"/>
    <w:rsid w:val="001B6FA6"/>
    <w:pPr>
      <w:ind w:firstLine="0"/>
    </w:pPr>
  </w:style>
  <w:style w:type="paragraph" w:customStyle="1" w:styleId="ListNote">
    <w:name w:val="List Note"/>
    <w:basedOn w:val="List"/>
    <w:rsid w:val="001B6FA6"/>
    <w:pPr>
      <w:pBdr>
        <w:top w:val="single" w:sz="6" w:space="2" w:color="918585"/>
        <w:bottom w:val="single" w:sz="6" w:space="2" w:color="918585"/>
      </w:pBdr>
      <w:tabs>
        <w:tab w:val="left" w:pos="1021"/>
      </w:tabs>
      <w:ind w:firstLine="0"/>
    </w:pPr>
  </w:style>
  <w:style w:type="paragraph" w:customStyle="1" w:styleId="Warning">
    <w:name w:val="Warning"/>
    <w:basedOn w:val="BodyText"/>
    <w:rsid w:val="001B6FA6"/>
    <w:pPr>
      <w:shd w:val="clear" w:color="auto" w:fill="D9D9D9"/>
      <w:tabs>
        <w:tab w:val="left" w:pos="992"/>
      </w:tabs>
      <w:ind w:left="119" w:right="119"/>
    </w:pPr>
    <w:rPr>
      <w:sz w:val="20"/>
    </w:rPr>
  </w:style>
  <w:style w:type="paragraph" w:customStyle="1" w:styleId="MarginIcons">
    <w:name w:val="Margin Icons"/>
    <w:basedOn w:val="BodyText"/>
    <w:rsid w:val="001B6F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FA6"/>
    <w:rPr>
      <w:rFonts w:ascii="Courier New" w:hAnsi="Courier New"/>
    </w:rPr>
  </w:style>
  <w:style w:type="paragraph" w:customStyle="1" w:styleId="NoteBullet">
    <w:name w:val="Note Bullet"/>
    <w:basedOn w:val="Note"/>
    <w:rsid w:val="001B6FA6"/>
    <w:pPr>
      <w:tabs>
        <w:tab w:val="clear" w:pos="680"/>
      </w:tabs>
      <w:spacing w:before="60" w:after="60"/>
    </w:pPr>
  </w:style>
  <w:style w:type="paragraph" w:customStyle="1" w:styleId="SubHeading2">
    <w:name w:val="SubHeading2"/>
    <w:basedOn w:val="HeadingBase"/>
    <w:rsid w:val="001B6FA6"/>
    <w:pPr>
      <w:spacing w:before="240" w:after="60"/>
    </w:pPr>
    <w:rPr>
      <w:sz w:val="20"/>
    </w:rPr>
  </w:style>
  <w:style w:type="paragraph" w:customStyle="1" w:styleId="SubHeading1">
    <w:name w:val="SubHeading1"/>
    <w:basedOn w:val="HeadingBase"/>
    <w:rsid w:val="001B6FA6"/>
    <w:pPr>
      <w:spacing w:before="240" w:after="60"/>
    </w:pPr>
    <w:rPr>
      <w:color w:val="918585"/>
      <w:sz w:val="22"/>
    </w:rPr>
  </w:style>
  <w:style w:type="paragraph" w:customStyle="1" w:styleId="SideHeading">
    <w:name w:val="Side Heading"/>
    <w:basedOn w:val="HeadingBase"/>
    <w:rsid w:val="001B6F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FA6"/>
    <w:pPr>
      <w:numPr>
        <w:numId w:val="10"/>
      </w:numPr>
    </w:pPr>
  </w:style>
  <w:style w:type="paragraph" w:styleId="PlainText">
    <w:name w:val="Plain Text"/>
    <w:basedOn w:val="Normal"/>
    <w:link w:val="PlainTextChar"/>
    <w:rsid w:val="001B6FA6"/>
    <w:rPr>
      <w:sz w:val="20"/>
    </w:rPr>
  </w:style>
  <w:style w:type="character" w:customStyle="1" w:styleId="PlainTextChar">
    <w:name w:val="Plain Text Char"/>
    <w:basedOn w:val="DefaultParagraphFont"/>
    <w:link w:val="PlainText"/>
    <w:rsid w:val="001B6FA6"/>
    <w:rPr>
      <w:rFonts w:ascii="Courier New" w:eastAsia="Times New Roman" w:hAnsi="Courier New" w:cs="Times New Roman"/>
      <w:sz w:val="20"/>
      <w:szCs w:val="20"/>
      <w:lang w:eastAsia="en-US"/>
    </w:rPr>
  </w:style>
  <w:style w:type="character" w:customStyle="1" w:styleId="MenuOption">
    <w:name w:val="Menu Option"/>
    <w:basedOn w:val="DefaultParagraphFont"/>
    <w:rsid w:val="001B6FA6"/>
    <w:rPr>
      <w:b/>
      <w:smallCaps/>
    </w:rPr>
  </w:style>
  <w:style w:type="paragraph" w:customStyle="1" w:styleId="TableListNumber">
    <w:name w:val="Table List Number"/>
    <w:basedOn w:val="ListNumber"/>
    <w:rsid w:val="001B6FA6"/>
    <w:pPr>
      <w:numPr>
        <w:numId w:val="0"/>
      </w:numPr>
    </w:pPr>
  </w:style>
  <w:style w:type="paragraph" w:styleId="TOC4">
    <w:name w:val="toc 4"/>
    <w:basedOn w:val="TOCBase"/>
    <w:next w:val="Normal"/>
    <w:semiHidden/>
    <w:rsid w:val="001B6FA6"/>
    <w:pPr>
      <w:tabs>
        <w:tab w:val="right" w:leader="dot" w:pos="9071"/>
      </w:tabs>
      <w:ind w:left="1701"/>
    </w:pPr>
  </w:style>
  <w:style w:type="paragraph" w:customStyle="1" w:styleId="ListAlpha">
    <w:name w:val="List Alpha"/>
    <w:basedOn w:val="List"/>
    <w:rsid w:val="001B6FA6"/>
    <w:pPr>
      <w:numPr>
        <w:numId w:val="7"/>
      </w:numPr>
    </w:pPr>
  </w:style>
  <w:style w:type="paragraph" w:customStyle="1" w:styleId="ListAlpha2">
    <w:name w:val="List Alpha 2"/>
    <w:basedOn w:val="List2"/>
    <w:rsid w:val="001B6FA6"/>
    <w:pPr>
      <w:numPr>
        <w:numId w:val="6"/>
      </w:numPr>
    </w:pPr>
  </w:style>
  <w:style w:type="paragraph" w:styleId="List2">
    <w:name w:val="List 2"/>
    <w:basedOn w:val="BodyText"/>
    <w:rsid w:val="001B6FA6"/>
    <w:pPr>
      <w:tabs>
        <w:tab w:val="left" w:pos="680"/>
      </w:tabs>
      <w:spacing w:before="60" w:after="60"/>
      <w:ind w:left="680" w:hanging="340"/>
    </w:pPr>
  </w:style>
  <w:style w:type="paragraph" w:styleId="List3">
    <w:name w:val="List 3"/>
    <w:basedOn w:val="BodyText"/>
    <w:rsid w:val="001B6FA6"/>
    <w:pPr>
      <w:tabs>
        <w:tab w:val="left" w:pos="1021"/>
      </w:tabs>
      <w:spacing w:before="60" w:after="60"/>
      <w:ind w:left="1020" w:hanging="340"/>
    </w:pPr>
  </w:style>
  <w:style w:type="paragraph" w:styleId="List4">
    <w:name w:val="List 4"/>
    <w:basedOn w:val="BodyText"/>
    <w:rsid w:val="001B6FA6"/>
    <w:pPr>
      <w:tabs>
        <w:tab w:val="left" w:pos="1361"/>
      </w:tabs>
      <w:spacing w:before="60" w:after="60"/>
      <w:ind w:left="1361" w:hanging="340"/>
    </w:pPr>
  </w:style>
  <w:style w:type="paragraph" w:styleId="List5">
    <w:name w:val="List 5"/>
    <w:basedOn w:val="BodyText"/>
    <w:rsid w:val="001B6FA6"/>
    <w:pPr>
      <w:tabs>
        <w:tab w:val="left" w:pos="1701"/>
      </w:tabs>
      <w:spacing w:before="60" w:after="60"/>
      <w:ind w:left="1701" w:hanging="340"/>
    </w:pPr>
  </w:style>
  <w:style w:type="paragraph" w:styleId="ListBullet3">
    <w:name w:val="List Bullet 3"/>
    <w:basedOn w:val="List3"/>
    <w:rsid w:val="001B6FA6"/>
    <w:pPr>
      <w:numPr>
        <w:numId w:val="13"/>
      </w:numPr>
      <w:tabs>
        <w:tab w:val="clear" w:pos="1021"/>
      </w:tabs>
      <w:ind w:left="1037" w:hanging="357"/>
    </w:pPr>
  </w:style>
  <w:style w:type="paragraph" w:styleId="ListBullet4">
    <w:name w:val="List Bullet 4"/>
    <w:basedOn w:val="List4"/>
    <w:rsid w:val="001B6FA6"/>
    <w:pPr>
      <w:numPr>
        <w:numId w:val="1"/>
      </w:numPr>
      <w:tabs>
        <w:tab w:val="clear" w:pos="1361"/>
      </w:tabs>
    </w:pPr>
  </w:style>
  <w:style w:type="paragraph" w:styleId="ListBullet5">
    <w:name w:val="List Bullet 5"/>
    <w:basedOn w:val="List5"/>
    <w:rsid w:val="001B6FA6"/>
    <w:pPr>
      <w:numPr>
        <w:numId w:val="2"/>
      </w:numPr>
    </w:pPr>
  </w:style>
  <w:style w:type="paragraph" w:styleId="ListContinue2">
    <w:name w:val="List Continue 2"/>
    <w:basedOn w:val="List2"/>
    <w:rsid w:val="001B6FA6"/>
    <w:pPr>
      <w:ind w:firstLine="0"/>
    </w:pPr>
  </w:style>
  <w:style w:type="paragraph" w:styleId="ListContinue3">
    <w:name w:val="List Continue 3"/>
    <w:basedOn w:val="List3"/>
    <w:rsid w:val="001B6FA6"/>
    <w:pPr>
      <w:ind w:left="1021" w:firstLine="0"/>
    </w:pPr>
  </w:style>
  <w:style w:type="paragraph" w:styleId="ListContinue4">
    <w:name w:val="List Continue 4"/>
    <w:basedOn w:val="List4"/>
    <w:rsid w:val="001B6FA6"/>
    <w:pPr>
      <w:ind w:firstLine="0"/>
    </w:pPr>
  </w:style>
  <w:style w:type="paragraph" w:styleId="ListContinue5">
    <w:name w:val="List Continue 5"/>
    <w:basedOn w:val="List5"/>
    <w:rsid w:val="001B6FA6"/>
    <w:pPr>
      <w:ind w:firstLine="0"/>
    </w:pPr>
  </w:style>
  <w:style w:type="paragraph" w:styleId="ListNumber3">
    <w:name w:val="List Number 3"/>
    <w:basedOn w:val="List3"/>
    <w:rsid w:val="001B6FA6"/>
    <w:pPr>
      <w:numPr>
        <w:numId w:val="3"/>
      </w:numPr>
    </w:pPr>
  </w:style>
  <w:style w:type="paragraph" w:styleId="ListNumber4">
    <w:name w:val="List Number 4"/>
    <w:basedOn w:val="List4"/>
    <w:rsid w:val="001B6FA6"/>
    <w:pPr>
      <w:numPr>
        <w:numId w:val="4"/>
      </w:numPr>
    </w:pPr>
  </w:style>
  <w:style w:type="paragraph" w:styleId="ListNumber5">
    <w:name w:val="List Number 5"/>
    <w:basedOn w:val="List5"/>
    <w:rsid w:val="001B6FA6"/>
    <w:pPr>
      <w:numPr>
        <w:numId w:val="5"/>
      </w:numPr>
    </w:pPr>
  </w:style>
  <w:style w:type="paragraph" w:styleId="BlockText">
    <w:name w:val="Block Text"/>
    <w:basedOn w:val="Normal"/>
    <w:rsid w:val="001B6FA6"/>
    <w:pPr>
      <w:spacing w:after="120"/>
      <w:ind w:left="1440" w:right="1440"/>
    </w:pPr>
  </w:style>
  <w:style w:type="character" w:customStyle="1" w:styleId="Subscript">
    <w:name w:val="Subscript"/>
    <w:basedOn w:val="DefaultParagraphFont"/>
    <w:rsid w:val="001B6FA6"/>
    <w:rPr>
      <w:sz w:val="16"/>
      <w:vertAlign w:val="subscript"/>
    </w:rPr>
  </w:style>
  <w:style w:type="character" w:customStyle="1" w:styleId="Superscript">
    <w:name w:val="Superscript"/>
    <w:basedOn w:val="DefaultParagraphFont"/>
    <w:rsid w:val="001B6FA6"/>
    <w:rPr>
      <w:sz w:val="16"/>
      <w:vertAlign w:val="superscript"/>
    </w:rPr>
  </w:style>
  <w:style w:type="character" w:customStyle="1" w:styleId="Symbols">
    <w:name w:val="Symbols"/>
    <w:basedOn w:val="DefaultParagraphFont"/>
    <w:rsid w:val="001B6FA6"/>
    <w:rPr>
      <w:rFonts w:ascii="Symbol" w:hAnsi="Symbol"/>
    </w:rPr>
  </w:style>
  <w:style w:type="character" w:customStyle="1" w:styleId="MenuOptions">
    <w:name w:val="Menu Options"/>
    <w:basedOn w:val="DefaultParagraphFont"/>
    <w:rsid w:val="001B6FA6"/>
    <w:rPr>
      <w:rFonts w:ascii="Arial Narrow" w:hAnsi="Arial Narrow"/>
      <w:smallCaps/>
    </w:rPr>
  </w:style>
  <w:style w:type="character" w:customStyle="1" w:styleId="Buttons">
    <w:name w:val="Buttons"/>
    <w:basedOn w:val="DefaultParagraphFont"/>
    <w:rsid w:val="001B6FA6"/>
    <w:rPr>
      <w:b/>
    </w:rPr>
  </w:style>
  <w:style w:type="character" w:customStyle="1" w:styleId="Underlined">
    <w:name w:val="Underlined"/>
    <w:basedOn w:val="DefaultParagraphFont"/>
    <w:rsid w:val="001B6FA6"/>
    <w:rPr>
      <w:u w:val="single"/>
    </w:rPr>
  </w:style>
  <w:style w:type="paragraph" w:customStyle="1" w:styleId="TableBodyTextRight">
    <w:name w:val="Table Body Text Right"/>
    <w:basedOn w:val="TableBodyText"/>
    <w:rsid w:val="001B6FA6"/>
    <w:pPr>
      <w:widowControl w:val="0"/>
      <w:autoSpaceDE w:val="0"/>
      <w:autoSpaceDN w:val="0"/>
      <w:adjustRightInd w:val="0"/>
      <w:jc w:val="right"/>
    </w:pPr>
    <w:rPr>
      <w:rFonts w:cs="Arial"/>
      <w:szCs w:val="18"/>
    </w:rPr>
  </w:style>
  <w:style w:type="paragraph" w:customStyle="1" w:styleId="CopyrightText">
    <w:name w:val="Copyright Text"/>
    <w:basedOn w:val="BodyText"/>
    <w:rsid w:val="001B6FA6"/>
    <w:rPr>
      <w:sz w:val="18"/>
    </w:rPr>
  </w:style>
  <w:style w:type="paragraph" w:customStyle="1" w:styleId="BodySmallRight">
    <w:name w:val="Body Small Right"/>
    <w:basedOn w:val="BodyTextRight"/>
    <w:rsid w:val="001B6FA6"/>
    <w:rPr>
      <w:sz w:val="18"/>
      <w:szCs w:val="18"/>
    </w:rPr>
  </w:style>
  <w:style w:type="paragraph" w:customStyle="1" w:styleId="MarginEdition">
    <w:name w:val="Margin Edition"/>
    <w:basedOn w:val="MarginNote"/>
    <w:rsid w:val="001B6FA6"/>
    <w:pPr>
      <w:spacing w:before="0" w:after="0"/>
    </w:pPr>
    <w:rPr>
      <w:rFonts w:ascii="Times New Roman" w:hAnsi="Times New Roman"/>
      <w:color w:val="999999"/>
    </w:rPr>
  </w:style>
  <w:style w:type="paragraph" w:customStyle="1" w:styleId="Spacer">
    <w:name w:val="Spacer"/>
    <w:basedOn w:val="Normal"/>
    <w:rsid w:val="001B6FA6"/>
    <w:rPr>
      <w:sz w:val="2"/>
      <w:szCs w:val="2"/>
    </w:rPr>
  </w:style>
  <w:style w:type="character" w:customStyle="1" w:styleId="Small">
    <w:name w:val="Small"/>
    <w:basedOn w:val="DefaultParagraphFont"/>
    <w:rsid w:val="001B6FA6"/>
    <w:rPr>
      <w:sz w:val="16"/>
    </w:rPr>
  </w:style>
  <w:style w:type="paragraph" w:customStyle="1" w:styleId="WideTable">
    <w:name w:val="Wide Table"/>
    <w:basedOn w:val="Normal"/>
    <w:rsid w:val="001B6FA6"/>
    <w:pPr>
      <w:ind w:left="-1418"/>
    </w:pPr>
    <w:rPr>
      <w:sz w:val="2"/>
      <w:szCs w:val="2"/>
    </w:rPr>
  </w:style>
  <w:style w:type="character" w:styleId="PageNumber">
    <w:name w:val="page number"/>
    <w:basedOn w:val="DefaultParagraphFont"/>
    <w:rsid w:val="001B6FA6"/>
  </w:style>
  <w:style w:type="paragraph" w:styleId="Quote">
    <w:name w:val="Quote"/>
    <w:basedOn w:val="Heading1"/>
    <w:link w:val="QuoteChar"/>
    <w:qFormat/>
    <w:rsid w:val="001B6FA6"/>
    <w:rPr>
      <w:b w:val="0"/>
      <w:sz w:val="72"/>
      <w:szCs w:val="72"/>
      <w:lang w:val="en-NZ"/>
    </w:rPr>
  </w:style>
  <w:style w:type="character" w:customStyle="1" w:styleId="QuoteChar">
    <w:name w:val="Quote Char"/>
    <w:basedOn w:val="DefaultParagraphFont"/>
    <w:link w:val="Quote"/>
    <w:rsid w:val="001B6F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FA6"/>
    <w:pPr>
      <w:pageBreakBefore/>
    </w:pPr>
  </w:style>
  <w:style w:type="paragraph" w:customStyle="1" w:styleId="Border">
    <w:name w:val="Border"/>
    <w:basedOn w:val="Normal"/>
    <w:qFormat/>
    <w:rsid w:val="001B6F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FA6"/>
    <w:rPr>
      <w:b/>
      <w:bCs/>
      <w:i/>
      <w:iCs/>
      <w:color w:val="auto"/>
    </w:rPr>
  </w:style>
  <w:style w:type="paragraph" w:styleId="IntenseQuote">
    <w:name w:val="Intense Quote"/>
    <w:basedOn w:val="Normal"/>
    <w:next w:val="Normal"/>
    <w:link w:val="IntenseQuoteChar"/>
    <w:uiPriority w:val="30"/>
    <w:qFormat/>
    <w:rsid w:val="001B6F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F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6FA6"/>
    <w:rPr>
      <w:smallCaps/>
      <w:color w:val="auto"/>
      <w:u w:val="single"/>
    </w:rPr>
  </w:style>
  <w:style w:type="character" w:styleId="IntenseReference">
    <w:name w:val="Intense Reference"/>
    <w:basedOn w:val="DefaultParagraphFont"/>
    <w:uiPriority w:val="32"/>
    <w:qFormat/>
    <w:rsid w:val="001B6FA6"/>
    <w:rPr>
      <w:b/>
      <w:bCs/>
      <w:smallCaps/>
      <w:color w:val="auto"/>
      <w:spacing w:val="5"/>
      <w:u w:val="single"/>
    </w:rPr>
  </w:style>
  <w:style w:type="paragraph" w:customStyle="1" w:styleId="2ColumnHeading">
    <w:name w:val="2Column Heading"/>
    <w:basedOn w:val="BodyText"/>
    <w:qFormat/>
    <w:rsid w:val="001B6FA6"/>
    <w:pPr>
      <w:spacing w:after="60"/>
      <w:ind w:left="-2268"/>
    </w:pPr>
    <w:rPr>
      <w:b/>
    </w:rPr>
  </w:style>
  <w:style w:type="paragraph" w:customStyle="1" w:styleId="Heading1TOC">
    <w:name w:val="Heading1 TOC"/>
    <w:basedOn w:val="Normal"/>
    <w:qFormat/>
    <w:rsid w:val="001B6FA6"/>
    <w:pPr>
      <w:spacing w:before="240" w:after="120"/>
    </w:pPr>
    <w:rPr>
      <w:rFonts w:ascii="Times New Roman" w:hAnsi="Times New Roman"/>
      <w:b/>
      <w:sz w:val="32"/>
    </w:rPr>
  </w:style>
  <w:style w:type="paragraph" w:customStyle="1" w:styleId="Heading2TOC">
    <w:name w:val="Heading2 TOC"/>
    <w:basedOn w:val="Normal"/>
    <w:qFormat/>
    <w:rsid w:val="001B6FA6"/>
    <w:pPr>
      <w:spacing w:before="240" w:after="60"/>
    </w:pPr>
    <w:rPr>
      <w:rFonts w:ascii="Times New Roman" w:hAnsi="Times New Roman"/>
      <w:b/>
      <w:sz w:val="28"/>
    </w:rPr>
  </w:style>
  <w:style w:type="character" w:customStyle="1" w:styleId="Underline">
    <w:name w:val="Underline"/>
    <w:basedOn w:val="DefaultParagraphFont"/>
    <w:qFormat/>
    <w:rsid w:val="001B6FA6"/>
    <w:rPr>
      <w:u w:val="single"/>
    </w:rPr>
  </w:style>
  <w:style w:type="character" w:customStyle="1" w:styleId="BoldandItalics">
    <w:name w:val="Bold and Italics"/>
    <w:qFormat/>
    <w:rsid w:val="001B6FA6"/>
    <w:rPr>
      <w:b/>
      <w:i/>
      <w:u w:val="none"/>
    </w:rPr>
  </w:style>
  <w:style w:type="paragraph" w:styleId="BalloonText">
    <w:name w:val="Balloon Text"/>
    <w:basedOn w:val="Normal"/>
    <w:link w:val="BalloonTextChar"/>
    <w:rsid w:val="001B6FA6"/>
    <w:rPr>
      <w:rFonts w:ascii="Tahoma" w:hAnsi="Tahoma" w:cs="Tahoma"/>
      <w:sz w:val="16"/>
      <w:szCs w:val="16"/>
    </w:rPr>
  </w:style>
  <w:style w:type="character" w:customStyle="1" w:styleId="BalloonTextChar">
    <w:name w:val="Balloon Text Char"/>
    <w:basedOn w:val="DefaultParagraphFont"/>
    <w:link w:val="BalloonText"/>
    <w:rsid w:val="001B6F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6F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6F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6FA6"/>
    <w:rPr>
      <w:b/>
      <w:color w:val="660033"/>
      <w:spacing w:val="0"/>
    </w:rPr>
  </w:style>
  <w:style w:type="paragraph" w:customStyle="1" w:styleId="Nameditemlist">
    <w:name w:val="Named item list"/>
    <w:basedOn w:val="BodyText"/>
    <w:qFormat/>
    <w:rsid w:val="001B6FA6"/>
    <w:pPr>
      <w:tabs>
        <w:tab w:val="left" w:pos="2835"/>
      </w:tabs>
      <w:ind w:left="2835" w:hanging="2835"/>
    </w:pPr>
  </w:style>
  <w:style w:type="paragraph" w:customStyle="1" w:styleId="BodyTextnopadding">
    <w:name w:val="Body Text no padding"/>
    <w:basedOn w:val="BodyText"/>
    <w:qFormat/>
    <w:rsid w:val="001B6FA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839</Words>
  <Characters>5572</Characters>
  <Application>Microsoft Office Word</Application>
  <DocSecurity>0</DocSecurity>
  <Lines>227</Lines>
  <Paragraphs>99</Paragraphs>
  <ScaleCrop>false</ScaleCrop>
  <Company>Author-it Software Corporation Ltd.</Company>
  <LinksUpToDate>false</LinksUpToDate>
  <CharactersWithSpaces>6322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UEPMNT320 Inspect and repair faults in mechanical equipment and components</dc:title>
  <dc:subject>Approved</dc:subject>
  <dc:creator>Australian Industry Standards</dc:creator>
  <cp:keywords>Release: 1</cp:keywords>
  <dc:description>Review Date: 12 April 2008</dc:description>
  <cp:lastModifiedBy>HSD_TPCMSd.prod</cp:lastModifiedBy>
  <cp:revision>3</cp:revision>
  <dcterms:created xsi:type="dcterms:W3CDTF">2018-10-31T02:52:00Z</dcterms:created>
  <dcterms:modified xsi:type="dcterms:W3CDTF">2018-10-31T02:52:00Z</dcterms:modified>
</cp:coreProperties>
</file>