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BA5" w:rsidP="00C63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UEPMNT309 Maintain material feeders</w:t>
      </w:r>
      <w:r>
        <w:fldChar w:fldCharType="end"/>
      </w:r>
    </w:p>
    <w:p w:rsidR="00C63BA5" w:rsidP="00C63BA5">
      <w:pPr>
        <w:pStyle w:val="Version"/>
        <w:sectPr w:rsidSect="00CA7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7C76" w:rsidP="00CA7C76">
      <w:pPr>
        <w:pStyle w:val="SuperHeading"/>
      </w:pPr>
      <w:r w:rsidRPr="00CA7C76">
        <w:t>Assessment Requirements for UEPMNT309 Maintain material feeders</w:t>
      </w:r>
    </w:p>
    <w:p w:rsidR="00000000" w:rsidRPr="00CA7C76" w:rsidP="00CA7C76">
      <w:pPr>
        <w:pStyle w:val="Heading1"/>
      </w:pPr>
      <w:bookmarkStart w:id="1" w:name="O_1228324"/>
      <w:bookmarkEnd w:id="1"/>
      <w:r w:rsidRPr="00CA7C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76" w:rsidP="00CA7C76">
            <w:pPr>
              <w:pStyle w:val="BodyText"/>
            </w:pPr>
            <w:r w:rsidRPr="00CA7C76">
              <w:rPr>
                <w:rStyle w:val="SpecialBold"/>
              </w:rPr>
              <w:t>Release 2.</w:t>
            </w:r>
            <w:r w:rsidRPr="00CA7C76">
              <w:t xml:space="preserve"> Minor release to update superseded pre-requisite units.</w:t>
            </w:r>
          </w:p>
          <w:p w:rsidR="00000000" w:rsidRPr="00CA7C76" w:rsidP="00CA7C76">
            <w:pPr>
              <w:pStyle w:val="BodyText"/>
            </w:pPr>
            <w:r w:rsidRPr="00CA7C76">
              <w:rPr>
                <w:rStyle w:val="SpecialBold"/>
              </w:rPr>
              <w:t>Release 1</w:t>
            </w:r>
            <w:r w:rsidRPr="00CA7C76">
              <w:t>. This is the first release of this unit of competency in the UEP Generation Training Package.</w:t>
            </w:r>
          </w:p>
        </w:tc>
      </w:tr>
    </w:tbl>
    <w:p w:rsidR="00000000" w:rsidRPr="00CA7C76" w:rsidP="00CA7C76">
      <w:pPr>
        <w:pStyle w:val="NoPaddingFontSize1"/>
      </w:pPr>
    </w:p>
    <w:p w:rsidR="00000000" w:rsidRPr="00CA7C76" w:rsidP="00CA7C76">
      <w:pPr>
        <w:pStyle w:val="AllowPageBreak"/>
      </w:pPr>
    </w:p>
    <w:p w:rsidR="00000000" w:rsidRPr="00CA7C76" w:rsidP="00CA7C76">
      <w:pPr>
        <w:pStyle w:val="Heading1"/>
      </w:pPr>
      <w:bookmarkStart w:id="2" w:name="O_1228323"/>
      <w:bookmarkEnd w:id="2"/>
      <w:r w:rsidRPr="00CA7C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76">
            <w:pPr>
              <w:pStyle w:val="BodyText"/>
              <w:rPr>
                <w:lang w:val="en-NZ"/>
              </w:rPr>
            </w:pPr>
            <w:r w:rsidRPr="00CA7C76">
              <w:t>Evidence required to demonstrate competence in this unit must be relevant to and satisfy all the requirements of the el</w:t>
            </w:r>
            <w:r w:rsidRPr="00CA7C76">
              <w:t xml:space="preserve">ements, performance criteria and range of conditions on at least two separate occasions and includes: </w:t>
            </w:r>
          </w:p>
        </w:tc>
      </w:tr>
      <w:tr w:rsidTr="00CA7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76" w:rsidP="00CA7C76">
            <w:pPr>
              <w:pStyle w:val="ListBullet"/>
            </w:pPr>
            <w:r w:rsidRPr="00CA7C76">
              <w:t>applying Work, Health and Safety (WHS)/Occupational Health and Safety (OHS) requirements including:</w:t>
            </w:r>
          </w:p>
          <w:p w:rsidR="00000000" w:rsidRPr="00CA7C76" w:rsidP="00CA7C76">
            <w:pPr>
              <w:pStyle w:val="ListBullet2"/>
            </w:pPr>
            <w:r w:rsidRPr="00CA7C76">
              <w:t>emergency procedures</w:t>
            </w:r>
          </w:p>
          <w:p w:rsidR="00000000" w:rsidRPr="00CA7C76" w:rsidP="00CA7C76">
            <w:pPr>
              <w:pStyle w:val="ListBullet2"/>
            </w:pPr>
            <w:r w:rsidRPr="00CA7C76">
              <w:t>hazard identification</w:t>
            </w:r>
          </w:p>
          <w:p w:rsidR="00000000" w:rsidRPr="00CA7C76" w:rsidP="00CA7C76">
            <w:pPr>
              <w:pStyle w:val="ListBullet2"/>
            </w:pPr>
            <w:r w:rsidRPr="00CA7C76">
              <w:t>risk control measures</w:t>
            </w:r>
          </w:p>
          <w:p w:rsidR="00000000" w:rsidRPr="00CA7C76" w:rsidP="00CA7C76">
            <w:pPr>
              <w:pStyle w:val="ListBullet2"/>
            </w:pPr>
            <w:r w:rsidRPr="00CA7C76">
              <w:t>safe working practices</w:t>
            </w:r>
          </w:p>
          <w:p w:rsidR="00000000" w:rsidRPr="00CA7C76" w:rsidP="00CA7C76">
            <w:pPr>
              <w:pStyle w:val="ListBullet"/>
            </w:pPr>
            <w:r w:rsidRPr="00CA7C76">
              <w:t>communicating with personnel</w:t>
            </w:r>
          </w:p>
          <w:p w:rsidR="00000000" w:rsidRPr="00CA7C76" w:rsidP="00CA7C76">
            <w:pPr>
              <w:pStyle w:val="ListBullet"/>
            </w:pPr>
            <w:r w:rsidRPr="00CA7C76">
              <w:t>completing work as per schedule requirements</w:t>
            </w:r>
          </w:p>
          <w:p w:rsidR="00000000" w:rsidRPr="00CA7C76" w:rsidP="00CA7C76">
            <w:pPr>
              <w:pStyle w:val="ListBullet"/>
            </w:pPr>
            <w:r w:rsidRPr="00CA7C76">
              <w:t>conducting material feeder in-service testing using in-servicing testing procedures</w:t>
            </w:r>
          </w:p>
          <w:p w:rsidR="00000000" w:rsidRPr="00CA7C76" w:rsidP="00CA7C76">
            <w:pPr>
              <w:pStyle w:val="ListBullet"/>
            </w:pPr>
            <w:r w:rsidRPr="00CA7C76">
              <w:t>dismantling and reassembling components</w:t>
            </w:r>
          </w:p>
          <w:p w:rsidR="00000000" w:rsidRPr="00CA7C76" w:rsidP="00CA7C76">
            <w:pPr>
              <w:pStyle w:val="ListBullet"/>
            </w:pPr>
            <w:r w:rsidRPr="00CA7C76">
              <w:t xml:space="preserve">identifying </w:t>
            </w:r>
            <w:r w:rsidRPr="00CA7C76">
              <w:t>and selecting resources, materials and components</w:t>
            </w:r>
          </w:p>
          <w:p w:rsidR="00000000" w:rsidRPr="00CA7C76" w:rsidP="00CA7C76">
            <w:pPr>
              <w:pStyle w:val="ListBullet"/>
            </w:pPr>
            <w:r w:rsidRPr="00CA7C76">
              <w:t>interpreting manufacturers</w:t>
            </w:r>
            <w:r>
              <w:t>’</w:t>
            </w:r>
            <w:r w:rsidRPr="00CA7C76">
              <w:t xml:space="preserve"> specifications and manuals</w:t>
            </w:r>
          </w:p>
          <w:p w:rsidR="00000000" w:rsidRPr="00CA7C76" w:rsidP="00CA7C76">
            <w:pPr>
              <w:pStyle w:val="ListBullet"/>
            </w:pPr>
            <w:r w:rsidRPr="00CA7C76">
              <w:t>interpreting technical drawings and data</w:t>
            </w:r>
          </w:p>
          <w:p w:rsidR="00000000" w:rsidRPr="00CA7C76" w:rsidP="00CA7C76">
            <w:pPr>
              <w:pStyle w:val="ListBullet"/>
            </w:pPr>
            <w:r w:rsidRPr="00CA7C76">
              <w:t>maintaining material feeders using maintenance techniques and procedures including levelling and alignment tec</w:t>
            </w:r>
            <w:r w:rsidRPr="00CA7C76">
              <w:t>hniques and adjustments for desired material feed rate replacing and installing material feeders using removal or installation techniques and procedures</w:t>
            </w:r>
          </w:p>
          <w:p w:rsidR="00000000" w:rsidRPr="00CA7C76" w:rsidP="00CA7C76">
            <w:pPr>
              <w:pStyle w:val="ListBullet"/>
            </w:pPr>
            <w:r w:rsidRPr="00CA7C76">
              <w:t>planning for material feeder maintenance work</w:t>
            </w:r>
          </w:p>
          <w:p w:rsidR="00000000" w:rsidRPr="00CA7C76" w:rsidP="00CA7C76">
            <w:pPr>
              <w:pStyle w:val="ListBullet"/>
            </w:pPr>
            <w:r w:rsidRPr="00CA7C76">
              <w:t>removing equipment to facilitate maintenance using remova</w:t>
            </w:r>
            <w:r w:rsidRPr="00CA7C76">
              <w:t>l techniques</w:t>
            </w:r>
          </w:p>
          <w:p w:rsidR="00000000" w:rsidRPr="00CA7C76" w:rsidP="00CA7C76">
            <w:pPr>
              <w:pStyle w:val="ListBullet"/>
            </w:pPr>
            <w:r w:rsidRPr="00CA7C76">
              <w:t>using tools</w:t>
            </w:r>
          </w:p>
          <w:p w:rsidR="00000000" w:rsidRPr="00CA7C76" w:rsidP="00CA7C76">
            <w:pPr>
              <w:pStyle w:val="ListBullet"/>
            </w:pPr>
            <w:r w:rsidRPr="00CA7C76">
              <w:t>utilising data analysis techniques</w:t>
            </w:r>
          </w:p>
          <w:p w:rsidR="00000000" w:rsidRPr="00CA7C76" w:rsidP="00CA7C76">
            <w:pPr>
              <w:pStyle w:val="ListBullet"/>
            </w:pPr>
            <w:r w:rsidRPr="00CA7C76">
              <w:t>working with permit to work system</w:t>
            </w:r>
          </w:p>
        </w:tc>
      </w:tr>
    </w:tbl>
    <w:p w:rsidR="00000000" w:rsidRPr="00CA7C76" w:rsidP="00CA7C76">
      <w:pPr>
        <w:pStyle w:val="NoPaddingFontSize1"/>
      </w:pPr>
    </w:p>
    <w:p w:rsidR="00000000" w:rsidRPr="00CA7C76" w:rsidP="00CA7C76">
      <w:pPr>
        <w:pStyle w:val="AllowPageBreak"/>
      </w:pPr>
    </w:p>
    <w:p w:rsidR="00000000" w:rsidRPr="00CA7C76" w:rsidP="00CA7C76">
      <w:pPr>
        <w:pStyle w:val="Heading1"/>
      </w:pPr>
      <w:bookmarkStart w:id="3" w:name="O_1228322"/>
      <w:bookmarkEnd w:id="3"/>
      <w:r w:rsidRPr="00CA7C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76">
            <w:pPr>
              <w:pStyle w:val="BodyText"/>
              <w:rPr>
                <w:lang w:val="en-NZ"/>
              </w:rPr>
            </w:pPr>
            <w:r w:rsidRPr="00CA7C76">
              <w:t>Evidence required to demonstrate competence in this unit must be relevant to</w:t>
            </w:r>
            <w:r w:rsidRPr="00CA7C76">
              <w:t xml:space="preserve"> and satisfy all the requirements of the elements, performance criteria and range of conditions and includes knowledge of: </w:t>
            </w:r>
          </w:p>
        </w:tc>
      </w:tr>
      <w:tr w:rsidTr="00CA7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76" w:rsidP="00CA7C76">
            <w:pPr>
              <w:pStyle w:val="ListBullet"/>
            </w:pPr>
            <w:r w:rsidRPr="00CA7C76">
              <w:t>adjustments for desired material feed rate</w:t>
            </w:r>
          </w:p>
          <w:p w:rsidR="00000000" w:rsidRPr="00CA7C76" w:rsidP="00CA7C76">
            <w:pPr>
              <w:pStyle w:val="ListBullet"/>
            </w:pPr>
            <w:r w:rsidRPr="00CA7C76">
              <w:t xml:space="preserve">component dismantling and reassembling </w:t>
            </w:r>
          </w:p>
          <w:p w:rsidR="00000000" w:rsidRPr="00CA7C76" w:rsidP="00CA7C76">
            <w:pPr>
              <w:pStyle w:val="ListBullet"/>
            </w:pPr>
            <w:r w:rsidRPr="00CA7C76">
              <w:t>data analysis techniques</w:t>
            </w:r>
          </w:p>
          <w:p w:rsidR="00000000" w:rsidRPr="00CA7C76" w:rsidP="00CA7C76">
            <w:pPr>
              <w:pStyle w:val="ListBullet"/>
            </w:pPr>
            <w:r w:rsidRPr="00CA7C76">
              <w:t>feeder types and opera</w:t>
            </w:r>
            <w:r w:rsidRPr="00CA7C76">
              <w:t>ting characteristics</w:t>
            </w:r>
          </w:p>
          <w:p w:rsidR="00000000" w:rsidRPr="00CA7C76" w:rsidP="00CA7C76">
            <w:pPr>
              <w:pStyle w:val="ListBullet"/>
            </w:pPr>
            <w:r w:rsidRPr="00CA7C76">
              <w:t>legislation, industry standards, codes of practice and regulations</w:t>
            </w:r>
          </w:p>
          <w:p w:rsidR="00000000" w:rsidRPr="00CA7C76" w:rsidP="00CA7C76">
            <w:pPr>
              <w:pStyle w:val="ListBullet"/>
            </w:pPr>
            <w:r w:rsidRPr="00CA7C76">
              <w:t>level and alignment techniques</w:t>
            </w:r>
          </w:p>
          <w:p w:rsidR="00000000" w:rsidRPr="00CA7C76" w:rsidP="00CA7C76">
            <w:pPr>
              <w:pStyle w:val="ListBullet"/>
            </w:pPr>
            <w:r w:rsidRPr="00CA7C76">
              <w:t xml:space="preserve">maintenance of material feeders </w:t>
            </w:r>
          </w:p>
          <w:p w:rsidR="00000000" w:rsidRPr="00CA7C76" w:rsidP="00CA7C76">
            <w:pPr>
              <w:pStyle w:val="ListBullet"/>
            </w:pPr>
            <w:r w:rsidRPr="00CA7C76">
              <w:t>manufacturers</w:t>
            </w:r>
            <w:r>
              <w:t>’</w:t>
            </w:r>
            <w:r w:rsidRPr="00CA7C76">
              <w:t xml:space="preserve"> specifications</w:t>
            </w:r>
          </w:p>
          <w:p w:rsidR="00000000" w:rsidRPr="00CA7C76" w:rsidP="00CA7C76">
            <w:pPr>
              <w:pStyle w:val="ListBullet"/>
            </w:pPr>
            <w:r w:rsidRPr="00CA7C76">
              <w:t>materials and components</w:t>
            </w:r>
          </w:p>
          <w:p w:rsidR="00000000" w:rsidRPr="00CA7C76" w:rsidP="00CA7C76">
            <w:pPr>
              <w:pStyle w:val="ListBullet"/>
            </w:pPr>
            <w:r w:rsidRPr="00CA7C76">
              <w:t>permit to work system</w:t>
            </w:r>
          </w:p>
          <w:p w:rsidR="00000000" w:rsidRPr="00CA7C76" w:rsidP="00CA7C76">
            <w:pPr>
              <w:pStyle w:val="ListBullet"/>
            </w:pPr>
            <w:r w:rsidRPr="00CA7C76">
              <w:t>technical drawings and data</w:t>
            </w:r>
          </w:p>
          <w:p w:rsidR="00000000" w:rsidRPr="00CA7C76" w:rsidP="00CA7C76">
            <w:pPr>
              <w:pStyle w:val="ListBullet"/>
            </w:pPr>
            <w:r w:rsidRPr="00CA7C76">
              <w:t>tools</w:t>
            </w:r>
          </w:p>
          <w:p w:rsidR="00000000" w:rsidRPr="00CA7C76" w:rsidP="00CA7C76">
            <w:pPr>
              <w:pStyle w:val="ListBullet"/>
            </w:pPr>
            <w:r w:rsidRPr="00CA7C76">
              <w:t>typical arrangements of power production plant</w:t>
            </w:r>
          </w:p>
          <w:p w:rsidR="00000000" w:rsidRPr="00CA7C76" w:rsidP="00CA7C76">
            <w:pPr>
              <w:pStyle w:val="ListBullet"/>
            </w:pPr>
            <w:r w:rsidRPr="00CA7C76">
              <w:t>WHS/OHS legislated requirements including:</w:t>
            </w:r>
          </w:p>
          <w:p w:rsidR="00000000" w:rsidRPr="00CA7C76" w:rsidP="00CA7C76">
            <w:pPr>
              <w:pStyle w:val="ListBullet2"/>
            </w:pPr>
            <w:r w:rsidRPr="00CA7C76">
              <w:t>emergency procedures</w:t>
            </w:r>
          </w:p>
          <w:p w:rsidR="00000000" w:rsidRPr="00CA7C76" w:rsidP="00CA7C76">
            <w:pPr>
              <w:pStyle w:val="ListBullet2"/>
            </w:pPr>
            <w:r w:rsidRPr="00CA7C76">
              <w:t>hazard identification</w:t>
            </w:r>
          </w:p>
          <w:p w:rsidR="00000000" w:rsidRPr="00CA7C76" w:rsidP="00CA7C76">
            <w:pPr>
              <w:pStyle w:val="ListBullet2"/>
            </w:pPr>
            <w:r w:rsidRPr="00CA7C76">
              <w:t>risk control measures</w:t>
            </w:r>
          </w:p>
          <w:p w:rsidR="00000000" w:rsidRPr="00CA7C76" w:rsidP="00CA7C76">
            <w:pPr>
              <w:pStyle w:val="ListBullet2"/>
            </w:pPr>
            <w:r w:rsidRPr="00CA7C76">
              <w:t>safe working practices</w:t>
            </w:r>
          </w:p>
          <w:p w:rsidR="00000000" w:rsidRPr="00CA7C76" w:rsidP="00CA7C76">
            <w:pPr>
              <w:pStyle w:val="ListBullet"/>
            </w:pPr>
            <w:r w:rsidRPr="00CA7C76">
              <w:t>workplace documentation</w:t>
            </w:r>
          </w:p>
          <w:p w:rsidR="00000000" w:rsidRPr="00CA7C76" w:rsidP="00CA7C76">
            <w:pPr>
              <w:pStyle w:val="ListBullet"/>
            </w:pPr>
            <w:r w:rsidRPr="00CA7C76">
              <w:t>workplace policies and procedures</w:t>
            </w:r>
          </w:p>
        </w:tc>
      </w:tr>
    </w:tbl>
    <w:p w:rsidR="00000000" w:rsidRPr="00CA7C76" w:rsidP="00CA7C76">
      <w:pPr>
        <w:pStyle w:val="NoPaddingFontSize1"/>
      </w:pPr>
    </w:p>
    <w:p w:rsidR="00000000" w:rsidRPr="00CA7C76" w:rsidP="00CA7C76">
      <w:pPr>
        <w:pStyle w:val="AllowPageBreak"/>
      </w:pPr>
    </w:p>
    <w:p w:rsidR="00000000" w:rsidRPr="00CA7C76" w:rsidP="00CA7C76">
      <w:pPr>
        <w:pStyle w:val="Heading1"/>
      </w:pPr>
      <w:bookmarkStart w:id="4" w:name="O_1228321"/>
      <w:bookmarkEnd w:id="4"/>
      <w:r w:rsidRPr="00CA7C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76" w:rsidP="00CA7C76">
            <w:pPr>
              <w:pStyle w:val="BodyText"/>
            </w:pPr>
            <w:r w:rsidRPr="00CA7C7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A7C76" w:rsidP="00CA7C76">
            <w:pPr>
              <w:pStyle w:val="BodyText"/>
            </w:pPr>
            <w:r w:rsidRPr="00CA7C76">
              <w:t xml:space="preserve">As a minimum, assessment </w:t>
            </w:r>
            <w:r w:rsidRPr="00CA7C76">
              <w:t>must satisfy applicable regulatory requirements, which include requirements in the Standards for Registered Training Organisations current at the time of assessment.</w:t>
            </w:r>
          </w:p>
          <w:p w:rsidR="00000000" w:rsidRPr="00CA7C76" w:rsidP="00CA7C76">
            <w:pPr>
              <w:pStyle w:val="BodyText"/>
            </w:pPr>
            <w:r w:rsidRPr="00CA7C76">
              <w:t>Assessment processes and techniques must be appropriate to the language, literacy and nume</w:t>
            </w:r>
            <w:r w:rsidRPr="00CA7C76">
              <w:t>racy requirements of the work being performed and the needs of the candidate.</w:t>
            </w:r>
          </w:p>
          <w:p w:rsidR="00000000" w:rsidRPr="00CA7C76" w:rsidP="00CA7C76">
            <w:pPr>
              <w:pStyle w:val="BodyText"/>
            </w:pPr>
            <w:r w:rsidRPr="00CA7C76">
              <w:t>Assessment must occur in workplace operational situations. Where this is not appropriate, assessment must occur in simulated workplace operational situations that reflect workpla</w:t>
            </w:r>
            <w:r w:rsidRPr="00CA7C76">
              <w:t>ce conditions. Resources for assessment must include access to:</w:t>
            </w:r>
          </w:p>
          <w:p w:rsidR="00000000" w:rsidRPr="00CA7C76" w:rsidP="00CA7C76">
            <w:pPr>
              <w:pStyle w:val="ListBullet"/>
            </w:pPr>
            <w:r w:rsidRPr="00CA7C76">
              <w:t>a range of relevant exercises, case studies and/or other simulations</w:t>
            </w:r>
          </w:p>
          <w:p w:rsidR="00000000" w:rsidRPr="00CA7C76" w:rsidP="00CA7C76">
            <w:pPr>
              <w:pStyle w:val="ListBullet"/>
            </w:pPr>
            <w:r w:rsidRPr="00CA7C76">
              <w:t xml:space="preserve">relevant and appropriate materials, tools, equipment and personal protective equipment currently used in industry </w:t>
            </w:r>
          </w:p>
          <w:p w:rsidR="00000000" w:rsidRPr="00CA7C76" w:rsidP="00CA7C76">
            <w:pPr>
              <w:pStyle w:val="ListBullet"/>
            </w:pPr>
            <w:r w:rsidRPr="00CA7C76">
              <w:t>applica</w:t>
            </w:r>
            <w:r w:rsidRPr="00CA7C76">
              <w:t>ble documentation including workplace procedures, industry standards, equipment specifications, regulations, codes of practice and operation manuals.</w:t>
            </w:r>
          </w:p>
        </w:tc>
      </w:tr>
    </w:tbl>
    <w:p w:rsidR="00000000" w:rsidRPr="00CA7C76" w:rsidP="00CA7C76">
      <w:pPr>
        <w:pStyle w:val="NoPaddingFontSize1"/>
      </w:pPr>
    </w:p>
    <w:p w:rsidR="00000000" w:rsidRPr="00CA7C76" w:rsidP="00CA7C76">
      <w:pPr>
        <w:pStyle w:val="AllowPageBreak"/>
      </w:pPr>
    </w:p>
    <w:p w:rsidR="00000000" w:rsidRPr="00CA7C76" w:rsidP="00CA7C76">
      <w:pPr>
        <w:pStyle w:val="Heading1"/>
      </w:pPr>
      <w:bookmarkStart w:id="5" w:name="O_1228336"/>
      <w:bookmarkEnd w:id="5"/>
      <w:r w:rsidRPr="00CA7C76">
        <w:t>Links</w:t>
      </w:r>
    </w:p>
    <w:p w:rsidR="00000000" w:rsidRPr="00CA7C76" w:rsidP="00C63BA5">
      <w:pPr>
        <w:pStyle w:val="BodyText"/>
      </w:pPr>
      <w:r w:rsidRPr="00CA7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84AD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A7C76" w:rsidP="00CA7C76"/>
    <w:sectPr w:rsidSect="00CA7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76" w:rsidRPr="00C63BA5" w:rsidP="00C63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A5" w:rsidP="00CA7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BA5" w:rsidP="00CA7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3BA5" w:rsidP="00CA7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C76" w:rsidRPr="00C63BA5" w:rsidP="00C63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A5" w:rsidRPr="002D2AF8" w:rsidP="00CA7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UEPMNT309 Maintain material feeders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63BA5" w:rsidP="00CA7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BAD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69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649D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C76"/>
  </w:style>
  <w:style w:type="character" w:customStyle="1" w:styleId="Heading1Char">
    <w:name w:val="Heading 1 Char"/>
    <w:basedOn w:val="DefaultParagraphFont"/>
    <w:link w:val="Heading1"/>
    <w:rsid w:val="00CA7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C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C76"/>
    <w:rPr>
      <w:b/>
      <w:spacing w:val="0"/>
    </w:rPr>
  </w:style>
  <w:style w:type="paragraph" w:styleId="ListBullet2">
    <w:name w:val="List Bullet 2"/>
    <w:basedOn w:val="List2"/>
    <w:rsid w:val="00CA7C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7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7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C76"/>
    <w:rPr>
      <w:i/>
    </w:rPr>
  </w:style>
  <w:style w:type="paragraph" w:styleId="Caption">
    <w:name w:val="caption"/>
    <w:basedOn w:val="BodyText"/>
    <w:next w:val="Normal"/>
    <w:qFormat/>
    <w:rsid w:val="00CA7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C76"/>
  </w:style>
  <w:style w:type="paragraph" w:styleId="TableofFigures">
    <w:name w:val="table of figures"/>
    <w:basedOn w:val="Normal"/>
    <w:next w:val="Normal"/>
    <w:semiHidden/>
    <w:rsid w:val="00CA7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C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7C76"/>
    <w:rPr>
      <w:rFonts w:ascii="Wingdings" w:hAnsi="Wingdings"/>
    </w:rPr>
  </w:style>
  <w:style w:type="paragraph" w:customStyle="1" w:styleId="TableHeading">
    <w:name w:val="Table Heading"/>
    <w:basedOn w:val="HeadingBase"/>
    <w:rsid w:val="00CA7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C76"/>
    <w:rPr>
      <w:color w:val="0033CC"/>
      <w:u w:val="none"/>
    </w:rPr>
  </w:style>
  <w:style w:type="paragraph" w:customStyle="1" w:styleId="BodyTextRight">
    <w:name w:val="Body Text Right"/>
    <w:basedOn w:val="BodyText"/>
    <w:rsid w:val="00CA7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C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C76"/>
    <w:rPr>
      <w:sz w:val="32"/>
    </w:rPr>
  </w:style>
  <w:style w:type="paragraph" w:customStyle="1" w:styleId="HeadingProcedure">
    <w:name w:val="Heading Procedure"/>
    <w:basedOn w:val="HeadingBase"/>
    <w:next w:val="Normal"/>
    <w:rsid w:val="00CA7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C76"/>
    <w:pPr>
      <w:spacing w:before="60" w:after="60"/>
    </w:pPr>
  </w:style>
  <w:style w:type="paragraph" w:styleId="ListContinue">
    <w:name w:val="List Continue"/>
    <w:basedOn w:val="List"/>
    <w:rsid w:val="00CA7C76"/>
    <w:pPr>
      <w:ind w:firstLine="0"/>
    </w:pPr>
  </w:style>
  <w:style w:type="paragraph" w:customStyle="1" w:styleId="ListNote">
    <w:name w:val="List Note"/>
    <w:basedOn w:val="List"/>
    <w:rsid w:val="00CA7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C76"/>
    <w:rPr>
      <w:rFonts w:ascii="Courier New" w:hAnsi="Courier New"/>
    </w:rPr>
  </w:style>
  <w:style w:type="paragraph" w:customStyle="1" w:styleId="NoteBullet">
    <w:name w:val="Note Bullet"/>
    <w:basedOn w:val="Note"/>
    <w:rsid w:val="00CA7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C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C76"/>
    <w:rPr>
      <w:b/>
      <w:smallCaps/>
    </w:rPr>
  </w:style>
  <w:style w:type="paragraph" w:customStyle="1" w:styleId="TableListNumber">
    <w:name w:val="Table List Number"/>
    <w:basedOn w:val="ListNumber"/>
    <w:rsid w:val="00CA7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C76"/>
    <w:pPr>
      <w:numPr>
        <w:numId w:val="9"/>
      </w:numPr>
    </w:pPr>
  </w:style>
  <w:style w:type="paragraph" w:customStyle="1" w:styleId="ListAlpha2">
    <w:name w:val="List Alpha 2"/>
    <w:basedOn w:val="List2"/>
    <w:rsid w:val="00CA7C76"/>
    <w:pPr>
      <w:numPr>
        <w:numId w:val="8"/>
      </w:numPr>
    </w:pPr>
  </w:style>
  <w:style w:type="paragraph" w:styleId="List2">
    <w:name w:val="List 2"/>
    <w:basedOn w:val="BodyText"/>
    <w:rsid w:val="00CA7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C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C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7C76"/>
    <w:pPr>
      <w:numPr>
        <w:numId w:val="4"/>
      </w:numPr>
    </w:pPr>
  </w:style>
  <w:style w:type="paragraph" w:styleId="ListContinue2">
    <w:name w:val="List Continue 2"/>
    <w:basedOn w:val="List2"/>
    <w:rsid w:val="00CA7C76"/>
    <w:pPr>
      <w:ind w:firstLine="0"/>
    </w:pPr>
  </w:style>
  <w:style w:type="paragraph" w:styleId="ListContinue3">
    <w:name w:val="List Continue 3"/>
    <w:basedOn w:val="List3"/>
    <w:rsid w:val="00CA7C76"/>
    <w:pPr>
      <w:ind w:left="1021" w:firstLine="0"/>
    </w:pPr>
  </w:style>
  <w:style w:type="paragraph" w:styleId="ListContinue4">
    <w:name w:val="List Continue 4"/>
    <w:basedOn w:val="List4"/>
    <w:rsid w:val="00CA7C76"/>
    <w:pPr>
      <w:ind w:firstLine="0"/>
    </w:pPr>
  </w:style>
  <w:style w:type="paragraph" w:styleId="ListContinue5">
    <w:name w:val="List Continue 5"/>
    <w:basedOn w:val="List5"/>
    <w:rsid w:val="00CA7C76"/>
    <w:pPr>
      <w:ind w:firstLine="0"/>
    </w:pPr>
  </w:style>
  <w:style w:type="paragraph" w:styleId="ListNumber3">
    <w:name w:val="List Number 3"/>
    <w:basedOn w:val="List3"/>
    <w:rsid w:val="00CA7C76"/>
    <w:pPr>
      <w:numPr>
        <w:numId w:val="5"/>
      </w:numPr>
    </w:pPr>
  </w:style>
  <w:style w:type="paragraph" w:styleId="ListNumber4">
    <w:name w:val="List Number 4"/>
    <w:basedOn w:val="List4"/>
    <w:rsid w:val="00CA7C76"/>
    <w:pPr>
      <w:numPr>
        <w:numId w:val="6"/>
      </w:numPr>
    </w:pPr>
  </w:style>
  <w:style w:type="paragraph" w:styleId="ListNumber5">
    <w:name w:val="List Number 5"/>
    <w:basedOn w:val="List5"/>
    <w:rsid w:val="00CA7C76"/>
    <w:pPr>
      <w:numPr>
        <w:numId w:val="7"/>
      </w:numPr>
    </w:pPr>
  </w:style>
  <w:style w:type="paragraph" w:styleId="BlockText">
    <w:name w:val="Block Text"/>
    <w:basedOn w:val="Normal"/>
    <w:rsid w:val="00CA7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C76"/>
    <w:rPr>
      <w:sz w:val="16"/>
      <w:vertAlign w:val="superscript"/>
    </w:rPr>
  </w:style>
  <w:style w:type="character" w:customStyle="1" w:styleId="Symbols">
    <w:name w:val="Symbols"/>
    <w:basedOn w:val="DefaultParagraphFont"/>
    <w:rsid w:val="00CA7C76"/>
    <w:rPr>
      <w:rFonts w:ascii="Symbol" w:hAnsi="Symbol"/>
    </w:rPr>
  </w:style>
  <w:style w:type="character" w:customStyle="1" w:styleId="MenuOptions">
    <w:name w:val="Menu Options"/>
    <w:basedOn w:val="DefaultParagraphFont"/>
    <w:rsid w:val="00CA7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C76"/>
    <w:rPr>
      <w:b/>
    </w:rPr>
  </w:style>
  <w:style w:type="character" w:customStyle="1" w:styleId="Underlined">
    <w:name w:val="Underlined"/>
    <w:basedOn w:val="DefaultParagraphFont"/>
    <w:rsid w:val="00CA7C76"/>
    <w:rPr>
      <w:u w:val="single"/>
    </w:rPr>
  </w:style>
  <w:style w:type="paragraph" w:customStyle="1" w:styleId="TableBodyTextRight">
    <w:name w:val="Table Body Text Right"/>
    <w:basedOn w:val="TableBodyText"/>
    <w:rsid w:val="00CA7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C76"/>
    <w:rPr>
      <w:sz w:val="18"/>
    </w:rPr>
  </w:style>
  <w:style w:type="paragraph" w:customStyle="1" w:styleId="BodySmallRight">
    <w:name w:val="Body Small Right"/>
    <w:basedOn w:val="BodyTextRight"/>
    <w:rsid w:val="00CA7C76"/>
    <w:rPr>
      <w:sz w:val="18"/>
      <w:szCs w:val="18"/>
    </w:rPr>
  </w:style>
  <w:style w:type="paragraph" w:customStyle="1" w:styleId="MarginEdition">
    <w:name w:val="Margin Edition"/>
    <w:basedOn w:val="MarginNote"/>
    <w:rsid w:val="00CA7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C76"/>
    <w:rPr>
      <w:sz w:val="2"/>
      <w:szCs w:val="2"/>
    </w:rPr>
  </w:style>
  <w:style w:type="character" w:customStyle="1" w:styleId="Small">
    <w:name w:val="Small"/>
    <w:basedOn w:val="DefaultParagraphFont"/>
    <w:rsid w:val="00CA7C76"/>
    <w:rPr>
      <w:sz w:val="16"/>
    </w:rPr>
  </w:style>
  <w:style w:type="paragraph" w:customStyle="1" w:styleId="WideTable">
    <w:name w:val="Wide Table"/>
    <w:basedOn w:val="Normal"/>
    <w:rsid w:val="00CA7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C76"/>
  </w:style>
  <w:style w:type="paragraph" w:styleId="Quote">
    <w:name w:val="Quote"/>
    <w:basedOn w:val="Heading1"/>
    <w:link w:val="QuoteChar"/>
    <w:qFormat/>
    <w:rsid w:val="00CA7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C76"/>
    <w:pPr>
      <w:pageBreakBefore/>
    </w:pPr>
  </w:style>
  <w:style w:type="paragraph" w:customStyle="1" w:styleId="Border">
    <w:name w:val="Border"/>
    <w:basedOn w:val="Normal"/>
    <w:qFormat/>
    <w:rsid w:val="00CA7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C76"/>
    <w:rPr>
      <w:u w:val="single"/>
    </w:rPr>
  </w:style>
  <w:style w:type="character" w:customStyle="1" w:styleId="BoldandItalics">
    <w:name w:val="Bold and Italics"/>
    <w:qFormat/>
    <w:rsid w:val="00CA7C76"/>
    <w:rPr>
      <w:b/>
      <w:i/>
      <w:u w:val="none"/>
    </w:rPr>
  </w:style>
  <w:style w:type="paragraph" w:styleId="BalloonText">
    <w:name w:val="Balloon Text"/>
    <w:basedOn w:val="Normal"/>
    <w:link w:val="BalloonTextChar"/>
    <w:rsid w:val="00CA7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C76"/>
    <w:pPr>
      <w:spacing w:before="0" w:after="0"/>
    </w:pPr>
  </w:style>
  <w:style w:type="paragraph" w:customStyle="1" w:styleId="BodyTextBold">
    <w:name w:val="Body Text Bold"/>
    <w:basedOn w:val="BodyText"/>
    <w:qFormat/>
    <w:rsid w:val="00CA7C76"/>
    <w:rPr>
      <w:b/>
    </w:rPr>
  </w:style>
  <w:style w:type="character" w:styleId="Hyperlink">
    <w:name w:val="Hyperlink"/>
    <w:basedOn w:val="DefaultParagraphFont"/>
    <w:uiPriority w:val="99"/>
    <w:unhideWhenUsed/>
    <w:rsid w:val="00C63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3436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UEPMNT309 Maintain material feeders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