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0DB6" w:rsidP="007D0DB6">
      <w:pPr>
        <w:pStyle w:val="Title"/>
      </w:pPr>
      <w:r>
        <w:fldChar w:fldCharType="begin"/>
      </w:r>
      <w:r>
        <w:instrText xml:space="preserve"> TITLE   \* MERGEFORMAT </w:instrText>
      </w:r>
      <w:r>
        <w:fldChar w:fldCharType="separate"/>
      </w:r>
      <w:r>
        <w:t>UEPMNT007 Diagnose and repair mechanical systems faults in wind turbines</w:t>
      </w:r>
      <w:r>
        <w:fldChar w:fldCharType="end"/>
      </w:r>
    </w:p>
    <w:p w:rsidR="007D0DB6" w:rsidP="007D0DB6">
      <w:pPr>
        <w:pStyle w:val="Version"/>
        <w:sectPr w:rsidSect="00B768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68C6" w:rsidP="00B768C6">
      <w:pPr>
        <w:pStyle w:val="SuperHeading"/>
      </w:pPr>
      <w:r w:rsidRPr="00B768C6">
        <w:t>UEPMNT007 Diagnose and repair mechanical systems faults in wind turbines</w:t>
      </w:r>
    </w:p>
    <w:p w:rsidR="00000000" w:rsidRPr="00B768C6" w:rsidP="00B768C6">
      <w:pPr>
        <w:pStyle w:val="Heading1"/>
      </w:pPr>
      <w:bookmarkStart w:id="1" w:name="O_1189794"/>
      <w:bookmarkEnd w:id="1"/>
      <w:r w:rsidRPr="00B768C6">
        <w:t>Modification History</w:t>
      </w:r>
    </w:p>
    <w:tbl>
      <w:tblPr>
        <w:tblW w:w="9497" w:type="dxa"/>
        <w:tblLayout w:type="fixed"/>
        <w:tblCellMar>
          <w:left w:w="62" w:type="dxa"/>
          <w:right w:w="62" w:type="dxa"/>
        </w:tblCellMar>
        <w:tblLook w:val="0000"/>
      </w:tblPr>
      <w:tblGrid>
        <w:gridCol w:w="9497"/>
      </w:tblGrid>
      <w:tr w:rsidTr="00B768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68C6" w:rsidP="00B768C6">
            <w:pPr>
              <w:pStyle w:val="BodyText"/>
            </w:pPr>
            <w:r w:rsidRPr="00B768C6">
              <w:rPr>
                <w:rStyle w:val="SpecialBold"/>
              </w:rPr>
              <w:t>Release 1</w:t>
            </w:r>
            <w:r w:rsidRPr="00B768C6">
              <w:t xml:space="preserve">. This is the first release of this unit of competency in the UEP Electricity Supply Industry – Generation Sector </w:t>
            </w:r>
            <w:r w:rsidRPr="00B768C6">
              <w:t>Training Package Release 2.0.</w:t>
            </w:r>
          </w:p>
        </w:tc>
      </w:tr>
    </w:tbl>
    <w:p w:rsidR="00000000" w:rsidRPr="00B768C6" w:rsidP="00B768C6">
      <w:pPr>
        <w:pStyle w:val="NoPaddingFontSize1"/>
      </w:pPr>
    </w:p>
    <w:p w:rsidR="00000000" w:rsidRPr="00B768C6" w:rsidP="00B768C6">
      <w:pPr>
        <w:pStyle w:val="AllowPageBreak"/>
      </w:pPr>
    </w:p>
    <w:p w:rsidR="00000000" w:rsidRPr="00B768C6" w:rsidP="00B768C6">
      <w:pPr>
        <w:pStyle w:val="Heading1"/>
      </w:pPr>
      <w:bookmarkStart w:id="2" w:name="O_1189795"/>
      <w:bookmarkEnd w:id="2"/>
      <w:r w:rsidRPr="00B768C6">
        <w:t>Application</w:t>
      </w:r>
    </w:p>
    <w:tbl>
      <w:tblPr>
        <w:tblW w:w="9497" w:type="dxa"/>
        <w:tblLayout w:type="fixed"/>
        <w:tblCellMar>
          <w:left w:w="62" w:type="dxa"/>
          <w:right w:w="62" w:type="dxa"/>
        </w:tblCellMar>
        <w:tblLook w:val="0000"/>
      </w:tblPr>
      <w:tblGrid>
        <w:gridCol w:w="9497"/>
      </w:tblGrid>
      <w:tr w:rsidTr="00B768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68C6" w:rsidP="00B768C6">
            <w:pPr>
              <w:pStyle w:val="BodyText"/>
            </w:pPr>
            <w:r w:rsidRPr="00B768C6">
              <w:t>This unit involves the skills and knowledge required to diagnose and repair mechanical system faults in large scale wind turbines.</w:t>
            </w:r>
          </w:p>
          <w:p w:rsidR="00000000" w:rsidRPr="00B768C6" w:rsidP="00B768C6">
            <w:pPr>
              <w:pStyle w:val="BodyText"/>
            </w:pPr>
            <w:r w:rsidRPr="00B768C6">
              <w:t>Diagnosing and repairing faults is the process of inspecting l</w:t>
            </w:r>
            <w:r w:rsidRPr="00B768C6">
              <w:t xml:space="preserve">arge scale wind turbines to identify problems and ensure repairs take place. The aim is to ensure that the overall delivery of the large scale wind turbines meets operational requirements. </w:t>
            </w:r>
          </w:p>
          <w:p w:rsidR="00000000" w:rsidRPr="00B768C6" w:rsidP="00B768C6">
            <w:pPr>
              <w:pStyle w:val="BodyText"/>
            </w:pPr>
            <w:r w:rsidRPr="00B768C6">
              <w:t>Competency in this unit requires the ability to gather data, inter</w:t>
            </w:r>
            <w:r w:rsidRPr="00B768C6">
              <w:t>pret data to establish theory about wind turbine mechanical system faults, repair wind turbine mechanical system faults and record wind turbine mechanical system faults. Individuals will, in general, work under supervision in an electrical, electronic and/</w:t>
            </w:r>
            <w:r w:rsidRPr="00B768C6">
              <w:t xml:space="preserve">or mechanical equipment repair workshop or on site. </w:t>
            </w:r>
          </w:p>
          <w:p w:rsidR="00000000" w:rsidRPr="00B768C6" w:rsidP="00B768C6">
            <w:pPr>
              <w:pStyle w:val="BodyText"/>
            </w:pPr>
            <w:r w:rsidRPr="00B768C6">
              <w:t>Power generation maintenance personnel are typically trained and authorised to receive permits to work.</w:t>
            </w:r>
          </w:p>
          <w:p w:rsidR="00000000" w:rsidRPr="00B768C6" w:rsidP="00B768C6">
            <w:pPr>
              <w:pStyle w:val="BodyText"/>
            </w:pPr>
            <w:r w:rsidRPr="00B768C6">
              <w:t>The application of the skills and knowledge described in this unit may require a licence/registrati</w:t>
            </w:r>
            <w:r w:rsidRPr="00B768C6">
              <w:t xml:space="preserve">on to practice in the workplace. </w:t>
            </w:r>
          </w:p>
          <w:p w:rsidR="00000000" w:rsidRPr="00B768C6" w:rsidP="00B768C6">
            <w:pPr>
              <w:pStyle w:val="BodyText"/>
            </w:pPr>
            <w:r w:rsidRPr="00B768C6">
              <w:t>Other conditions may apply under state and territory legislative and regulatory licensing requirements which must be confirmed prior to commencing this unit.</w:t>
            </w:r>
          </w:p>
        </w:tc>
      </w:tr>
    </w:tbl>
    <w:p w:rsidR="00000000" w:rsidRPr="00B768C6" w:rsidP="00B768C6">
      <w:pPr>
        <w:pStyle w:val="NoPaddingFontSize1"/>
      </w:pPr>
    </w:p>
    <w:p w:rsidR="00000000" w:rsidRPr="00B768C6" w:rsidP="00B768C6">
      <w:pPr>
        <w:pStyle w:val="AllowPageBreak"/>
      </w:pPr>
    </w:p>
    <w:p w:rsidR="00000000" w:rsidRPr="00B768C6" w:rsidP="00B768C6">
      <w:pPr>
        <w:pStyle w:val="Heading1"/>
      </w:pPr>
      <w:bookmarkStart w:id="3" w:name="O_1189796"/>
      <w:bookmarkEnd w:id="3"/>
      <w:r w:rsidRPr="00B768C6">
        <w:t>Pre-requisite Unit</w:t>
      </w:r>
    </w:p>
    <w:tbl>
      <w:tblPr>
        <w:tblW w:w="9497" w:type="dxa"/>
        <w:tblLayout w:type="fixed"/>
        <w:tblCellMar>
          <w:left w:w="62" w:type="dxa"/>
          <w:right w:w="62" w:type="dxa"/>
        </w:tblCellMar>
        <w:tblLook w:val="0000"/>
      </w:tblPr>
      <w:tblGrid>
        <w:gridCol w:w="9497"/>
      </w:tblGrid>
      <w:tr w:rsidTr="00B768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68C6" w:rsidP="00B768C6">
            <w:pPr>
              <w:pStyle w:val="BodyText"/>
            </w:pPr>
            <w:r w:rsidRPr="00B768C6">
              <w:t xml:space="preserve">UEPMNT012 Maintain wind </w:t>
            </w:r>
            <w:r w:rsidRPr="00B768C6">
              <w:t>turbine mechanical systems</w:t>
            </w:r>
          </w:p>
        </w:tc>
      </w:tr>
    </w:tbl>
    <w:p w:rsidR="00000000" w:rsidRPr="00B768C6" w:rsidP="00B768C6">
      <w:pPr>
        <w:pStyle w:val="NoPaddingFontSize1"/>
      </w:pPr>
    </w:p>
    <w:p w:rsidR="00000000" w:rsidRPr="00B768C6" w:rsidP="00B768C6">
      <w:pPr>
        <w:pStyle w:val="AllowPageBreak"/>
      </w:pPr>
    </w:p>
    <w:p w:rsidR="00000000" w:rsidRPr="00B768C6" w:rsidP="00B768C6">
      <w:pPr>
        <w:pStyle w:val="Heading1"/>
      </w:pPr>
      <w:bookmarkStart w:id="4" w:name="O_1189797"/>
      <w:bookmarkEnd w:id="4"/>
      <w:r w:rsidRPr="00B768C6">
        <w:t>Competency Field</w:t>
      </w:r>
    </w:p>
    <w:tbl>
      <w:tblPr>
        <w:tblW w:w="9497" w:type="dxa"/>
        <w:tblLayout w:type="fixed"/>
        <w:tblCellMar>
          <w:left w:w="62" w:type="dxa"/>
          <w:right w:w="62" w:type="dxa"/>
        </w:tblCellMar>
        <w:tblLook w:val="0000"/>
      </w:tblPr>
      <w:tblGrid>
        <w:gridCol w:w="9497"/>
      </w:tblGrid>
      <w:tr w:rsidTr="00B768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68C6" w:rsidP="00B768C6">
            <w:pPr>
              <w:pStyle w:val="BodyText"/>
            </w:pPr>
            <w:r w:rsidRPr="00B768C6">
              <w:t>Maintenance</w:t>
            </w:r>
          </w:p>
        </w:tc>
      </w:tr>
    </w:tbl>
    <w:p w:rsidR="00000000" w:rsidRPr="00B768C6" w:rsidP="00B768C6">
      <w:pPr>
        <w:pStyle w:val="NoPaddingFontSize1"/>
      </w:pPr>
    </w:p>
    <w:p w:rsidR="00000000" w:rsidRPr="00B768C6" w:rsidP="00B768C6">
      <w:pPr>
        <w:pStyle w:val="AllowPageBreak"/>
      </w:pPr>
    </w:p>
    <w:p w:rsidR="00000000" w:rsidRPr="00B768C6" w:rsidP="00B768C6">
      <w:pPr>
        <w:pStyle w:val="Heading1"/>
      </w:pPr>
      <w:bookmarkStart w:id="5" w:name="O_1189798"/>
      <w:bookmarkEnd w:id="5"/>
      <w:r w:rsidRPr="00B768C6">
        <w:t>Unit Sector</w:t>
      </w:r>
    </w:p>
    <w:tbl>
      <w:tblPr>
        <w:tblW w:w="9497" w:type="dxa"/>
        <w:tblLayout w:type="fixed"/>
        <w:tblCellMar>
          <w:left w:w="62" w:type="dxa"/>
          <w:right w:w="62" w:type="dxa"/>
        </w:tblCellMar>
        <w:tblLook w:val="0000"/>
      </w:tblPr>
      <w:tblGrid>
        <w:gridCol w:w="9497"/>
      </w:tblGrid>
      <w:tr w:rsidTr="00B768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68C6" w:rsidP="00B768C6">
            <w:pPr>
              <w:pStyle w:val="BodyText"/>
            </w:pPr>
            <w:r w:rsidRPr="00B768C6">
              <w:t>Electricity generation</w:t>
            </w:r>
          </w:p>
        </w:tc>
      </w:tr>
    </w:tbl>
    <w:p w:rsidR="00000000" w:rsidRPr="00B768C6" w:rsidP="00B768C6">
      <w:pPr>
        <w:pStyle w:val="NoPaddingFontSize1"/>
      </w:pPr>
    </w:p>
    <w:p w:rsidR="00000000" w:rsidRPr="00B768C6" w:rsidP="00B768C6">
      <w:pPr>
        <w:pStyle w:val="AllowPageBreak"/>
      </w:pPr>
    </w:p>
    <w:p w:rsidR="00000000" w:rsidRPr="00B768C6" w:rsidP="00B768C6">
      <w:pPr>
        <w:pStyle w:val="Heading1"/>
      </w:pPr>
      <w:bookmarkStart w:id="6" w:name="O_1189799"/>
      <w:bookmarkEnd w:id="6"/>
      <w:r w:rsidRPr="00B768C6">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B768C6">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B768C6" w:rsidP="00B768C6">
            <w:pPr>
              <w:pStyle w:val="BodyText"/>
            </w:pPr>
            <w:r w:rsidRPr="00B768C6">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B768C6">
            <w:pPr>
              <w:pStyle w:val="BodyText"/>
              <w:rPr>
                <w:lang w:val="en-NZ"/>
              </w:rPr>
            </w:pPr>
            <w:r w:rsidRPr="00B768C6">
              <w:rPr>
                <w:rStyle w:val="SpecialBold"/>
              </w:rPr>
              <w:t>PERFORMANCE CRITERIA</w:t>
            </w:r>
          </w:p>
        </w:tc>
      </w:tr>
      <w:tr w:rsidTr="00B768C6">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B768C6">
            <w:pPr>
              <w:pStyle w:val="BodyText"/>
              <w:rPr>
                <w:lang w:val="en-NZ"/>
              </w:rPr>
            </w:pPr>
            <w:r w:rsidRPr="00B768C6">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B768C6">
            <w:pPr>
              <w:pStyle w:val="BodyText"/>
              <w:rPr>
                <w:lang w:val="en-NZ"/>
              </w:rPr>
            </w:pPr>
            <w:r w:rsidRPr="00B768C6">
              <w:t>Performance criteria describe the performance needed to demonstrate achievement of the element.</w:t>
            </w:r>
          </w:p>
        </w:tc>
      </w:tr>
      <w:tr w:rsidTr="00B768C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768C6" w:rsidP="00B768C6">
            <w:pPr>
              <w:pStyle w:val="BodyText"/>
            </w:pPr>
            <w:r w:rsidRPr="00B768C6">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B768C6" w:rsidP="00B768C6">
            <w:pPr>
              <w:pStyle w:val="BodyText"/>
            </w:pPr>
            <w:r w:rsidRPr="00B768C6">
              <w:rPr>
                <w:rStyle w:val="SpecialBold"/>
              </w:rPr>
              <w:t>Gather data</w:t>
            </w:r>
          </w:p>
        </w:tc>
        <w:tc>
          <w:tcPr>
            <w:tcW w:w="702" w:type="dxa"/>
            <w:tcBorders>
              <w:top w:val="nil"/>
              <w:left w:val="nil"/>
              <w:bottom w:val="nil"/>
              <w:right w:val="nil"/>
            </w:tcBorders>
            <w:tcMar>
              <w:top w:w="0" w:type="dxa"/>
              <w:left w:w="62" w:type="dxa"/>
              <w:bottom w:w="0" w:type="dxa"/>
              <w:right w:w="62" w:type="dxa"/>
            </w:tcMar>
          </w:tcPr>
          <w:p w:rsidR="00000000" w:rsidP="00B768C6">
            <w:pPr>
              <w:pStyle w:val="BodyText"/>
              <w:rPr>
                <w:lang w:val="en-NZ"/>
              </w:rPr>
            </w:pPr>
            <w:r w:rsidRPr="00B768C6">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B768C6">
            <w:pPr>
              <w:pStyle w:val="BodyText"/>
              <w:rPr>
                <w:lang w:val="en-NZ"/>
              </w:rPr>
            </w:pPr>
            <w:r w:rsidRPr="00B768C6">
              <w:t>Data logging information and error codes are accessed in accordance with workplace procedures</w:t>
            </w:r>
          </w:p>
        </w:tc>
      </w:tr>
      <w:tr w:rsidTr="00B768C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68C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768C6">
            <w:pPr>
              <w:pStyle w:val="BodyText"/>
              <w:rPr>
                <w:lang w:val="en-NZ"/>
              </w:rPr>
            </w:pPr>
            <w:r w:rsidRPr="00B768C6">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B768C6">
            <w:pPr>
              <w:pStyle w:val="BodyText"/>
              <w:rPr>
                <w:lang w:val="en-NZ"/>
              </w:rPr>
            </w:pPr>
            <w:r w:rsidRPr="00B768C6">
              <w:t xml:space="preserve">Sensory data on fault is gathered in accordance with workplace procedures </w:t>
            </w:r>
          </w:p>
        </w:tc>
      </w:tr>
      <w:tr w:rsidTr="00B768C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68C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768C6">
            <w:pPr>
              <w:pStyle w:val="BodyText"/>
              <w:rPr>
                <w:lang w:val="en-NZ"/>
              </w:rPr>
            </w:pPr>
            <w:r w:rsidRPr="00B768C6">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B768C6">
            <w:pPr>
              <w:pStyle w:val="BodyText"/>
              <w:rPr>
                <w:lang w:val="en-NZ"/>
              </w:rPr>
            </w:pPr>
            <w:r w:rsidRPr="00B768C6">
              <w:t>Documentation to support fault-finding processes are accessed in accordance with workplace procedures</w:t>
            </w:r>
          </w:p>
        </w:tc>
      </w:tr>
      <w:tr w:rsidTr="00B768C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68C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768C6">
            <w:pPr>
              <w:pStyle w:val="BodyText"/>
              <w:rPr>
                <w:lang w:val="en-NZ"/>
              </w:rPr>
            </w:pPr>
            <w:r w:rsidRPr="00B768C6">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B768C6">
            <w:pPr>
              <w:pStyle w:val="BodyText"/>
              <w:rPr>
                <w:lang w:val="en-NZ"/>
              </w:rPr>
            </w:pPr>
            <w:r w:rsidRPr="00B768C6">
              <w:t>Built-in fault indicators and error codes, where appropriate, are examined and interpreted</w:t>
            </w:r>
          </w:p>
        </w:tc>
      </w:tr>
      <w:tr w:rsidTr="00B768C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68C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768C6">
            <w:pPr>
              <w:pStyle w:val="BodyText"/>
              <w:rPr>
                <w:lang w:val="en-NZ"/>
              </w:rPr>
            </w:pPr>
            <w:r w:rsidRPr="00B768C6">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B768C6">
            <w:pPr>
              <w:pStyle w:val="BodyText"/>
              <w:rPr>
                <w:lang w:val="en-NZ"/>
              </w:rPr>
            </w:pPr>
            <w:r w:rsidRPr="00B768C6">
              <w:t>Circuit or system function and characteristics are determined by reference to circuit diagrams, specifications, schematics or in consultation with technical a</w:t>
            </w:r>
            <w:r w:rsidRPr="00B768C6">
              <w:t>dvisor</w:t>
            </w:r>
          </w:p>
        </w:tc>
      </w:tr>
      <w:tr w:rsidTr="00B768C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768C6" w:rsidP="00B768C6">
            <w:pPr>
              <w:pStyle w:val="BodyText"/>
            </w:pPr>
            <w:r w:rsidRPr="00B768C6">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B768C6" w:rsidP="00B768C6">
            <w:pPr>
              <w:pStyle w:val="BodyText"/>
            </w:pPr>
            <w:r w:rsidRPr="00B768C6">
              <w:rPr>
                <w:rStyle w:val="SpecialBold"/>
              </w:rPr>
              <w:t>Interpret data to establish hypothesis about</w:t>
            </w:r>
            <w:r w:rsidRPr="00B768C6">
              <w:t xml:space="preserve"> </w:t>
            </w:r>
            <w:r w:rsidRPr="00B768C6">
              <w:rPr>
                <w:rStyle w:val="SpecialBold"/>
              </w:rPr>
              <w:t>wind turbine</w:t>
            </w:r>
            <w:r w:rsidRPr="00B768C6">
              <w:t xml:space="preserve"> </w:t>
            </w:r>
            <w:r w:rsidRPr="00B768C6">
              <w:rPr>
                <w:rStyle w:val="SpecialBold"/>
              </w:rPr>
              <w:t>mechanical system fault</w:t>
            </w:r>
          </w:p>
        </w:tc>
        <w:tc>
          <w:tcPr>
            <w:tcW w:w="702" w:type="dxa"/>
            <w:tcBorders>
              <w:top w:val="nil"/>
              <w:left w:val="nil"/>
              <w:bottom w:val="nil"/>
              <w:right w:val="nil"/>
            </w:tcBorders>
            <w:tcMar>
              <w:top w:w="0" w:type="dxa"/>
              <w:left w:w="62" w:type="dxa"/>
              <w:bottom w:w="0" w:type="dxa"/>
              <w:right w:w="62" w:type="dxa"/>
            </w:tcMar>
          </w:tcPr>
          <w:p w:rsidR="00000000" w:rsidP="00B768C6">
            <w:pPr>
              <w:pStyle w:val="BodyText"/>
              <w:rPr>
                <w:lang w:val="en-NZ"/>
              </w:rPr>
            </w:pPr>
            <w:r w:rsidRPr="00B768C6">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B768C6">
            <w:pPr>
              <w:pStyle w:val="BodyText"/>
              <w:rPr>
                <w:lang w:val="en-NZ"/>
              </w:rPr>
            </w:pPr>
            <w:r w:rsidRPr="00B768C6">
              <w:t>Wind turbine mechanical system and performance parameter knowledge is applied to interpretation of fault data</w:t>
            </w:r>
          </w:p>
        </w:tc>
      </w:tr>
      <w:tr w:rsidTr="00B768C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68C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768C6">
            <w:pPr>
              <w:pStyle w:val="BodyText"/>
              <w:rPr>
                <w:lang w:val="en-NZ"/>
              </w:rPr>
            </w:pPr>
            <w:r w:rsidRPr="00B768C6">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B768C6">
            <w:pPr>
              <w:pStyle w:val="BodyText"/>
              <w:rPr>
                <w:lang w:val="en-NZ"/>
              </w:rPr>
            </w:pPr>
            <w:r w:rsidRPr="00B768C6">
              <w:t>Wind turbine mechanical system faults are verified or localised using appropriate techniques, tools and test equipment in accordance with workplace procedures</w:t>
            </w:r>
          </w:p>
        </w:tc>
      </w:tr>
      <w:tr w:rsidTr="00B768C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68C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768C6">
            <w:pPr>
              <w:pStyle w:val="BodyText"/>
              <w:rPr>
                <w:lang w:val="en-NZ"/>
              </w:rPr>
            </w:pPr>
            <w:r w:rsidRPr="00B768C6">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B768C6">
            <w:pPr>
              <w:pStyle w:val="BodyText"/>
              <w:rPr>
                <w:lang w:val="en-NZ"/>
              </w:rPr>
            </w:pPr>
            <w:r w:rsidRPr="00B768C6">
              <w:t>Priorities are set for testing or replacement of specific components, wiring and connectio</w:t>
            </w:r>
            <w:r w:rsidRPr="00B768C6">
              <w:t>ns in the wind turbine mechanical system</w:t>
            </w:r>
          </w:p>
        </w:tc>
      </w:tr>
      <w:tr w:rsidTr="00B768C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768C6" w:rsidP="00B768C6">
            <w:pPr>
              <w:pStyle w:val="BodyText"/>
            </w:pPr>
            <w:r w:rsidRPr="00B768C6">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B768C6" w:rsidP="00B768C6">
            <w:pPr>
              <w:pStyle w:val="BodyText"/>
            </w:pPr>
            <w:r w:rsidRPr="00B768C6">
              <w:rPr>
                <w:rStyle w:val="SpecialBold"/>
              </w:rPr>
              <w:t>Repair wind</w:t>
            </w:r>
            <w:r w:rsidRPr="00B768C6">
              <w:t xml:space="preserve"> </w:t>
            </w:r>
            <w:r w:rsidRPr="00B768C6">
              <w:rPr>
                <w:rStyle w:val="SpecialBold"/>
              </w:rPr>
              <w:t>turbine</w:t>
            </w:r>
            <w:r w:rsidRPr="00B768C6">
              <w:t xml:space="preserve"> </w:t>
            </w:r>
            <w:r w:rsidRPr="00B768C6">
              <w:rPr>
                <w:rStyle w:val="SpecialBold"/>
              </w:rPr>
              <w:t>mechanical system fault</w:t>
            </w:r>
          </w:p>
        </w:tc>
        <w:tc>
          <w:tcPr>
            <w:tcW w:w="702" w:type="dxa"/>
            <w:tcBorders>
              <w:top w:val="nil"/>
              <w:left w:val="nil"/>
              <w:bottom w:val="nil"/>
              <w:right w:val="nil"/>
            </w:tcBorders>
            <w:tcMar>
              <w:top w:w="0" w:type="dxa"/>
              <w:left w:w="62" w:type="dxa"/>
              <w:bottom w:w="0" w:type="dxa"/>
              <w:right w:w="62" w:type="dxa"/>
            </w:tcMar>
          </w:tcPr>
          <w:p w:rsidR="00000000" w:rsidP="00B768C6">
            <w:pPr>
              <w:pStyle w:val="BodyText"/>
              <w:rPr>
                <w:lang w:val="en-NZ"/>
              </w:rPr>
            </w:pPr>
            <w:r w:rsidRPr="00B768C6">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B768C6">
            <w:pPr>
              <w:pStyle w:val="BodyText"/>
              <w:rPr>
                <w:lang w:val="en-NZ"/>
              </w:rPr>
            </w:pPr>
            <w:r w:rsidRPr="00B768C6">
              <w:t>Risk analysis is undertaken and is communicated to work team and appropriate personnel in accordance with workplace procedures</w:t>
            </w:r>
          </w:p>
        </w:tc>
      </w:tr>
      <w:tr w:rsidTr="00B768C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68C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768C6">
            <w:pPr>
              <w:pStyle w:val="BodyText"/>
              <w:rPr>
                <w:lang w:val="en-NZ"/>
              </w:rPr>
            </w:pPr>
            <w:r w:rsidRPr="00B768C6">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B768C6">
            <w:pPr>
              <w:pStyle w:val="BodyText"/>
              <w:rPr>
                <w:lang w:val="en-NZ"/>
              </w:rPr>
            </w:pPr>
            <w:r w:rsidRPr="00B768C6">
              <w:t>Safety precautions, including circuit isolations, physical barriers and other protective devices or systems are used, where appropriate, in accordance with workplace procedures</w:t>
            </w:r>
          </w:p>
        </w:tc>
      </w:tr>
      <w:tr w:rsidTr="00B768C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68C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768C6">
            <w:pPr>
              <w:pStyle w:val="BodyText"/>
              <w:rPr>
                <w:lang w:val="en-NZ"/>
              </w:rPr>
            </w:pPr>
            <w:r w:rsidRPr="00B768C6">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B768C6">
            <w:pPr>
              <w:pStyle w:val="BodyText"/>
              <w:rPr>
                <w:lang w:val="en-NZ"/>
              </w:rPr>
            </w:pPr>
            <w:r w:rsidRPr="00B768C6">
              <w:t>Tests are conducted to ensure wind turbine mechanical system fault has b</w:t>
            </w:r>
            <w:r w:rsidRPr="00B768C6">
              <w:t>een isolated</w:t>
            </w:r>
          </w:p>
        </w:tc>
      </w:tr>
      <w:tr w:rsidTr="00B768C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68C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768C6">
            <w:pPr>
              <w:pStyle w:val="BodyText"/>
              <w:rPr>
                <w:lang w:val="en-NZ"/>
              </w:rPr>
            </w:pPr>
            <w:r w:rsidRPr="00B768C6">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B768C6">
            <w:pPr>
              <w:pStyle w:val="BodyText"/>
              <w:rPr>
                <w:lang w:val="en-NZ"/>
              </w:rPr>
            </w:pPr>
            <w:r w:rsidRPr="00B768C6">
              <w:t>Wind turbine mechanical system parts likely to be cause of fault are removed and replaced with tested and operational parts</w:t>
            </w:r>
          </w:p>
        </w:tc>
      </w:tr>
      <w:tr w:rsidTr="00B768C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68C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768C6">
            <w:pPr>
              <w:pStyle w:val="BodyText"/>
              <w:rPr>
                <w:lang w:val="en-NZ"/>
              </w:rPr>
            </w:pPr>
            <w:r w:rsidRPr="00B768C6">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B768C6">
            <w:pPr>
              <w:pStyle w:val="BodyText"/>
              <w:rPr>
                <w:lang w:val="en-NZ"/>
              </w:rPr>
            </w:pPr>
            <w:r w:rsidRPr="00B768C6">
              <w:t>Wind turbine mechanical systems are tested in accordance with workplace procedures to ensure correct operation</w:t>
            </w:r>
          </w:p>
        </w:tc>
      </w:tr>
      <w:tr w:rsidTr="00B768C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68C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768C6">
            <w:pPr>
              <w:pStyle w:val="BodyText"/>
              <w:rPr>
                <w:lang w:val="en-NZ"/>
              </w:rPr>
            </w:pPr>
            <w:r w:rsidRPr="00B768C6">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P="00B768C6">
            <w:pPr>
              <w:pStyle w:val="BodyText"/>
              <w:rPr>
                <w:lang w:val="en-NZ"/>
              </w:rPr>
            </w:pPr>
            <w:r w:rsidRPr="00B768C6">
              <w:t>Repairs to complex faults are escalated in accordance with workplace procedures, if required, to a technical adviser</w:t>
            </w:r>
          </w:p>
        </w:tc>
      </w:tr>
      <w:tr w:rsidTr="00B768C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B768C6" w:rsidP="00B768C6">
            <w:pPr>
              <w:pStyle w:val="BodyText"/>
            </w:pPr>
            <w:r w:rsidRPr="00B768C6">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B768C6" w:rsidP="00B768C6">
            <w:pPr>
              <w:pStyle w:val="BodyText"/>
            </w:pPr>
            <w:r w:rsidRPr="00B768C6">
              <w:rPr>
                <w:rStyle w:val="SpecialBold"/>
              </w:rPr>
              <w:t>Record wind</w:t>
            </w:r>
            <w:r w:rsidRPr="00B768C6">
              <w:t xml:space="preserve"> </w:t>
            </w:r>
            <w:r w:rsidRPr="00B768C6">
              <w:rPr>
                <w:rStyle w:val="SpecialBold"/>
              </w:rPr>
              <w:t>turbin</w:t>
            </w:r>
            <w:r w:rsidRPr="00B768C6">
              <w:rPr>
                <w:rStyle w:val="SpecialBold"/>
              </w:rPr>
              <w:t>e</w:t>
            </w:r>
            <w:r w:rsidRPr="00B768C6">
              <w:t xml:space="preserve"> </w:t>
            </w:r>
            <w:r w:rsidRPr="00B768C6">
              <w:rPr>
                <w:rStyle w:val="SpecialBold"/>
              </w:rPr>
              <w:t>mechanical system fault</w:t>
            </w:r>
          </w:p>
        </w:tc>
        <w:tc>
          <w:tcPr>
            <w:tcW w:w="702" w:type="dxa"/>
            <w:tcBorders>
              <w:top w:val="nil"/>
              <w:left w:val="nil"/>
              <w:bottom w:val="nil"/>
              <w:right w:val="nil"/>
            </w:tcBorders>
            <w:tcMar>
              <w:top w:w="0" w:type="dxa"/>
              <w:left w:w="62" w:type="dxa"/>
              <w:bottom w:w="0" w:type="dxa"/>
              <w:right w:w="62" w:type="dxa"/>
            </w:tcMar>
          </w:tcPr>
          <w:p w:rsidR="00000000" w:rsidP="00B768C6">
            <w:pPr>
              <w:pStyle w:val="BodyText"/>
              <w:rPr>
                <w:lang w:val="en-NZ"/>
              </w:rPr>
            </w:pPr>
            <w:r w:rsidRPr="00B768C6">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B768C6">
            <w:pPr>
              <w:pStyle w:val="BodyText"/>
              <w:rPr>
                <w:lang w:val="en-NZ"/>
              </w:rPr>
            </w:pPr>
            <w:r w:rsidRPr="00B768C6">
              <w:t xml:space="preserve">Wind turbine mechanical system faulty components and parts are tagged, identified and stored in accordance with workplace procedures </w:t>
            </w:r>
          </w:p>
        </w:tc>
      </w:tr>
      <w:tr w:rsidTr="00B768C6">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B768C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B768C6">
            <w:pPr>
              <w:pStyle w:val="BodyText"/>
              <w:rPr>
                <w:lang w:val="en-NZ"/>
              </w:rPr>
            </w:pPr>
            <w:r w:rsidRPr="00B768C6">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RPr="00B768C6" w:rsidP="00B768C6">
            <w:pPr>
              <w:pStyle w:val="BodyText"/>
            </w:pPr>
            <w:r w:rsidRPr="00B768C6">
              <w:t>Faults are recorded in accordance with workplace procedures</w:t>
            </w:r>
          </w:p>
        </w:tc>
      </w:tr>
    </w:tbl>
    <w:p w:rsidR="00000000" w:rsidRPr="00B768C6" w:rsidP="00B768C6">
      <w:pPr>
        <w:pStyle w:val="NoPaddingFontSize1"/>
      </w:pPr>
    </w:p>
    <w:p w:rsidR="00000000" w:rsidRPr="00B768C6" w:rsidP="00B768C6">
      <w:pPr>
        <w:pStyle w:val="AllowPageBreak"/>
      </w:pPr>
    </w:p>
    <w:p w:rsidR="00000000" w:rsidRPr="00B768C6" w:rsidP="00B768C6">
      <w:pPr>
        <w:pStyle w:val="Heading1"/>
      </w:pPr>
      <w:bookmarkStart w:id="7" w:name="O_1189800"/>
      <w:bookmarkEnd w:id="7"/>
      <w:r w:rsidRPr="00B768C6">
        <w:t>Foundation Skills</w:t>
      </w:r>
    </w:p>
    <w:tbl>
      <w:tblPr>
        <w:tblW w:w="9497" w:type="dxa"/>
        <w:tblLayout w:type="fixed"/>
        <w:tblCellMar>
          <w:left w:w="62" w:type="dxa"/>
          <w:right w:w="62" w:type="dxa"/>
        </w:tblCellMar>
        <w:tblLook w:val="0000"/>
      </w:tblPr>
      <w:tblGrid>
        <w:gridCol w:w="9497"/>
      </w:tblGrid>
      <w:tr w:rsidTr="00B768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68C6" w:rsidP="00B768C6">
            <w:pPr>
              <w:pStyle w:val="BodyText"/>
            </w:pPr>
            <w:r w:rsidRPr="00B768C6">
              <w:t>Foundation skills essential to performance are explicit in the performance criteria of this unit of competency.</w:t>
            </w:r>
          </w:p>
        </w:tc>
      </w:tr>
    </w:tbl>
    <w:p w:rsidR="00000000" w:rsidRPr="00B768C6" w:rsidP="00B768C6">
      <w:pPr>
        <w:pStyle w:val="NoPaddingFontSize1"/>
      </w:pPr>
    </w:p>
    <w:p w:rsidR="00000000" w:rsidRPr="00B768C6" w:rsidP="00B768C6">
      <w:pPr>
        <w:pStyle w:val="AllowPageBreak"/>
      </w:pPr>
    </w:p>
    <w:p w:rsidR="00000000" w:rsidRPr="00B768C6" w:rsidP="00B768C6">
      <w:pPr>
        <w:pStyle w:val="Heading1"/>
      </w:pPr>
      <w:bookmarkStart w:id="8" w:name="O_1189801"/>
      <w:bookmarkEnd w:id="8"/>
      <w:r w:rsidRPr="00B768C6">
        <w:t>Range of Conditions</w:t>
      </w:r>
    </w:p>
    <w:tbl>
      <w:tblPr>
        <w:tblW w:w="9497" w:type="dxa"/>
        <w:tblLayout w:type="fixed"/>
        <w:tblCellMar>
          <w:left w:w="62" w:type="dxa"/>
          <w:right w:w="62" w:type="dxa"/>
        </w:tblCellMar>
        <w:tblLook w:val="0000"/>
      </w:tblPr>
      <w:tblGrid>
        <w:gridCol w:w="9497"/>
      </w:tblGrid>
      <w:tr w:rsidTr="00B768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68C6" w:rsidP="00B768C6">
            <w:pPr>
              <w:pStyle w:val="BodyText"/>
            </w:pPr>
            <w:r w:rsidRPr="00B768C6">
              <w:t>Range is restricted to essential operating conditions and any other variables essenti</w:t>
            </w:r>
            <w:r w:rsidRPr="00B768C6">
              <w:t>al to the work environment.</w:t>
            </w:r>
          </w:p>
          <w:p w:rsidR="00000000" w:rsidRPr="00B768C6" w:rsidP="00B768C6">
            <w:pPr>
              <w:pStyle w:val="BodyText"/>
            </w:pPr>
            <w:r w:rsidRPr="00B768C6">
              <w:t>Non-essential conditions may be found in the UEP Electricity Supply Industry – Generation Sector Training Package Companion Volume Implementation Guide.</w:t>
            </w:r>
          </w:p>
        </w:tc>
      </w:tr>
    </w:tbl>
    <w:p w:rsidR="00000000" w:rsidRPr="00B768C6" w:rsidP="00B768C6">
      <w:pPr>
        <w:pStyle w:val="NoPaddingFontSize1"/>
      </w:pPr>
    </w:p>
    <w:p w:rsidR="00000000" w:rsidRPr="00B768C6" w:rsidP="00B768C6">
      <w:pPr>
        <w:pStyle w:val="AllowPageBreak"/>
      </w:pPr>
    </w:p>
    <w:p w:rsidR="00000000" w:rsidRPr="00B768C6" w:rsidP="00B768C6">
      <w:pPr>
        <w:pStyle w:val="Heading1"/>
      </w:pPr>
      <w:bookmarkStart w:id="9" w:name="O_1189802"/>
      <w:bookmarkEnd w:id="9"/>
      <w:r w:rsidRPr="00B768C6">
        <w:t>Unit Mapping Information</w:t>
      </w:r>
    </w:p>
    <w:tbl>
      <w:tblPr>
        <w:tblW w:w="9497" w:type="dxa"/>
        <w:tblLayout w:type="fixed"/>
        <w:tblCellMar>
          <w:left w:w="62" w:type="dxa"/>
          <w:right w:w="62" w:type="dxa"/>
        </w:tblCellMar>
        <w:tblLook w:val="0000"/>
      </w:tblPr>
      <w:tblGrid>
        <w:gridCol w:w="9497"/>
      </w:tblGrid>
      <w:tr w:rsidTr="00B768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68C6" w:rsidP="00B768C6">
            <w:pPr>
              <w:pStyle w:val="BodyText"/>
            </w:pPr>
            <w:r w:rsidRPr="00B768C6">
              <w:t>This unit replaces and is not equivalent to UEPMNT449 Diagnose and repair mechanical systems faults in wind turbine generators.</w:t>
            </w:r>
          </w:p>
        </w:tc>
      </w:tr>
    </w:tbl>
    <w:p w:rsidR="00000000" w:rsidRPr="00B768C6" w:rsidP="00B768C6">
      <w:pPr>
        <w:pStyle w:val="NoPaddingFontSize1"/>
      </w:pPr>
    </w:p>
    <w:p w:rsidR="00000000" w:rsidRPr="00B768C6" w:rsidP="00B768C6">
      <w:pPr>
        <w:pStyle w:val="AllowPageBreak"/>
      </w:pPr>
    </w:p>
    <w:p w:rsidR="00000000" w:rsidRPr="00B768C6" w:rsidP="00B768C6">
      <w:pPr>
        <w:pStyle w:val="Heading1"/>
      </w:pPr>
      <w:bookmarkStart w:id="10" w:name="O_1189809"/>
      <w:bookmarkEnd w:id="10"/>
      <w:r w:rsidRPr="00B768C6">
        <w:t>Links</w:t>
      </w:r>
    </w:p>
    <w:p w:rsidR="00000000" w:rsidRPr="00B768C6" w:rsidP="007D0DB6">
      <w:pPr>
        <w:pStyle w:val="BodyText"/>
      </w:pPr>
      <w:r w:rsidRPr="00B768C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A04A7A">
        <w:rPr>
          <w:rStyle w:val="Hyperlink"/>
        </w:rPr>
        <w:t>https://vetnet.gov.au/Pages/TrainingDocs.aspx?q=1715b9fa-e7bd-441c-bb8d-cf22c9c825a8</w:t>
      </w:r>
      <w:r>
        <w:fldChar w:fldCharType="end"/>
      </w:r>
    </w:p>
    <w:p w:rsidR="00000000" w:rsidRPr="00B768C6" w:rsidP="00B768C6"/>
    <w:sectPr w:rsidSect="00B768C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8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8C6" w:rsidRPr="007D0DB6" w:rsidP="007D0D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8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DB6" w:rsidP="00B768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D0DB6" w:rsidP="00B768C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D0DB6" w:rsidP="00B768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8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D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68C6" w:rsidRPr="007D0DB6" w:rsidP="007D0D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8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DB6" w:rsidRPr="002D2AF8" w:rsidP="00B768C6">
    <w:pPr>
      <w:pStyle w:val="Header"/>
      <w:framePr w:wrap="around"/>
    </w:pPr>
    <w:r>
      <w:fldChar w:fldCharType="begin"/>
    </w:r>
    <w:r>
      <w:instrText xml:space="preserve"> TITLE   \* MERGEFORMAT </w:instrText>
    </w:r>
    <w:r>
      <w:fldChar w:fldCharType="separate"/>
    </w:r>
    <w:r>
      <w:t>UEPMNT007 Diagnose and repair mechanical systems faults in wind turbines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7D0DB6" w:rsidP="00B768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8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68C6"/>
    <w:pPr>
      <w:spacing w:before="360" w:after="60"/>
      <w:outlineLvl w:val="0"/>
    </w:pPr>
    <w:rPr>
      <w:sz w:val="32"/>
    </w:rPr>
  </w:style>
  <w:style w:type="paragraph" w:styleId="Heading2">
    <w:name w:val="heading 2"/>
    <w:basedOn w:val="HeadingBase"/>
    <w:next w:val="BodyText"/>
    <w:link w:val="Heading2Char"/>
    <w:qFormat/>
    <w:rsid w:val="00B768C6"/>
    <w:pPr>
      <w:keepLines/>
      <w:spacing w:before="240" w:after="120"/>
      <w:outlineLvl w:val="1"/>
    </w:pPr>
    <w:rPr>
      <w:sz w:val="28"/>
      <w:szCs w:val="40"/>
    </w:rPr>
  </w:style>
  <w:style w:type="paragraph" w:styleId="Heading3">
    <w:name w:val="heading 3"/>
    <w:basedOn w:val="HeadingBase"/>
    <w:next w:val="BodyText"/>
    <w:link w:val="Heading3Char"/>
    <w:qFormat/>
    <w:rsid w:val="00B768C6"/>
    <w:pPr>
      <w:spacing w:before="180" w:after="120"/>
      <w:outlineLvl w:val="2"/>
    </w:pPr>
    <w:rPr>
      <w:spacing w:val="-10"/>
      <w:kern w:val="32"/>
    </w:rPr>
  </w:style>
  <w:style w:type="paragraph" w:styleId="Heading4">
    <w:name w:val="heading 4"/>
    <w:basedOn w:val="HeadingBase"/>
    <w:next w:val="BodyText"/>
    <w:link w:val="Heading4Char"/>
    <w:qFormat/>
    <w:rsid w:val="00B768C6"/>
    <w:pPr>
      <w:spacing w:before="160" w:after="120"/>
      <w:outlineLvl w:val="3"/>
    </w:pPr>
    <w:rPr>
      <w:sz w:val="22"/>
    </w:rPr>
  </w:style>
  <w:style w:type="paragraph" w:styleId="Heading5">
    <w:name w:val="heading 5"/>
    <w:basedOn w:val="HeadingBase"/>
    <w:next w:val="Normal"/>
    <w:link w:val="Heading5Char"/>
    <w:qFormat/>
    <w:rsid w:val="00B768C6"/>
    <w:pPr>
      <w:spacing w:before="80"/>
      <w:outlineLvl w:val="4"/>
    </w:pPr>
    <w:rPr>
      <w:color w:val="918585"/>
      <w:sz w:val="20"/>
    </w:rPr>
  </w:style>
  <w:style w:type="paragraph" w:styleId="Heading6">
    <w:name w:val="heading 6"/>
    <w:basedOn w:val="HeadingBase"/>
    <w:next w:val="Normal"/>
    <w:link w:val="Heading6Char"/>
    <w:qFormat/>
    <w:rsid w:val="00B768C6"/>
    <w:pPr>
      <w:spacing w:before="60"/>
      <w:outlineLvl w:val="5"/>
    </w:pPr>
    <w:rPr>
      <w:color w:val="918585"/>
      <w:sz w:val="20"/>
    </w:rPr>
  </w:style>
  <w:style w:type="paragraph" w:styleId="Heading7">
    <w:name w:val="heading 7"/>
    <w:basedOn w:val="Normal"/>
    <w:next w:val="Normal"/>
    <w:link w:val="Heading7Char"/>
    <w:qFormat/>
    <w:rsid w:val="00B768C6"/>
    <w:pPr>
      <w:ind w:left="720"/>
      <w:outlineLvl w:val="6"/>
    </w:pPr>
    <w:rPr>
      <w:i/>
    </w:rPr>
  </w:style>
  <w:style w:type="paragraph" w:styleId="Heading8">
    <w:name w:val="heading 8"/>
    <w:basedOn w:val="Normal"/>
    <w:next w:val="Normal"/>
    <w:link w:val="Heading8Char"/>
    <w:qFormat/>
    <w:rsid w:val="00B768C6"/>
    <w:pPr>
      <w:ind w:left="720"/>
      <w:outlineLvl w:val="7"/>
    </w:pPr>
    <w:rPr>
      <w:i/>
    </w:rPr>
  </w:style>
  <w:style w:type="paragraph" w:styleId="Heading9">
    <w:name w:val="heading 9"/>
    <w:basedOn w:val="Normal"/>
    <w:next w:val="Normal"/>
    <w:link w:val="Heading9Char"/>
    <w:qFormat/>
    <w:rsid w:val="00B768C6"/>
    <w:pPr>
      <w:ind w:left="720"/>
      <w:outlineLvl w:val="8"/>
    </w:pPr>
    <w:rPr>
      <w:i/>
    </w:rPr>
  </w:style>
  <w:style w:type="character" w:default="1" w:styleId="DefaultParagraphFont">
    <w:name w:val="Default Paragraph Font"/>
    <w:uiPriority w:val="1"/>
    <w:unhideWhenUsed/>
    <w:rsid w:val="00B768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68C6"/>
  </w:style>
  <w:style w:type="character" w:customStyle="1" w:styleId="Heading1Char">
    <w:name w:val="Heading 1 Char"/>
    <w:basedOn w:val="DefaultParagraphFont"/>
    <w:link w:val="Heading1"/>
    <w:rsid w:val="00B768C6"/>
    <w:rPr>
      <w:rFonts w:ascii="Times New Roman" w:eastAsia="Times New Roman" w:hAnsi="Times New Roman" w:cs="Times New Roman"/>
      <w:b/>
      <w:sz w:val="32"/>
      <w:szCs w:val="20"/>
      <w:lang w:eastAsia="en-US"/>
    </w:rPr>
  </w:style>
  <w:style w:type="paragraph" w:styleId="BodyText">
    <w:name w:val="Body Text"/>
    <w:basedOn w:val="Normal"/>
    <w:link w:val="BodyTextChar"/>
    <w:rsid w:val="00B768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68C6"/>
    <w:rPr>
      <w:rFonts w:ascii="Times New Roman" w:eastAsia="Times New Roman" w:hAnsi="Times New Roman" w:cs="Times New Roman"/>
      <w:sz w:val="24"/>
      <w:lang w:eastAsia="en-US"/>
    </w:rPr>
  </w:style>
  <w:style w:type="character" w:customStyle="1" w:styleId="SpecialBold">
    <w:name w:val="Special Bold"/>
    <w:basedOn w:val="DefaultParagraphFont"/>
    <w:rsid w:val="00B768C6"/>
    <w:rPr>
      <w:b/>
      <w:spacing w:val="0"/>
    </w:rPr>
  </w:style>
  <w:style w:type="paragraph" w:customStyle="1" w:styleId="SuperHeading">
    <w:name w:val="SuperHeading"/>
    <w:basedOn w:val="Normal"/>
    <w:rsid w:val="00B768C6"/>
    <w:pPr>
      <w:spacing w:before="240" w:after="120"/>
      <w:outlineLvl w:val="0"/>
    </w:pPr>
    <w:rPr>
      <w:rFonts w:ascii="Times New Roman" w:hAnsi="Times New Roman"/>
      <w:b/>
      <w:sz w:val="32"/>
    </w:rPr>
  </w:style>
  <w:style w:type="paragraph" w:customStyle="1" w:styleId="AllowPageBreak">
    <w:name w:val="AllowPageBreak"/>
    <w:rsid w:val="00B768C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768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68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68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68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68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68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68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68C6"/>
    <w:rPr>
      <w:rFonts w:ascii="Courier New" w:eastAsia="Times New Roman" w:hAnsi="Courier New" w:cs="Times New Roman"/>
      <w:i/>
      <w:szCs w:val="20"/>
      <w:lang w:eastAsia="en-US"/>
    </w:rPr>
  </w:style>
  <w:style w:type="paragraph" w:customStyle="1" w:styleId="HeadingBase">
    <w:name w:val="Heading Base"/>
    <w:rsid w:val="00B768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68C6"/>
    <w:pPr>
      <w:tabs>
        <w:tab w:val="right" w:leader="dot" w:pos="9072"/>
      </w:tabs>
      <w:ind w:left="567"/>
    </w:pPr>
    <w:rPr>
      <w:szCs w:val="22"/>
    </w:rPr>
  </w:style>
  <w:style w:type="paragraph" w:customStyle="1" w:styleId="TOCBase">
    <w:name w:val="TOC Base"/>
    <w:rsid w:val="00B768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68C6"/>
    <w:pPr>
      <w:tabs>
        <w:tab w:val="right" w:leader="dot" w:pos="9072"/>
      </w:tabs>
      <w:spacing w:before="40" w:after="40"/>
      <w:ind w:left="284"/>
    </w:pPr>
    <w:rPr>
      <w:rFonts w:ascii="Times New Roman" w:hAnsi="Times New Roman"/>
    </w:rPr>
  </w:style>
  <w:style w:type="paragraph" w:styleId="TOC1">
    <w:name w:val="toc 1"/>
    <w:basedOn w:val="TOCBase"/>
    <w:next w:val="Normal"/>
    <w:rsid w:val="00B768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68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68C6"/>
    <w:rPr>
      <w:rFonts w:ascii="Times New Roman" w:eastAsia="Times New Roman" w:hAnsi="Times New Roman" w:cs="Times New Roman"/>
      <w:sz w:val="16"/>
      <w:lang w:eastAsia="en-US"/>
    </w:rPr>
  </w:style>
  <w:style w:type="paragraph" w:styleId="Title">
    <w:name w:val="Title"/>
    <w:basedOn w:val="HeadingBase"/>
    <w:link w:val="TitleChar"/>
    <w:qFormat/>
    <w:rsid w:val="00B768C6"/>
    <w:pPr>
      <w:spacing w:before="5040"/>
      <w:jc w:val="center"/>
    </w:pPr>
    <w:rPr>
      <w:sz w:val="48"/>
      <w:szCs w:val="72"/>
      <w:lang w:val="en-US"/>
    </w:rPr>
  </w:style>
  <w:style w:type="character" w:customStyle="1" w:styleId="TitleChar">
    <w:name w:val="Title Char"/>
    <w:basedOn w:val="DefaultParagraphFont"/>
    <w:link w:val="Title"/>
    <w:rsid w:val="00B768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68C6"/>
    <w:pPr>
      <w:tabs>
        <w:tab w:val="left" w:pos="3600"/>
        <w:tab w:val="left" w:pos="3958"/>
      </w:tabs>
    </w:pPr>
  </w:style>
  <w:style w:type="paragraph" w:styleId="List">
    <w:name w:val="List"/>
    <w:basedOn w:val="BodyText"/>
    <w:next w:val="BodyText"/>
    <w:rsid w:val="00B768C6"/>
    <w:pPr>
      <w:tabs>
        <w:tab w:val="left" w:pos="340"/>
      </w:tabs>
      <w:spacing w:before="60" w:after="60"/>
      <w:ind w:left="340" w:hanging="340"/>
    </w:pPr>
  </w:style>
  <w:style w:type="paragraph" w:styleId="ListBullet">
    <w:name w:val="List Bullet"/>
    <w:basedOn w:val="List"/>
    <w:rsid w:val="00B768C6"/>
    <w:pPr>
      <w:numPr>
        <w:numId w:val="10"/>
      </w:numPr>
      <w:tabs>
        <w:tab w:val="clear" w:pos="340"/>
      </w:tabs>
      <w:spacing w:before="40" w:after="40"/>
    </w:pPr>
  </w:style>
  <w:style w:type="paragraph" w:customStyle="1" w:styleId="Note">
    <w:name w:val="Note"/>
    <w:basedOn w:val="BodyText"/>
    <w:rsid w:val="00B768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68C6"/>
    <w:pPr>
      <w:framePr w:wrap="auto" w:hAnchor="text" w:y="6049"/>
    </w:pPr>
    <w:rPr>
      <w:color w:val="000000"/>
      <w:sz w:val="40"/>
    </w:rPr>
  </w:style>
  <w:style w:type="paragraph" w:customStyle="1" w:styleId="TOCTitle">
    <w:name w:val="TOCTitle"/>
    <w:basedOn w:val="Heading1"/>
    <w:rsid w:val="00B768C6"/>
    <w:pPr>
      <w:spacing w:after="240"/>
      <w:jc w:val="center"/>
      <w:outlineLvl w:val="9"/>
    </w:pPr>
    <w:rPr>
      <w:caps/>
    </w:rPr>
  </w:style>
  <w:style w:type="paragraph" w:customStyle="1" w:styleId="Version">
    <w:name w:val="Version"/>
    <w:rsid w:val="00B768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68C6"/>
    <w:pPr>
      <w:numPr>
        <w:numId w:val="11"/>
      </w:numPr>
      <w:tabs>
        <w:tab w:val="clear" w:pos="680"/>
      </w:tabs>
    </w:pPr>
  </w:style>
  <w:style w:type="paragraph" w:styleId="Index1">
    <w:name w:val="index 1"/>
    <w:basedOn w:val="Normal"/>
    <w:next w:val="Normal"/>
    <w:semiHidden/>
    <w:rsid w:val="00B768C6"/>
    <w:pPr>
      <w:keepNext w:val="0"/>
      <w:tabs>
        <w:tab w:val="right" w:pos="4176"/>
      </w:tabs>
      <w:ind w:left="198" w:hanging="198"/>
    </w:pPr>
    <w:rPr>
      <w:rFonts w:ascii="Garamond" w:hAnsi="Garamond"/>
    </w:rPr>
  </w:style>
  <w:style w:type="paragraph" w:styleId="IndexHeading">
    <w:name w:val="index heading"/>
    <w:basedOn w:val="Normal"/>
    <w:next w:val="Index1"/>
    <w:semiHidden/>
    <w:rsid w:val="00B768C6"/>
    <w:pPr>
      <w:spacing w:before="120" w:after="120"/>
    </w:pPr>
    <w:rPr>
      <w:rFonts w:ascii="Arial" w:hAnsi="Arial"/>
      <w:b/>
      <w:color w:val="918585"/>
      <w:sz w:val="24"/>
    </w:rPr>
  </w:style>
  <w:style w:type="paragraph" w:styleId="Header">
    <w:name w:val="header"/>
    <w:basedOn w:val="Normal"/>
    <w:link w:val="HeaderChar"/>
    <w:rsid w:val="00B768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68C6"/>
    <w:rPr>
      <w:rFonts w:ascii="Times New Roman" w:eastAsia="Times New Roman" w:hAnsi="Times New Roman" w:cs="Times New Roman"/>
      <w:sz w:val="16"/>
      <w:szCs w:val="20"/>
      <w:lang w:val="en-GB" w:eastAsia="en-US"/>
    </w:rPr>
  </w:style>
  <w:style w:type="paragraph" w:customStyle="1" w:styleId="Chapter">
    <w:name w:val="Chapter"/>
    <w:basedOn w:val="Normal"/>
    <w:rsid w:val="00B768C6"/>
    <w:pPr>
      <w:spacing w:before="240"/>
    </w:pPr>
    <w:rPr>
      <w:rFonts w:ascii="Times New Roman" w:hAnsi="Times New Roman"/>
      <w:smallCaps/>
      <w:spacing w:val="80"/>
      <w:sz w:val="28"/>
    </w:rPr>
  </w:style>
  <w:style w:type="paragraph" w:customStyle="1" w:styleId="InChapter">
    <w:name w:val="InChapter"/>
    <w:basedOn w:val="Heading3"/>
    <w:rsid w:val="00B768C6"/>
    <w:pPr>
      <w:spacing w:after="240"/>
      <w:outlineLvl w:val="9"/>
    </w:pPr>
    <w:rPr>
      <w:noProof/>
    </w:rPr>
  </w:style>
  <w:style w:type="paragraph" w:styleId="Index2">
    <w:name w:val="index 2"/>
    <w:basedOn w:val="Normal"/>
    <w:next w:val="Normal"/>
    <w:semiHidden/>
    <w:rsid w:val="00B768C6"/>
    <w:pPr>
      <w:tabs>
        <w:tab w:val="right" w:pos="4176"/>
      </w:tabs>
      <w:ind w:left="568" w:hanging="284"/>
    </w:pPr>
    <w:rPr>
      <w:rFonts w:ascii="Garamond" w:hAnsi="Garamond"/>
    </w:rPr>
  </w:style>
  <w:style w:type="paragraph" w:customStyle="1" w:styleId="Byline">
    <w:name w:val="Byline"/>
    <w:rsid w:val="00B768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68C6"/>
    <w:pPr>
      <w:tabs>
        <w:tab w:val="clear" w:pos="3600"/>
        <w:tab w:val="clear" w:pos="3958"/>
      </w:tabs>
      <w:jc w:val="right"/>
    </w:pPr>
  </w:style>
  <w:style w:type="character" w:styleId="Emphasis">
    <w:name w:val="Emphasis"/>
    <w:basedOn w:val="DefaultParagraphFont"/>
    <w:qFormat/>
    <w:rsid w:val="00B768C6"/>
    <w:rPr>
      <w:i/>
    </w:rPr>
  </w:style>
  <w:style w:type="paragraph" w:styleId="Caption">
    <w:name w:val="caption"/>
    <w:basedOn w:val="BodyText"/>
    <w:next w:val="Normal"/>
    <w:qFormat/>
    <w:rsid w:val="00B768C6"/>
    <w:pPr>
      <w:framePr w:w="2268" w:hSpace="181" w:vSpace="181" w:wrap="around" w:vAnchor="text" w:hAnchor="page" w:x="1135" w:y="285" w:anchorLock="1"/>
    </w:pPr>
    <w:rPr>
      <w:i/>
    </w:rPr>
  </w:style>
  <w:style w:type="paragraph" w:customStyle="1" w:styleId="MiniTOCTitle">
    <w:name w:val="MiniTOCTitle"/>
    <w:basedOn w:val="Heading4"/>
    <w:rsid w:val="00B768C6"/>
    <w:pPr>
      <w:spacing w:before="240"/>
      <w:outlineLvl w:val="9"/>
    </w:pPr>
    <w:rPr>
      <w:noProof/>
      <w:sz w:val="24"/>
    </w:rPr>
  </w:style>
  <w:style w:type="paragraph" w:customStyle="1" w:styleId="MiniTOCItem">
    <w:name w:val="MiniTOCItem"/>
    <w:basedOn w:val="ListBullet"/>
    <w:rsid w:val="00B768C6"/>
    <w:pPr>
      <w:numPr>
        <w:numId w:val="0"/>
      </w:numPr>
      <w:tabs>
        <w:tab w:val="right" w:leader="dot" w:pos="6521"/>
      </w:tabs>
      <w:spacing w:before="0" w:after="0"/>
    </w:pPr>
  </w:style>
  <w:style w:type="paragraph" w:customStyle="1" w:styleId="TOFTitle">
    <w:name w:val="TOFTitle"/>
    <w:basedOn w:val="TOCTitle"/>
    <w:rsid w:val="00B768C6"/>
  </w:style>
  <w:style w:type="paragraph" w:styleId="TableofFigures">
    <w:name w:val="table of figures"/>
    <w:basedOn w:val="Normal"/>
    <w:next w:val="Normal"/>
    <w:semiHidden/>
    <w:rsid w:val="00B768C6"/>
    <w:pPr>
      <w:tabs>
        <w:tab w:val="right" w:leader="dot" w:pos="9072"/>
      </w:tabs>
      <w:ind w:left="970" w:hanging="403"/>
    </w:pPr>
    <w:rPr>
      <w:rFonts w:ascii="Times New Roman" w:hAnsi="Times New Roman"/>
      <w:b/>
    </w:rPr>
  </w:style>
  <w:style w:type="paragraph" w:styleId="ListNumber">
    <w:name w:val="List Number"/>
    <w:basedOn w:val="List"/>
    <w:rsid w:val="00B768C6"/>
    <w:pPr>
      <w:numPr>
        <w:numId w:val="13"/>
      </w:numPr>
      <w:tabs>
        <w:tab w:val="clear" w:pos="340"/>
      </w:tabs>
    </w:pPr>
  </w:style>
  <w:style w:type="character" w:customStyle="1" w:styleId="WingdingSymbols">
    <w:name w:val="Wingding Symbols"/>
    <w:rsid w:val="00B768C6"/>
    <w:rPr>
      <w:rFonts w:ascii="Wingdings" w:hAnsi="Wingdings"/>
    </w:rPr>
  </w:style>
  <w:style w:type="paragraph" w:customStyle="1" w:styleId="TableHeading">
    <w:name w:val="Table Heading"/>
    <w:basedOn w:val="HeadingBase"/>
    <w:rsid w:val="00B768C6"/>
    <w:pPr>
      <w:keepLines/>
      <w:pBdr>
        <w:bottom w:val="single" w:sz="6" w:space="1" w:color="918585"/>
      </w:pBdr>
      <w:spacing w:before="240"/>
    </w:pPr>
  </w:style>
  <w:style w:type="character" w:customStyle="1" w:styleId="HotSpot">
    <w:name w:val="HotSpot"/>
    <w:rsid w:val="00B768C6"/>
    <w:rPr>
      <w:color w:val="0033CC"/>
      <w:u w:val="none"/>
    </w:rPr>
  </w:style>
  <w:style w:type="paragraph" w:customStyle="1" w:styleId="BodyTextRight">
    <w:name w:val="Body Text Right"/>
    <w:basedOn w:val="BodyText"/>
    <w:rsid w:val="00B768C6"/>
    <w:pPr>
      <w:spacing w:before="0" w:after="0"/>
      <w:jc w:val="right"/>
    </w:pPr>
  </w:style>
  <w:style w:type="paragraph" w:styleId="Index3">
    <w:name w:val="index 3"/>
    <w:basedOn w:val="ListNumber2"/>
    <w:next w:val="Normal"/>
    <w:semiHidden/>
    <w:rsid w:val="00B768C6"/>
    <w:pPr>
      <w:numPr>
        <w:numId w:val="0"/>
      </w:numPr>
      <w:tabs>
        <w:tab w:val="right" w:leader="dot" w:pos="4176"/>
      </w:tabs>
    </w:pPr>
  </w:style>
  <w:style w:type="paragraph" w:styleId="ListNumber2">
    <w:name w:val="List Number 2"/>
    <w:basedOn w:val="List2"/>
    <w:rsid w:val="00B768C6"/>
    <w:pPr>
      <w:numPr>
        <w:numId w:val="8"/>
      </w:numPr>
      <w:tabs>
        <w:tab w:val="clear" w:pos="1060"/>
      </w:tabs>
    </w:pPr>
  </w:style>
  <w:style w:type="paragraph" w:customStyle="1" w:styleId="MarginNote">
    <w:name w:val="Margin Note"/>
    <w:basedOn w:val="BodyText"/>
    <w:rsid w:val="00B768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68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68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68C6"/>
    <w:rPr>
      <w:sz w:val="32"/>
    </w:rPr>
  </w:style>
  <w:style w:type="paragraph" w:customStyle="1" w:styleId="HeadingProcedure">
    <w:name w:val="Heading Procedure"/>
    <w:basedOn w:val="HeadingBase"/>
    <w:next w:val="Normal"/>
    <w:rsid w:val="00B768C6"/>
    <w:pPr>
      <w:tabs>
        <w:tab w:val="left" w:pos="0"/>
      </w:tabs>
      <w:spacing w:before="120" w:after="60"/>
    </w:pPr>
    <w:rPr>
      <w:i/>
      <w:color w:val="918585"/>
      <w:sz w:val="22"/>
    </w:rPr>
  </w:style>
  <w:style w:type="paragraph" w:customStyle="1" w:styleId="TableBodyText">
    <w:name w:val="Table Body Text"/>
    <w:basedOn w:val="BodyText"/>
    <w:rsid w:val="00B768C6"/>
    <w:pPr>
      <w:spacing w:before="60" w:after="60"/>
    </w:pPr>
  </w:style>
  <w:style w:type="paragraph" w:styleId="ListContinue">
    <w:name w:val="List Continue"/>
    <w:basedOn w:val="List"/>
    <w:rsid w:val="00B768C6"/>
    <w:pPr>
      <w:ind w:firstLine="0"/>
    </w:pPr>
  </w:style>
  <w:style w:type="paragraph" w:customStyle="1" w:styleId="ListNote">
    <w:name w:val="List Note"/>
    <w:basedOn w:val="List"/>
    <w:rsid w:val="00B768C6"/>
    <w:pPr>
      <w:pBdr>
        <w:top w:val="single" w:sz="6" w:space="2" w:color="918585"/>
        <w:bottom w:val="single" w:sz="6" w:space="2" w:color="918585"/>
      </w:pBdr>
      <w:tabs>
        <w:tab w:val="left" w:pos="1021"/>
      </w:tabs>
      <w:ind w:firstLine="0"/>
    </w:pPr>
  </w:style>
  <w:style w:type="paragraph" w:customStyle="1" w:styleId="Warning">
    <w:name w:val="Warning"/>
    <w:basedOn w:val="BodyText"/>
    <w:rsid w:val="00B768C6"/>
    <w:pPr>
      <w:shd w:val="clear" w:color="auto" w:fill="D9D9D9"/>
      <w:tabs>
        <w:tab w:val="left" w:pos="992"/>
      </w:tabs>
      <w:ind w:left="119" w:right="119"/>
    </w:pPr>
    <w:rPr>
      <w:sz w:val="20"/>
    </w:rPr>
  </w:style>
  <w:style w:type="paragraph" w:customStyle="1" w:styleId="MarginIcons">
    <w:name w:val="Margin Icons"/>
    <w:basedOn w:val="BodyText"/>
    <w:rsid w:val="00B768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68C6"/>
    <w:rPr>
      <w:rFonts w:ascii="Courier New" w:hAnsi="Courier New"/>
    </w:rPr>
  </w:style>
  <w:style w:type="paragraph" w:customStyle="1" w:styleId="NoteBullet">
    <w:name w:val="Note Bullet"/>
    <w:basedOn w:val="Note"/>
    <w:rsid w:val="00B768C6"/>
    <w:pPr>
      <w:tabs>
        <w:tab w:val="clear" w:pos="680"/>
      </w:tabs>
      <w:spacing w:before="60" w:after="60"/>
    </w:pPr>
  </w:style>
  <w:style w:type="paragraph" w:customStyle="1" w:styleId="SubHeading2">
    <w:name w:val="SubHeading2"/>
    <w:basedOn w:val="HeadingBase"/>
    <w:rsid w:val="00B768C6"/>
    <w:pPr>
      <w:spacing w:before="240" w:after="60"/>
    </w:pPr>
    <w:rPr>
      <w:sz w:val="20"/>
    </w:rPr>
  </w:style>
  <w:style w:type="paragraph" w:customStyle="1" w:styleId="SubHeading1">
    <w:name w:val="SubHeading1"/>
    <w:basedOn w:val="HeadingBase"/>
    <w:rsid w:val="00B768C6"/>
    <w:pPr>
      <w:spacing w:before="240" w:after="60"/>
    </w:pPr>
    <w:rPr>
      <w:color w:val="918585"/>
      <w:sz w:val="22"/>
    </w:rPr>
  </w:style>
  <w:style w:type="paragraph" w:customStyle="1" w:styleId="SideHeading">
    <w:name w:val="Side Heading"/>
    <w:basedOn w:val="HeadingBase"/>
    <w:rsid w:val="00B768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68C6"/>
    <w:pPr>
      <w:numPr>
        <w:numId w:val="9"/>
      </w:numPr>
    </w:pPr>
  </w:style>
  <w:style w:type="paragraph" w:styleId="PlainText">
    <w:name w:val="Plain Text"/>
    <w:basedOn w:val="Normal"/>
    <w:link w:val="PlainTextChar"/>
    <w:rsid w:val="00B768C6"/>
    <w:rPr>
      <w:sz w:val="20"/>
    </w:rPr>
  </w:style>
  <w:style w:type="character" w:customStyle="1" w:styleId="PlainTextChar">
    <w:name w:val="Plain Text Char"/>
    <w:basedOn w:val="DefaultParagraphFont"/>
    <w:link w:val="PlainText"/>
    <w:rsid w:val="00B768C6"/>
    <w:rPr>
      <w:rFonts w:ascii="Courier New" w:eastAsia="Times New Roman" w:hAnsi="Courier New" w:cs="Times New Roman"/>
      <w:sz w:val="20"/>
      <w:szCs w:val="20"/>
      <w:lang w:eastAsia="en-US"/>
    </w:rPr>
  </w:style>
  <w:style w:type="character" w:customStyle="1" w:styleId="MenuOption">
    <w:name w:val="Menu Option"/>
    <w:basedOn w:val="DefaultParagraphFont"/>
    <w:rsid w:val="00B768C6"/>
    <w:rPr>
      <w:b/>
      <w:smallCaps/>
    </w:rPr>
  </w:style>
  <w:style w:type="paragraph" w:customStyle="1" w:styleId="TableListNumber">
    <w:name w:val="Table List Number"/>
    <w:basedOn w:val="ListNumber"/>
    <w:rsid w:val="00B768C6"/>
    <w:pPr>
      <w:numPr>
        <w:numId w:val="0"/>
      </w:numPr>
    </w:pPr>
  </w:style>
  <w:style w:type="paragraph" w:styleId="TOC4">
    <w:name w:val="toc 4"/>
    <w:basedOn w:val="TOCBase"/>
    <w:next w:val="Normal"/>
    <w:semiHidden/>
    <w:rsid w:val="00B768C6"/>
    <w:pPr>
      <w:tabs>
        <w:tab w:val="right" w:leader="dot" w:pos="9071"/>
      </w:tabs>
      <w:ind w:left="1701"/>
    </w:pPr>
  </w:style>
  <w:style w:type="paragraph" w:customStyle="1" w:styleId="ListAlpha">
    <w:name w:val="List Alpha"/>
    <w:basedOn w:val="List"/>
    <w:rsid w:val="00B768C6"/>
    <w:pPr>
      <w:numPr>
        <w:numId w:val="7"/>
      </w:numPr>
    </w:pPr>
  </w:style>
  <w:style w:type="paragraph" w:customStyle="1" w:styleId="ListAlpha2">
    <w:name w:val="List Alpha 2"/>
    <w:basedOn w:val="List2"/>
    <w:rsid w:val="00B768C6"/>
    <w:pPr>
      <w:numPr>
        <w:numId w:val="6"/>
      </w:numPr>
    </w:pPr>
  </w:style>
  <w:style w:type="paragraph" w:styleId="List2">
    <w:name w:val="List 2"/>
    <w:basedOn w:val="BodyText"/>
    <w:rsid w:val="00B768C6"/>
    <w:pPr>
      <w:tabs>
        <w:tab w:val="left" w:pos="680"/>
      </w:tabs>
      <w:spacing w:before="60" w:after="60"/>
      <w:ind w:left="680" w:hanging="340"/>
    </w:pPr>
  </w:style>
  <w:style w:type="paragraph" w:styleId="List3">
    <w:name w:val="List 3"/>
    <w:basedOn w:val="BodyText"/>
    <w:rsid w:val="00B768C6"/>
    <w:pPr>
      <w:tabs>
        <w:tab w:val="left" w:pos="1021"/>
      </w:tabs>
      <w:spacing w:before="60" w:after="60"/>
      <w:ind w:left="1020" w:hanging="340"/>
    </w:pPr>
  </w:style>
  <w:style w:type="paragraph" w:styleId="List4">
    <w:name w:val="List 4"/>
    <w:basedOn w:val="BodyText"/>
    <w:rsid w:val="00B768C6"/>
    <w:pPr>
      <w:tabs>
        <w:tab w:val="left" w:pos="1361"/>
      </w:tabs>
      <w:spacing w:before="60" w:after="60"/>
      <w:ind w:left="1361" w:hanging="340"/>
    </w:pPr>
  </w:style>
  <w:style w:type="paragraph" w:styleId="List5">
    <w:name w:val="List 5"/>
    <w:basedOn w:val="BodyText"/>
    <w:rsid w:val="00B768C6"/>
    <w:pPr>
      <w:tabs>
        <w:tab w:val="left" w:pos="1701"/>
      </w:tabs>
      <w:spacing w:before="60" w:after="60"/>
      <w:ind w:left="1701" w:hanging="340"/>
    </w:pPr>
  </w:style>
  <w:style w:type="paragraph" w:styleId="ListBullet3">
    <w:name w:val="List Bullet 3"/>
    <w:basedOn w:val="List3"/>
    <w:rsid w:val="00B768C6"/>
    <w:pPr>
      <w:numPr>
        <w:numId w:val="12"/>
      </w:numPr>
      <w:tabs>
        <w:tab w:val="clear" w:pos="1021"/>
      </w:tabs>
      <w:ind w:left="1037" w:hanging="357"/>
    </w:pPr>
  </w:style>
  <w:style w:type="paragraph" w:styleId="ListBullet4">
    <w:name w:val="List Bullet 4"/>
    <w:basedOn w:val="List4"/>
    <w:rsid w:val="00B768C6"/>
    <w:pPr>
      <w:numPr>
        <w:numId w:val="1"/>
      </w:numPr>
      <w:tabs>
        <w:tab w:val="clear" w:pos="1361"/>
      </w:tabs>
    </w:pPr>
  </w:style>
  <w:style w:type="paragraph" w:styleId="ListBullet5">
    <w:name w:val="List Bullet 5"/>
    <w:basedOn w:val="List5"/>
    <w:rsid w:val="00B768C6"/>
    <w:pPr>
      <w:numPr>
        <w:numId w:val="2"/>
      </w:numPr>
    </w:pPr>
  </w:style>
  <w:style w:type="paragraph" w:styleId="ListContinue2">
    <w:name w:val="List Continue 2"/>
    <w:basedOn w:val="List2"/>
    <w:rsid w:val="00B768C6"/>
    <w:pPr>
      <w:ind w:firstLine="0"/>
    </w:pPr>
  </w:style>
  <w:style w:type="paragraph" w:styleId="ListContinue3">
    <w:name w:val="List Continue 3"/>
    <w:basedOn w:val="List3"/>
    <w:rsid w:val="00B768C6"/>
    <w:pPr>
      <w:ind w:left="1021" w:firstLine="0"/>
    </w:pPr>
  </w:style>
  <w:style w:type="paragraph" w:styleId="ListContinue4">
    <w:name w:val="List Continue 4"/>
    <w:basedOn w:val="List4"/>
    <w:rsid w:val="00B768C6"/>
    <w:pPr>
      <w:ind w:firstLine="0"/>
    </w:pPr>
  </w:style>
  <w:style w:type="paragraph" w:styleId="ListContinue5">
    <w:name w:val="List Continue 5"/>
    <w:basedOn w:val="List5"/>
    <w:rsid w:val="00B768C6"/>
    <w:pPr>
      <w:ind w:firstLine="0"/>
    </w:pPr>
  </w:style>
  <w:style w:type="paragraph" w:styleId="ListNumber3">
    <w:name w:val="List Number 3"/>
    <w:basedOn w:val="List3"/>
    <w:rsid w:val="00B768C6"/>
    <w:pPr>
      <w:numPr>
        <w:numId w:val="3"/>
      </w:numPr>
    </w:pPr>
  </w:style>
  <w:style w:type="paragraph" w:styleId="ListNumber4">
    <w:name w:val="List Number 4"/>
    <w:basedOn w:val="List4"/>
    <w:rsid w:val="00B768C6"/>
    <w:pPr>
      <w:numPr>
        <w:numId w:val="4"/>
      </w:numPr>
    </w:pPr>
  </w:style>
  <w:style w:type="paragraph" w:styleId="ListNumber5">
    <w:name w:val="List Number 5"/>
    <w:basedOn w:val="List5"/>
    <w:rsid w:val="00B768C6"/>
    <w:pPr>
      <w:numPr>
        <w:numId w:val="5"/>
      </w:numPr>
    </w:pPr>
  </w:style>
  <w:style w:type="paragraph" w:styleId="BlockText">
    <w:name w:val="Block Text"/>
    <w:basedOn w:val="Normal"/>
    <w:rsid w:val="00B768C6"/>
    <w:pPr>
      <w:spacing w:after="120"/>
      <w:ind w:left="1440" w:right="1440"/>
    </w:pPr>
  </w:style>
  <w:style w:type="character" w:customStyle="1" w:styleId="Subscript">
    <w:name w:val="Subscript"/>
    <w:basedOn w:val="DefaultParagraphFont"/>
    <w:rsid w:val="00B768C6"/>
    <w:rPr>
      <w:sz w:val="16"/>
      <w:vertAlign w:val="subscript"/>
    </w:rPr>
  </w:style>
  <w:style w:type="character" w:customStyle="1" w:styleId="Superscript">
    <w:name w:val="Superscript"/>
    <w:basedOn w:val="DefaultParagraphFont"/>
    <w:rsid w:val="00B768C6"/>
    <w:rPr>
      <w:sz w:val="16"/>
      <w:vertAlign w:val="superscript"/>
    </w:rPr>
  </w:style>
  <w:style w:type="character" w:customStyle="1" w:styleId="Symbols">
    <w:name w:val="Symbols"/>
    <w:basedOn w:val="DefaultParagraphFont"/>
    <w:rsid w:val="00B768C6"/>
    <w:rPr>
      <w:rFonts w:ascii="Symbol" w:hAnsi="Symbol"/>
    </w:rPr>
  </w:style>
  <w:style w:type="character" w:customStyle="1" w:styleId="MenuOptions">
    <w:name w:val="Menu Options"/>
    <w:basedOn w:val="DefaultParagraphFont"/>
    <w:rsid w:val="00B768C6"/>
    <w:rPr>
      <w:rFonts w:ascii="Arial Narrow" w:hAnsi="Arial Narrow"/>
      <w:smallCaps/>
    </w:rPr>
  </w:style>
  <w:style w:type="character" w:customStyle="1" w:styleId="Buttons">
    <w:name w:val="Buttons"/>
    <w:basedOn w:val="DefaultParagraphFont"/>
    <w:rsid w:val="00B768C6"/>
    <w:rPr>
      <w:b/>
    </w:rPr>
  </w:style>
  <w:style w:type="character" w:customStyle="1" w:styleId="Underlined">
    <w:name w:val="Underlined"/>
    <w:basedOn w:val="DefaultParagraphFont"/>
    <w:rsid w:val="00B768C6"/>
    <w:rPr>
      <w:u w:val="single"/>
    </w:rPr>
  </w:style>
  <w:style w:type="paragraph" w:customStyle="1" w:styleId="TableBodyTextRight">
    <w:name w:val="Table Body Text Right"/>
    <w:basedOn w:val="TableBodyText"/>
    <w:rsid w:val="00B768C6"/>
    <w:pPr>
      <w:widowControl w:val="0"/>
      <w:autoSpaceDE w:val="0"/>
      <w:autoSpaceDN w:val="0"/>
      <w:adjustRightInd w:val="0"/>
      <w:jc w:val="right"/>
    </w:pPr>
    <w:rPr>
      <w:rFonts w:cs="Arial"/>
      <w:szCs w:val="18"/>
    </w:rPr>
  </w:style>
  <w:style w:type="paragraph" w:customStyle="1" w:styleId="CopyrightText">
    <w:name w:val="Copyright Text"/>
    <w:basedOn w:val="BodyText"/>
    <w:rsid w:val="00B768C6"/>
    <w:rPr>
      <w:sz w:val="18"/>
    </w:rPr>
  </w:style>
  <w:style w:type="paragraph" w:customStyle="1" w:styleId="BodySmallRight">
    <w:name w:val="Body Small Right"/>
    <w:basedOn w:val="BodyTextRight"/>
    <w:rsid w:val="00B768C6"/>
    <w:rPr>
      <w:sz w:val="18"/>
      <w:szCs w:val="18"/>
    </w:rPr>
  </w:style>
  <w:style w:type="paragraph" w:customStyle="1" w:styleId="MarginEdition">
    <w:name w:val="Margin Edition"/>
    <w:basedOn w:val="MarginNote"/>
    <w:rsid w:val="00B768C6"/>
    <w:pPr>
      <w:spacing w:before="0" w:after="0"/>
    </w:pPr>
    <w:rPr>
      <w:rFonts w:ascii="Times New Roman" w:hAnsi="Times New Roman"/>
      <w:color w:val="999999"/>
    </w:rPr>
  </w:style>
  <w:style w:type="paragraph" w:customStyle="1" w:styleId="Spacer">
    <w:name w:val="Spacer"/>
    <w:basedOn w:val="Normal"/>
    <w:rsid w:val="00B768C6"/>
    <w:rPr>
      <w:sz w:val="2"/>
      <w:szCs w:val="2"/>
    </w:rPr>
  </w:style>
  <w:style w:type="character" w:customStyle="1" w:styleId="Small">
    <w:name w:val="Small"/>
    <w:basedOn w:val="DefaultParagraphFont"/>
    <w:rsid w:val="00B768C6"/>
    <w:rPr>
      <w:sz w:val="16"/>
    </w:rPr>
  </w:style>
  <w:style w:type="paragraph" w:customStyle="1" w:styleId="WideTable">
    <w:name w:val="Wide Table"/>
    <w:basedOn w:val="Normal"/>
    <w:rsid w:val="00B768C6"/>
    <w:pPr>
      <w:ind w:left="-1418"/>
    </w:pPr>
    <w:rPr>
      <w:sz w:val="2"/>
      <w:szCs w:val="2"/>
    </w:rPr>
  </w:style>
  <w:style w:type="character" w:styleId="PageNumber">
    <w:name w:val="page number"/>
    <w:basedOn w:val="DefaultParagraphFont"/>
    <w:rsid w:val="00B768C6"/>
  </w:style>
  <w:style w:type="paragraph" w:styleId="Quote">
    <w:name w:val="Quote"/>
    <w:basedOn w:val="Heading1"/>
    <w:link w:val="QuoteChar"/>
    <w:qFormat/>
    <w:rsid w:val="00B768C6"/>
    <w:rPr>
      <w:b w:val="0"/>
      <w:sz w:val="72"/>
      <w:szCs w:val="72"/>
      <w:lang w:val="en-NZ"/>
    </w:rPr>
  </w:style>
  <w:style w:type="character" w:customStyle="1" w:styleId="QuoteChar">
    <w:name w:val="Quote Char"/>
    <w:basedOn w:val="DefaultParagraphFont"/>
    <w:link w:val="Quote"/>
    <w:rsid w:val="00B768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68C6"/>
    <w:pPr>
      <w:pageBreakBefore/>
    </w:pPr>
  </w:style>
  <w:style w:type="paragraph" w:customStyle="1" w:styleId="Border">
    <w:name w:val="Border"/>
    <w:basedOn w:val="Normal"/>
    <w:qFormat/>
    <w:rsid w:val="00B768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68C6"/>
    <w:rPr>
      <w:b/>
      <w:bCs/>
      <w:i/>
      <w:iCs/>
      <w:color w:val="auto"/>
    </w:rPr>
  </w:style>
  <w:style w:type="paragraph" w:styleId="IntenseQuote">
    <w:name w:val="Intense Quote"/>
    <w:basedOn w:val="Normal"/>
    <w:next w:val="Normal"/>
    <w:link w:val="IntenseQuoteChar"/>
    <w:uiPriority w:val="30"/>
    <w:qFormat/>
    <w:rsid w:val="00B768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68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68C6"/>
    <w:rPr>
      <w:smallCaps/>
      <w:color w:val="auto"/>
      <w:u w:val="single"/>
    </w:rPr>
  </w:style>
  <w:style w:type="character" w:styleId="IntenseReference">
    <w:name w:val="Intense Reference"/>
    <w:basedOn w:val="DefaultParagraphFont"/>
    <w:uiPriority w:val="32"/>
    <w:qFormat/>
    <w:rsid w:val="00B768C6"/>
    <w:rPr>
      <w:b/>
      <w:bCs/>
      <w:smallCaps/>
      <w:color w:val="auto"/>
      <w:spacing w:val="5"/>
      <w:u w:val="single"/>
    </w:rPr>
  </w:style>
  <w:style w:type="paragraph" w:customStyle="1" w:styleId="2ColumnHeading">
    <w:name w:val="2Column Heading"/>
    <w:basedOn w:val="BodyText"/>
    <w:qFormat/>
    <w:rsid w:val="00B768C6"/>
    <w:pPr>
      <w:spacing w:after="60"/>
      <w:ind w:left="-2268"/>
    </w:pPr>
    <w:rPr>
      <w:b/>
    </w:rPr>
  </w:style>
  <w:style w:type="paragraph" w:customStyle="1" w:styleId="Heading1TOC">
    <w:name w:val="Heading1 TOC"/>
    <w:basedOn w:val="Normal"/>
    <w:qFormat/>
    <w:rsid w:val="00B768C6"/>
    <w:pPr>
      <w:spacing w:before="240" w:after="120"/>
    </w:pPr>
    <w:rPr>
      <w:rFonts w:ascii="Times New Roman" w:hAnsi="Times New Roman"/>
      <w:b/>
      <w:sz w:val="32"/>
    </w:rPr>
  </w:style>
  <w:style w:type="paragraph" w:customStyle="1" w:styleId="Heading2TOC">
    <w:name w:val="Heading2 TOC"/>
    <w:basedOn w:val="Normal"/>
    <w:qFormat/>
    <w:rsid w:val="00B768C6"/>
    <w:pPr>
      <w:spacing w:before="240" w:after="60"/>
    </w:pPr>
    <w:rPr>
      <w:rFonts w:ascii="Times New Roman" w:hAnsi="Times New Roman"/>
      <w:b/>
      <w:sz w:val="28"/>
    </w:rPr>
  </w:style>
  <w:style w:type="character" w:customStyle="1" w:styleId="Underline">
    <w:name w:val="Underline"/>
    <w:basedOn w:val="DefaultParagraphFont"/>
    <w:qFormat/>
    <w:rsid w:val="00B768C6"/>
    <w:rPr>
      <w:u w:val="single"/>
    </w:rPr>
  </w:style>
  <w:style w:type="character" w:customStyle="1" w:styleId="BoldandItalics">
    <w:name w:val="Bold and Italics"/>
    <w:qFormat/>
    <w:rsid w:val="00B768C6"/>
    <w:rPr>
      <w:b/>
      <w:i/>
      <w:u w:val="none"/>
    </w:rPr>
  </w:style>
  <w:style w:type="paragraph" w:styleId="BalloonText">
    <w:name w:val="Balloon Text"/>
    <w:basedOn w:val="Normal"/>
    <w:link w:val="BalloonTextChar"/>
    <w:rsid w:val="00B768C6"/>
    <w:rPr>
      <w:rFonts w:ascii="Tahoma" w:hAnsi="Tahoma" w:cs="Tahoma"/>
      <w:sz w:val="16"/>
      <w:szCs w:val="16"/>
    </w:rPr>
  </w:style>
  <w:style w:type="character" w:customStyle="1" w:styleId="BalloonTextChar">
    <w:name w:val="Balloon Text Char"/>
    <w:basedOn w:val="DefaultParagraphFont"/>
    <w:link w:val="BalloonText"/>
    <w:rsid w:val="00B768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68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68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68C6"/>
    <w:rPr>
      <w:b/>
      <w:color w:val="660033"/>
      <w:spacing w:val="0"/>
    </w:rPr>
  </w:style>
  <w:style w:type="paragraph" w:customStyle="1" w:styleId="Nameditemlist">
    <w:name w:val="Named item list"/>
    <w:basedOn w:val="BodyText"/>
    <w:qFormat/>
    <w:rsid w:val="00B768C6"/>
    <w:pPr>
      <w:tabs>
        <w:tab w:val="left" w:pos="2835"/>
      </w:tabs>
      <w:ind w:left="2835" w:hanging="2835"/>
    </w:pPr>
  </w:style>
  <w:style w:type="paragraph" w:customStyle="1" w:styleId="BodyTextnopadding">
    <w:name w:val="Body Text no padding"/>
    <w:basedOn w:val="BodyText"/>
    <w:qFormat/>
    <w:rsid w:val="00B768C6"/>
    <w:pPr>
      <w:spacing w:before="0" w:after="0"/>
    </w:pPr>
  </w:style>
  <w:style w:type="paragraph" w:customStyle="1" w:styleId="BodyTextBold">
    <w:name w:val="Body Text Bold"/>
    <w:basedOn w:val="BodyText"/>
    <w:qFormat/>
    <w:rsid w:val="00B768C6"/>
    <w:rPr>
      <w:b/>
    </w:rPr>
  </w:style>
  <w:style w:type="character" w:styleId="Hyperlink">
    <w:name w:val="Hyperlink"/>
    <w:basedOn w:val="DefaultParagraphFont"/>
    <w:uiPriority w:val="99"/>
    <w:unhideWhenUsed/>
    <w:rsid w:val="007D0D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679</Words>
  <Characters>4229</Characters>
  <Application>Microsoft Office Word</Application>
  <DocSecurity>0</DocSecurity>
  <Lines>176</Lines>
  <Paragraphs>87</Paragraphs>
  <ScaleCrop>false</ScaleCrop>
  <Company>Author-it Software Corporation Ltd.</Company>
  <LinksUpToDate>false</LinksUpToDate>
  <CharactersWithSpaces>4821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UEPMNT007 Diagnose and repair mechanical systems faults in wind turbines</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2022-12-13T06:21:00Z</dcterms:created>
  <dcterms:modified xsi:type="dcterms:W3CDTF">2022-12-13T06:21:00Z</dcterms:modified>
</cp:coreProperties>
</file>