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5CE" w:rsidP="001E15CE">
      <w:pPr>
        <w:pStyle w:val="Title"/>
      </w:pPr>
      <w:r>
        <w:fldChar w:fldCharType="begin"/>
      </w:r>
      <w:r>
        <w:instrText xml:space="preserve"> TITLE   \* MERGEFORMAT </w:instrText>
      </w:r>
      <w:r>
        <w:fldChar w:fldCharType="separate"/>
      </w:r>
      <w:r>
        <w:t>UEGNSG811A Monitor and operate complex flow control, measuring and regulating devices for gas distribution</w:t>
      </w:r>
      <w:r>
        <w:fldChar w:fldCharType="end"/>
      </w:r>
    </w:p>
    <w:p w:rsidR="001E15CE" w:rsidP="001E15CE">
      <w:pPr>
        <w:pStyle w:val="Version"/>
        <w:sectPr w:rsidSect="00B069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9E6" w:rsidP="00B069E6">
      <w:pPr>
        <w:pStyle w:val="SuperHeading"/>
      </w:pPr>
      <w:r w:rsidRPr="00B069E6">
        <w:t>UEGNSG811A Monitor and operate complex flow control, measuring and regulating devices for gas distribution</w:t>
      </w:r>
    </w:p>
    <w:p w:rsidR="00000000" w:rsidRPr="00B069E6" w:rsidP="00B069E6">
      <w:pPr>
        <w:pStyle w:val="Heading1"/>
      </w:pPr>
      <w:bookmarkStart w:id="1" w:name="O_624038"/>
      <w:bookmarkEnd w:id="1"/>
      <w:r w:rsidRPr="00B069E6">
        <w:t>Modification History</w:t>
      </w:r>
    </w:p>
    <w:p w:rsidR="001E15CE" w:rsidP="00B069E6">
      <w:pPr>
        <w:pStyle w:val="BodyText"/>
      </w:pPr>
      <w:r w:rsidRPr="00B069E6">
        <w:t>This unit is a revised version of the UEG11 unit UEGNSG801B Monitor and operate complex flow control, measuring and regulating devices for gas distribution.</w:t>
      </w:r>
    </w:p>
    <w:p w:rsidR="001E15CE" w:rsidP="00B069E6">
      <w:pPr>
        <w:pStyle w:val="BodyText"/>
      </w:pPr>
    </w:p>
    <w:p w:rsidR="00000000" w:rsidRPr="00B069E6" w:rsidP="00B069E6">
      <w:pPr>
        <w:pStyle w:val="Heading1"/>
      </w:pPr>
      <w:bookmarkStart w:id="2" w:name="O_624039"/>
      <w:bookmarkEnd w:id="2"/>
      <w:r w:rsidRPr="00B069E6">
        <w:t>Unit Descriptor</w:t>
      </w:r>
    </w:p>
    <w:tbl>
      <w:tblPr>
        <w:tblW w:w="0" w:type="auto"/>
        <w:tblLayout w:type="fixed"/>
        <w:tblCellMar>
          <w:left w:w="62" w:type="dxa"/>
          <w:right w:w="62" w:type="dxa"/>
        </w:tblCellMar>
        <w:tblLook w:val="0000"/>
      </w:tblPr>
      <w:tblGrid>
        <w:gridCol w:w="2638"/>
        <w:gridCol w:w="5760"/>
      </w:tblGrid>
      <w:tr w:rsidTr="00B069E6">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1) Scope:</w:t>
            </w:r>
          </w:p>
        </w:tc>
      </w:tr>
      <w:tr w:rsidTr="00B069E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B069E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1.1) Descriptor</w:t>
            </w:r>
          </w:p>
        </w:tc>
      </w:tr>
      <w:tr w:rsidTr="00B069E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t>This unit covers mo</w:t>
            </w:r>
            <w:r w:rsidRPr="00B069E6">
              <w:t xml:space="preserve">nitoring and operating complex flow control, measuring and regulating devices to monitor and control gas supply in gas distribution systems in accordance with relevant legislation, codes, regulations and procedures. </w:t>
            </w:r>
          </w:p>
          <w:p w:rsidR="00000000" w:rsidRPr="00B069E6" w:rsidP="00B069E6">
            <w:pPr>
              <w:pStyle w:val="BodyText"/>
            </w:pPr>
          </w:p>
          <w:p w:rsidR="00000000" w:rsidRPr="00B069E6" w:rsidP="00B069E6">
            <w:pPr>
              <w:pStyle w:val="BodyText"/>
            </w:pPr>
            <w:r w:rsidRPr="00B069E6">
              <w:t>It encompasses Inspecting and Controll</w:t>
            </w:r>
            <w:r w:rsidRPr="00B069E6">
              <w:t>ing; Regulation of flow and pressure; Measuring; Recording and reporting; Regulation of flow and regulation devices; Regulation of the system; Equipment; Organisational and statutory requirements.</w:t>
            </w:r>
          </w:p>
        </w:tc>
      </w:tr>
    </w:tbl>
    <w:p w:rsidR="00000000" w:rsidRPr="00B069E6" w:rsidP="00B069E6">
      <w:pPr>
        <w:pStyle w:val="BodyText"/>
      </w:pPr>
    </w:p>
    <w:p w:rsidR="00000000" w:rsidRPr="00B069E6" w:rsidP="00B069E6">
      <w:pPr>
        <w:pStyle w:val="AllowPageBreak"/>
      </w:pPr>
    </w:p>
    <w:p w:rsidR="00000000" w:rsidRPr="00B069E6" w:rsidP="00B069E6">
      <w:pPr>
        <w:pStyle w:val="Heading1"/>
      </w:pPr>
      <w:bookmarkStart w:id="3" w:name="O_624040"/>
      <w:bookmarkEnd w:id="3"/>
      <w:r w:rsidRPr="00B069E6">
        <w:t>Application of the Unit</w:t>
      </w:r>
    </w:p>
    <w:tbl>
      <w:tblPr>
        <w:tblW w:w="0" w:type="auto"/>
        <w:tblLayout w:type="fixed"/>
        <w:tblCellMar>
          <w:left w:w="62" w:type="dxa"/>
          <w:right w:w="62" w:type="dxa"/>
        </w:tblCellMar>
        <w:tblLook w:val="0000"/>
      </w:tblPr>
      <w:tblGrid>
        <w:gridCol w:w="2610"/>
        <w:gridCol w:w="5699"/>
      </w:tblGrid>
      <w:tr w:rsidTr="00B069E6">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2)</w:t>
            </w:r>
          </w:p>
        </w:tc>
      </w:tr>
      <w:tr w:rsidTr="00B069E6">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t>This competency standard shall apply to gas distribution systems, subject to all Workplace Health and Safety (WHS)/Occupational Health and Safety (OHS) and duty of care requirements being met for the workplace.</w:t>
            </w:r>
          </w:p>
          <w:p w:rsidR="00000000" w:rsidRPr="00B069E6" w:rsidP="00B069E6">
            <w:pPr>
              <w:pStyle w:val="BodyText"/>
            </w:pPr>
          </w:p>
          <w:p w:rsidR="00000000" w:rsidRPr="00B069E6" w:rsidP="00B069E6">
            <w:pPr>
              <w:pStyle w:val="BodyText"/>
            </w:pPr>
            <w:r w:rsidRPr="00B069E6">
              <w:t>This unit is in</w:t>
            </w:r>
            <w:r w:rsidRPr="00B069E6">
              <w:t>tended as an AQF 3 competency for new and existing workers in the gas industry. It is suitable for employment-based programs under an approved contract of training.</w:t>
            </w:r>
          </w:p>
        </w:tc>
      </w:tr>
    </w:tbl>
    <w:p w:rsidR="00000000" w:rsidRPr="00B069E6" w:rsidP="00B069E6">
      <w:pPr>
        <w:pStyle w:val="BodyText"/>
      </w:pPr>
    </w:p>
    <w:p w:rsidR="00000000" w:rsidRPr="00B069E6" w:rsidP="00B069E6">
      <w:pPr>
        <w:pStyle w:val="AllowPageBreak"/>
      </w:pPr>
    </w:p>
    <w:p w:rsidR="00000000" w:rsidRPr="00B069E6" w:rsidP="00B069E6">
      <w:pPr>
        <w:pStyle w:val="Heading1"/>
      </w:pPr>
      <w:bookmarkStart w:id="4" w:name="O_624041"/>
      <w:bookmarkEnd w:id="4"/>
      <w:r w:rsidRPr="00B069E6">
        <w:t>Licensing/Regulatory Information</w:t>
      </w:r>
    </w:p>
    <w:tbl>
      <w:tblPr>
        <w:tblW w:w="0" w:type="auto"/>
        <w:tblLayout w:type="fixed"/>
        <w:tblCellMar>
          <w:left w:w="62" w:type="dxa"/>
          <w:right w:w="62" w:type="dxa"/>
        </w:tblCellMar>
        <w:tblLook w:val="0000"/>
      </w:tblPr>
      <w:tblGrid>
        <w:gridCol w:w="2638"/>
        <w:gridCol w:w="5760"/>
      </w:tblGrid>
      <w:tr w:rsidTr="00B069E6">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 xml:space="preserve">3) </w:t>
            </w:r>
          </w:p>
        </w:tc>
      </w:tr>
      <w:tr w:rsidTr="00B069E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B069E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 xml:space="preserve">During Training: </w:t>
            </w:r>
          </w:p>
          <w:p w:rsidR="00000000" w:rsidRPr="00B069E6" w:rsidP="00B069E6">
            <w:pPr>
              <w:pStyle w:val="BodyText"/>
            </w:pPr>
            <w:r w:rsidRPr="00B069E6">
              <w:t xml:space="preserve">Competency development activities are subject to regulations directly related to licensing, workplace health and safety/occupational health and safety and where applicable contracts of training such as apprenticeships. </w:t>
            </w:r>
          </w:p>
          <w:p w:rsidR="00000000" w:rsidRPr="00B069E6" w:rsidP="00B069E6">
            <w:pPr>
              <w:pStyle w:val="BodyText"/>
            </w:pPr>
            <w:r w:rsidRPr="00B069E6">
              <w:rPr>
                <w:rStyle w:val="SpecialBold"/>
              </w:rPr>
              <w:t>In the workplace:</w:t>
            </w:r>
          </w:p>
          <w:p w:rsidR="00000000" w:rsidRPr="00B069E6" w:rsidP="00B069E6">
            <w:pPr>
              <w:pStyle w:val="BodyText"/>
            </w:pPr>
            <w:r w:rsidRPr="00B069E6">
              <w:t>The application of the skills and knowledge described in this unit require a license to practice in the workplace where work is carried out on electrical equipment or installations which are designed to operate at voltages greater than 50 V a.c. or 120 V d</w:t>
            </w:r>
            <w:r w:rsidRPr="00B069E6">
              <w:t>.c.</w:t>
            </w:r>
          </w:p>
          <w:p w:rsidR="00000000" w:rsidRPr="00B069E6" w:rsidP="00B069E6">
            <w:pPr>
              <w:pStyle w:val="BodyText"/>
            </w:pPr>
            <w:r w:rsidRPr="00B069E6">
              <w:t>The skills and knowledge described in this unit are not subject to licence regulation other than those directly related to Workplace/Occupational Health and Safety, gas/electricity/water industry safety and compliance, industrial relations, environment</w:t>
            </w:r>
            <w:r w:rsidRPr="00B069E6">
              <w:t xml:space="preserve">al protection, telecommunications, anti-discrimination and training. </w:t>
            </w:r>
          </w:p>
          <w:p w:rsidR="00000000" w:rsidRPr="00B069E6" w:rsidP="00B069E6">
            <w:pPr>
              <w:pStyle w:val="BodyText"/>
            </w:pPr>
            <w:r w:rsidRPr="00B069E6">
              <w:t xml:space="preserve">Note: </w:t>
            </w:r>
          </w:p>
          <w:p w:rsidR="00000000" w:rsidRPr="00B069E6" w:rsidP="00B069E6">
            <w:pPr>
              <w:pStyle w:val="BodyText"/>
            </w:pPr>
            <w:r w:rsidRPr="00B069E6">
              <w:t>Other conditions may apply under State and Territory legislative and regulatory requirements, for example:</w:t>
            </w:r>
          </w:p>
          <w:p w:rsidR="00000000" w:rsidRPr="00B069E6" w:rsidP="00B069E6">
            <w:pPr>
              <w:pStyle w:val="BodyText"/>
            </w:pPr>
            <w:r w:rsidRPr="00B069E6">
              <w:t>Compliance with permits may be required in various jurisdictions and typ</w:t>
            </w:r>
            <w:r w:rsidRPr="00B069E6">
              <w:t xml:space="preserve">ically relates to the operation of plant, machinery and equipment such as elevating work platforms, powder operated fixing tools, power operated tools, vehicles, road signage and traffic control, lifting equipment. </w:t>
            </w:r>
          </w:p>
          <w:p w:rsidR="00000000" w:rsidRPr="00B069E6" w:rsidP="00B069E6">
            <w:pPr>
              <w:pStyle w:val="BodyText"/>
            </w:pPr>
            <w:r w:rsidRPr="00B069E6">
              <w:t>Permits may also be required for some wo</w:t>
            </w:r>
            <w:r w:rsidRPr="00B069E6">
              <w:t>rk environments such as hazardous areas, confined spaces, working aloft, near live electrical devices, site rehabilitation.</w:t>
            </w:r>
          </w:p>
          <w:p w:rsidR="00000000" w:rsidRPr="00B069E6" w:rsidP="00B069E6">
            <w:pPr>
              <w:pStyle w:val="BodyText"/>
            </w:pPr>
            <w:r w:rsidRPr="00B069E6">
              <w:t xml:space="preserve">Compliance may be required in various jurisdictions relating to currency in First Aid, hazardous areas, confined space, lifting and </w:t>
            </w:r>
            <w:r w:rsidRPr="00B069E6">
              <w:t>risk safety measures</w:t>
            </w:r>
          </w:p>
          <w:p w:rsidR="00000000" w:rsidRPr="00B069E6" w:rsidP="00B069E6">
            <w:pPr>
              <w:pStyle w:val="BodyText"/>
            </w:pPr>
            <w:r w:rsidRPr="00B069E6">
              <w:t>Commonwealth, State/Territory or Local Government legislation and regulations may exist that limits the age at which persons can operate certain equipment.</w:t>
            </w:r>
          </w:p>
        </w:tc>
      </w:tr>
    </w:tbl>
    <w:p w:rsidR="00000000" w:rsidRPr="00B069E6" w:rsidP="00B069E6">
      <w:pPr>
        <w:pStyle w:val="BodyText"/>
      </w:pPr>
    </w:p>
    <w:p w:rsidR="00000000" w:rsidRPr="00B069E6" w:rsidP="00B069E6">
      <w:pPr>
        <w:pStyle w:val="AllowPageBreak"/>
      </w:pPr>
    </w:p>
    <w:p w:rsidR="00000000" w:rsidRPr="00B069E6" w:rsidP="00B069E6">
      <w:pPr>
        <w:pStyle w:val="Heading1"/>
      </w:pPr>
      <w:bookmarkStart w:id="5" w:name="O_624042"/>
      <w:bookmarkEnd w:id="5"/>
      <w:r w:rsidRPr="00B069E6">
        <w:t>Pre-Requisites</w:t>
      </w:r>
    </w:p>
    <w:tbl>
      <w:tblPr>
        <w:tblW w:w="0" w:type="auto"/>
        <w:tblLayout w:type="fixed"/>
        <w:tblCellMar>
          <w:left w:w="62" w:type="dxa"/>
          <w:right w:w="62" w:type="dxa"/>
        </w:tblCellMar>
        <w:tblLook w:val="0000"/>
      </w:tblPr>
      <w:tblGrid>
        <w:gridCol w:w="2638"/>
        <w:gridCol w:w="1800"/>
        <w:gridCol w:w="3960"/>
      </w:tblGrid>
      <w:tr w:rsidTr="00B069E6">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 xml:space="preserve">4) </w:t>
            </w:r>
          </w:p>
        </w:tc>
      </w:tr>
      <w:tr w:rsidTr="00B069E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4.1)</w:t>
            </w:r>
          </w:p>
        </w:tc>
      </w:tr>
      <w:tr w:rsidTr="00B069E6">
        <w:tblPrEx>
          <w:tblW w:w="0" w:type="auto"/>
          <w:tblLayout w:type="fixed"/>
          <w:tblCellMar>
            <w:left w:w="62" w:type="dxa"/>
            <w:right w:w="62" w:type="dxa"/>
          </w:tblCellMar>
          <w:tblLook w:val="0000"/>
        </w:tblPrEx>
        <w:trPr>
          <w:trHeight w:val="494"/>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Granting of competency in this unit shall be made only after competency in the following unit(s) has/have been confirmed:</w:t>
            </w:r>
          </w:p>
        </w:tc>
      </w:tr>
      <w:tr w:rsidTr="00B069E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UEGNSG005A</w:t>
            </w:r>
          </w:p>
        </w:tc>
        <w:tc>
          <w:tcPr>
            <w:tcW w:w="39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Prepare to work in the Australian gas industry</w:t>
            </w:r>
          </w:p>
        </w:tc>
      </w:tr>
      <w:tr w:rsidTr="00B069E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UEGNSG132A</w:t>
            </w:r>
          </w:p>
        </w:tc>
        <w:tc>
          <w:tcPr>
            <w:tcW w:w="39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Carry out basic work activ</w:t>
            </w:r>
            <w:r w:rsidRPr="00B069E6">
              <w:t>ities in a gas industry work environment</w:t>
            </w:r>
          </w:p>
        </w:tc>
      </w:tr>
      <w:tr w:rsidTr="00B069E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UEGNSG134A</w:t>
            </w:r>
          </w:p>
        </w:tc>
        <w:tc>
          <w:tcPr>
            <w:tcW w:w="39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Establish a utilities infrastructure work site</w:t>
            </w:r>
          </w:p>
        </w:tc>
      </w:tr>
      <w:tr w:rsidTr="00B069E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UEGNSG140A</w:t>
            </w:r>
          </w:p>
        </w:tc>
        <w:tc>
          <w:tcPr>
            <w:tcW w:w="39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Apply environmental policies and procedures in the utilities industry</w:t>
            </w:r>
          </w:p>
        </w:tc>
      </w:tr>
      <w:tr w:rsidTr="00B069E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 xml:space="preserve">UEGNSG141A </w:t>
            </w:r>
          </w:p>
        </w:tc>
        <w:tc>
          <w:tcPr>
            <w:tcW w:w="3960"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t>Apply Occupational Health and Safety regulations, codes and practices in the gas industry</w:t>
            </w:r>
          </w:p>
        </w:tc>
      </w:tr>
    </w:tbl>
    <w:p w:rsidR="00000000" w:rsidRPr="00B069E6" w:rsidP="00B069E6">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B069E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4.2)</w:t>
            </w:r>
            <w:r w:rsidRPr="00B069E6">
              <w:t xml:space="preserve"> </w:t>
            </w:r>
          </w:p>
          <w:p w:rsidR="00000000" w:rsidP="00B069E6">
            <w:pPr>
              <w:pStyle w:val="BodyText"/>
              <w:rPr>
                <w:lang w:val="en-NZ"/>
              </w:rPr>
            </w:pPr>
            <w:r w:rsidRPr="00B069E6">
              <w:t xml:space="preserve">Participants are best equipped to achieve this unit if they have reading, writing and numeracy skills indicated by the following </w:t>
            </w:r>
            <w:r w:rsidRPr="00B069E6">
              <w:t>scales. Description of each scale is given in Volume 2, Part 3 'Literacy and Numeracy'</w:t>
            </w:r>
          </w:p>
        </w:tc>
      </w:tr>
      <w:tr w:rsidTr="00B069E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Reading</w:t>
            </w:r>
          </w:p>
        </w:tc>
        <w:tc>
          <w:tcPr>
            <w:tcW w:w="81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3</w:t>
            </w:r>
          </w:p>
        </w:tc>
        <w:tc>
          <w:tcPr>
            <w:tcW w:w="99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Writing</w:t>
            </w: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3</w:t>
            </w:r>
          </w:p>
        </w:tc>
        <w:tc>
          <w:tcPr>
            <w:tcW w:w="12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Numeracy</w:t>
            </w:r>
          </w:p>
        </w:tc>
        <w:tc>
          <w:tcPr>
            <w:tcW w:w="720"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t>3</w:t>
            </w:r>
          </w:p>
        </w:tc>
      </w:tr>
    </w:tbl>
    <w:p w:rsidR="001E15CE" w:rsidP="00B069E6">
      <w:pPr>
        <w:pStyle w:val="BodyText"/>
      </w:pPr>
    </w:p>
    <w:p w:rsidR="001E15CE" w:rsidP="00B069E6">
      <w:pPr>
        <w:pStyle w:val="BodyText"/>
      </w:pPr>
    </w:p>
    <w:p w:rsidR="00000000" w:rsidRPr="00B069E6" w:rsidP="00B069E6">
      <w:pPr>
        <w:pStyle w:val="Heading1"/>
      </w:pPr>
      <w:bookmarkStart w:id="6" w:name="O_624043"/>
      <w:bookmarkEnd w:id="6"/>
      <w:r w:rsidRPr="00B069E6">
        <w:t>Employability Skills Information</w:t>
      </w:r>
    </w:p>
    <w:tbl>
      <w:tblPr>
        <w:tblW w:w="0" w:type="auto"/>
        <w:tblLayout w:type="fixed"/>
        <w:tblCellMar>
          <w:left w:w="62" w:type="dxa"/>
          <w:right w:w="62" w:type="dxa"/>
        </w:tblCellMar>
        <w:tblLook w:val="0000"/>
      </w:tblPr>
      <w:tblGrid>
        <w:gridCol w:w="2638"/>
        <w:gridCol w:w="5760"/>
      </w:tblGrid>
      <w:tr w:rsidTr="00B069E6">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 xml:space="preserve">5) </w:t>
            </w:r>
          </w:p>
        </w:tc>
      </w:tr>
      <w:tr w:rsidTr="00B069E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t>This unit contains Employability Skills</w:t>
            </w:r>
          </w:p>
          <w:p w:rsidR="00000000" w:rsidRPr="00B069E6" w:rsidP="00B069E6">
            <w:pPr>
              <w:pStyle w:val="BodyText"/>
            </w:pPr>
            <w:r w:rsidRPr="00B069E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069E6">
              <w:t>requirements.</w:t>
            </w:r>
          </w:p>
        </w:tc>
      </w:tr>
    </w:tbl>
    <w:p w:rsidR="00000000" w:rsidRPr="00B069E6" w:rsidP="00B069E6">
      <w:pPr>
        <w:pStyle w:val="BodyText"/>
      </w:pPr>
    </w:p>
    <w:p w:rsidR="00000000" w:rsidRPr="00B069E6" w:rsidP="00B069E6">
      <w:pPr>
        <w:pStyle w:val="AllowPageBreak"/>
      </w:pPr>
    </w:p>
    <w:p w:rsidR="00000000" w:rsidRPr="00B069E6" w:rsidP="00B069E6">
      <w:pPr>
        <w:pStyle w:val="Heading1"/>
      </w:pPr>
      <w:bookmarkStart w:id="7" w:name="O_624044"/>
      <w:bookmarkEnd w:id="7"/>
      <w:r w:rsidRPr="00B069E6">
        <w:t>Elements and Performance Criteria Pre-Content</w:t>
      </w:r>
    </w:p>
    <w:tbl>
      <w:tblPr>
        <w:tblW w:w="0" w:type="auto"/>
        <w:tblLayout w:type="fixed"/>
        <w:tblCellMar>
          <w:left w:w="62" w:type="dxa"/>
          <w:right w:w="62" w:type="dxa"/>
        </w:tblCellMar>
        <w:tblLook w:val="0000"/>
      </w:tblPr>
      <w:tblGrid>
        <w:gridCol w:w="2638"/>
        <w:gridCol w:w="5760"/>
      </w:tblGrid>
      <w:tr w:rsidTr="00B069E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 xml:space="preserve">6) </w:t>
            </w:r>
            <w:r w:rsidRPr="00B069E6">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Emphasis"/>
              </w:rPr>
              <w:t>Performance Criteria describe the required performance needed to demonstrate achievement of the element. Assessment of performance is to be consistent with the Evidence Guide.</w:t>
            </w:r>
          </w:p>
        </w:tc>
      </w:tr>
    </w:tbl>
    <w:p w:rsidR="00000000" w:rsidRPr="00B069E6" w:rsidP="00B069E6">
      <w:pPr>
        <w:pStyle w:val="BodyText"/>
      </w:pPr>
    </w:p>
    <w:p w:rsidR="00000000" w:rsidRPr="00B069E6" w:rsidP="00B069E6">
      <w:pPr>
        <w:pStyle w:val="AllowPageBreak"/>
      </w:pPr>
    </w:p>
    <w:p w:rsidR="00000000" w:rsidRPr="00B069E6" w:rsidP="00B069E6">
      <w:pPr>
        <w:pStyle w:val="Heading1"/>
      </w:pPr>
      <w:bookmarkStart w:id="8" w:name="O_624045"/>
      <w:bookmarkEnd w:id="8"/>
      <w:r w:rsidRPr="00B069E6">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B069E6">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PERFORMANCE CRITER</w:t>
            </w:r>
            <w:r w:rsidRPr="00B069E6">
              <w:rPr>
                <w:rStyle w:val="SpecialBold"/>
              </w:rPr>
              <w:t>IA</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 xml:space="preserve">Prepare to monitor and  operate complex gas flow control, measuring and regulating devices </w:t>
            </w: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1.1</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 xml:space="preserve">Work requirements for monitoring and operating complex flow control, measuring and regulating devices are interpreted from plans, specifications </w:t>
            </w:r>
            <w:r w:rsidRPr="00B069E6">
              <w:t>and instructions</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1.2</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Relevant requirements and established procedures for the work are communicated to all persons</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1.3</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 xml:space="preserve">WHS/OHS, environmental and sustainable energy policies and procedures related to the monitoring and operating of complex flow controls are obtained and confirmed and communicated </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1.4</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 xml:space="preserve">Work is prioritised and sequenced following consultation with others </w:t>
            </w:r>
            <w:r w:rsidRPr="00B069E6">
              <w:t>for completion within acceptable timeframes and in accordance with established procedures</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1.5</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Risk control measures for identified hazards are prioritised, implemented and monitored against the work schedule</w:t>
            </w:r>
          </w:p>
        </w:tc>
      </w:tr>
      <w:tr w:rsidTr="00B069E6">
        <w:tblPrEx>
          <w:tblW w:w="0" w:type="auto"/>
          <w:tblLayout w:type="fixed"/>
          <w:tblCellMar>
            <w:left w:w="62" w:type="dxa"/>
            <w:right w:w="62" w:type="dxa"/>
          </w:tblCellMar>
          <w:tblLook w:val="0000"/>
        </w:tblPrEx>
        <w:trPr>
          <w:trHeight w:val="1104"/>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1.6</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 xml:space="preserve">Relevant work permits are obtained to </w:t>
            </w:r>
            <w:r w:rsidRPr="00B069E6">
              <w:t>access, isolate/de-energise systems and perform work according to requirements and established procedures</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1.7</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Resources including appropriately licensed persons, equipment, tools and personal protective equipment required for the work identified, scheduled and obtained and confirmed in a safe working order</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1.8</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 xml:space="preserve">Liaison and communication with authorised persons, </w:t>
            </w:r>
            <w:r w:rsidRPr="00B069E6">
              <w:t>authorities, clients and land-owners is completed so that work can be carried out where necessary</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1.9</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Persons participating in the work, including plant operators and contractors are fully briefed and respective responsibilities confirmed where applicab</w:t>
            </w:r>
            <w:r w:rsidRPr="00B069E6">
              <w:t xml:space="preserve">le in accordance with established procedures </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Monitor and operate complex gas flow control, measuring and regulating devices</w:t>
            </w: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2.1</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Information on device and equipment performance is collected and reported in accordance with organisational requirements</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2.2</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 xml:space="preserve">Dealings with customers are consistent with standard operating procedures and the special needs of customers are identified and considered in targeting client service </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2.3</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 xml:space="preserve"> Knowledge and  Skills required for monitoring and operating complex flow con</w:t>
            </w:r>
            <w:r w:rsidRPr="00B069E6">
              <w:t>trol devices are applied to ensure completion in an agreed timeframe and to quality standards with a minimum of waste according to requirements</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2.4</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Routine inspections of system are scheduled and monitored in accordance with the work schedule and establ</w:t>
            </w:r>
            <w:r w:rsidRPr="00B069E6">
              <w:t xml:space="preserve">ished procedures </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2.5</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Hazard warnings and safety signs are recognised and hazards and assessed WHS/OHS risks are reported to the immediate authorised persons for directions according to established procedures</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2.6</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 xml:space="preserve">Data on system performance and usage is collected, analysed and reported and unplanned events in the monitoring and operation of complex flow control are undertaken with the scope of established procedures </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2.7</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 xml:space="preserve">Ongoing checks of quality of the work are </w:t>
            </w:r>
            <w:r w:rsidRPr="00B069E6">
              <w:t>undertaken in accordance with given instructions and established procedures</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3</w:t>
            </w:r>
          </w:p>
        </w:tc>
        <w:tc>
          <w:tcPr>
            <w:tcW w:w="2296" w:type="dxa"/>
            <w:vMerge w:val="restart"/>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Control and adjust flows and compile records and reports</w:t>
            </w: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3.1</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Flow regulating systems are inspected and adjustments made to meet demand and customer requirements</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3.2</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Accidents and injuries are reported in accordance with established procedures where applicable</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3.3</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Flows and diversions are determined to facilitate repair or emergency activities in accordance with organisational requirements</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3.4</w:t>
            </w:r>
          </w:p>
        </w:tc>
        <w:tc>
          <w:tcPr>
            <w:tcW w:w="48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Process faults and operational conditions of the system are identified, addressed and reported in accordance with organisational requirements</w:t>
            </w:r>
          </w:p>
        </w:tc>
      </w:tr>
      <w:tr w:rsidTr="00B069E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3.5</w:t>
            </w:r>
          </w:p>
        </w:tc>
        <w:tc>
          <w:tcPr>
            <w:tcW w:w="4860"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t>Work completion records, reports and documentation are finalised and processed and appropriate persons noti</w:t>
            </w:r>
            <w:r w:rsidRPr="00B069E6">
              <w:t>fied</w:t>
            </w:r>
          </w:p>
        </w:tc>
      </w:tr>
    </w:tbl>
    <w:p w:rsidR="00000000" w:rsidRPr="00B069E6" w:rsidP="00B069E6">
      <w:pPr>
        <w:pStyle w:val="BodyText"/>
      </w:pPr>
    </w:p>
    <w:p w:rsidR="00000000" w:rsidRPr="00B069E6" w:rsidP="00B069E6">
      <w:pPr>
        <w:pStyle w:val="AllowPageBreak"/>
      </w:pPr>
    </w:p>
    <w:p w:rsidR="00000000" w:rsidRPr="00B069E6" w:rsidP="00B069E6">
      <w:pPr>
        <w:pStyle w:val="Heading1"/>
      </w:pPr>
      <w:bookmarkStart w:id="9" w:name="O_624046"/>
      <w:bookmarkEnd w:id="9"/>
      <w:r w:rsidRPr="00B069E6">
        <w:t>Required Skills and Knowledge</w:t>
      </w:r>
    </w:p>
    <w:tbl>
      <w:tblPr>
        <w:tblW w:w="0" w:type="auto"/>
        <w:tblLayout w:type="fixed"/>
        <w:tblCellMar>
          <w:left w:w="62" w:type="dxa"/>
          <w:right w:w="62" w:type="dxa"/>
        </w:tblCellMar>
        <w:tblLook w:val="0000"/>
      </w:tblPr>
      <w:tblGrid>
        <w:gridCol w:w="9000"/>
      </w:tblGrid>
      <w:tr w:rsidTr="00B069E6">
        <w:tblPrEx>
          <w:tblW w:w="0" w:type="auto"/>
          <w:tblLayout w:type="fixed"/>
          <w:tblCellMar>
            <w:left w:w="62" w:type="dxa"/>
            <w:right w:w="62" w:type="dxa"/>
          </w:tblCellMar>
          <w:tblLook w:val="0000"/>
        </w:tblPrEx>
        <w:trPr>
          <w:tblHeader/>
        </w:trPr>
        <w:tc>
          <w:tcPr>
            <w:tcW w:w="90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REQUIRED SKILLS AND KNOWLEDGE</w:t>
            </w:r>
          </w:p>
        </w:tc>
      </w:tr>
      <w:tr w:rsidTr="00B069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7)</w:t>
            </w:r>
            <w:r w:rsidRPr="00B069E6">
              <w:t xml:space="preserve"> </w:t>
            </w:r>
            <w:r w:rsidRPr="00B069E6">
              <w:rPr>
                <w:rStyle w:val="Emphasis"/>
              </w:rPr>
              <w:t>This describes the skills and knowledge and their level, required for this unit.</w:t>
            </w:r>
          </w:p>
        </w:tc>
      </w:tr>
      <w:tr w:rsidTr="00B069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Evidence shall show that knowledge has been acquired of safe working practices for carrying out work in a gas industry environment.</w:t>
            </w:r>
          </w:p>
        </w:tc>
      </w:tr>
      <w:tr w:rsidTr="00B069E6">
        <w:tblPrEx>
          <w:tblW w:w="0" w:type="auto"/>
          <w:tblLayout w:type="fixed"/>
          <w:tblCellMar>
            <w:left w:w="62" w:type="dxa"/>
            <w:right w:w="62" w:type="dxa"/>
          </w:tblCellMar>
          <w:tblLook w:val="0000"/>
        </w:tblPrEx>
        <w:trPr>
          <w:trHeight w:val="481"/>
        </w:trPr>
        <w:tc>
          <w:tcPr>
            <w:tcW w:w="9000"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t>All knowledge and skills detailed in this unit should be contextualised to current industry practices and technologies.</w:t>
            </w:r>
          </w:p>
        </w:tc>
      </w:tr>
    </w:tbl>
    <w:p w:rsidR="00000000" w:rsidRPr="00B069E6" w:rsidP="00B069E6">
      <w:pPr>
        <w:pStyle w:val="BodyText"/>
      </w:pPr>
    </w:p>
    <w:tbl>
      <w:tblPr>
        <w:tblW w:w="0" w:type="auto"/>
        <w:tblLayout w:type="fixed"/>
        <w:tblCellMar>
          <w:left w:w="62" w:type="dxa"/>
          <w:right w:w="62" w:type="dxa"/>
        </w:tblCellMar>
        <w:tblLook w:val="0000"/>
      </w:tblPr>
      <w:tblGrid>
        <w:gridCol w:w="1985"/>
        <w:gridCol w:w="7020"/>
      </w:tblGrid>
      <w:tr w:rsidTr="00B069E6">
        <w:tblPrEx>
          <w:tblW w:w="0" w:type="auto"/>
          <w:tblLayout w:type="fixed"/>
          <w:tblCellMar>
            <w:left w:w="62" w:type="dxa"/>
            <w:right w:w="62" w:type="dxa"/>
          </w:tblCellMar>
          <w:tblLook w:val="0000"/>
        </w:tblPrEx>
        <w:trPr>
          <w:trHeight w:val="346"/>
        </w:trPr>
        <w:tc>
          <w:tcPr>
            <w:tcW w:w="1985"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K</w:t>
            </w:r>
            <w:r w:rsidRPr="00B069E6">
              <w:rPr>
                <w:rStyle w:val="SpecialBold"/>
              </w:rPr>
              <w:t>S01-G811A</w:t>
            </w:r>
          </w:p>
        </w:tc>
        <w:tc>
          <w:tcPr>
            <w:tcW w:w="702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Complex flow control device operation</w:t>
            </w:r>
          </w:p>
        </w:tc>
      </w:tr>
      <w:tr w:rsidTr="00B069E6">
        <w:tblPrEx>
          <w:tblW w:w="0" w:type="auto"/>
          <w:tblLayout w:type="fixed"/>
          <w:tblCellMar>
            <w:left w:w="62" w:type="dxa"/>
            <w:right w:w="62" w:type="dxa"/>
          </w:tblCellMar>
          <w:tblLook w:val="0000"/>
        </w:tblPrEx>
        <w:trPr>
          <w:trHeight w:val="346"/>
        </w:trPr>
        <w:tc>
          <w:tcPr>
            <w:tcW w:w="9005" w:type="dxa"/>
            <w:gridSpan w:val="2"/>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t>Evidence shall show an understanding of monitor and operate complex flow control, measuring and regulating devices for gas distribution systems in accordance with relevant legislation, standards, codes and e</w:t>
            </w:r>
            <w:r w:rsidRPr="00B069E6">
              <w:t>stablished procedures to an extent indicated by the following aspects:</w:t>
            </w:r>
          </w:p>
          <w:p w:rsidR="00000000" w:rsidRPr="00B069E6" w:rsidP="00B069E6">
            <w:pPr>
              <w:pStyle w:val="BodyText"/>
            </w:pPr>
            <w:r w:rsidRPr="00B069E6">
              <w:t xml:space="preserve">T1. Basic principles of SCADA use in monitoring and control of applicable organisational gas infrastructure </w:t>
            </w:r>
          </w:p>
          <w:p w:rsidR="00000000" w:rsidRPr="00B069E6" w:rsidP="00B069E6">
            <w:pPr>
              <w:pStyle w:val="BodyText"/>
            </w:pPr>
            <w:r w:rsidRPr="00B069E6">
              <w:t>T2. Component types, function and operation including:</w:t>
            </w:r>
          </w:p>
          <w:p w:rsidR="00000000" w:rsidRPr="00B069E6" w:rsidP="00B069E6">
            <w:pPr>
              <w:pStyle w:val="ListBullet"/>
            </w:pPr>
            <w:r w:rsidRPr="00B069E6">
              <w:t>data collection and equipment control functions including:</w:t>
            </w:r>
          </w:p>
          <w:p w:rsidR="00000000" w:rsidRPr="00B069E6" w:rsidP="00B069E6">
            <w:pPr>
              <w:pStyle w:val="ListBullet2"/>
            </w:pPr>
            <w:r w:rsidRPr="00B069E6">
              <w:t>Remote Terminal Unit (RTU)</w:t>
            </w:r>
          </w:p>
          <w:p w:rsidR="00000000" w:rsidRPr="00B069E6" w:rsidP="00B069E6">
            <w:pPr>
              <w:pStyle w:val="ListBullet"/>
            </w:pPr>
            <w:r w:rsidRPr="00B069E6">
              <w:t>system controller interface such as Human Machine Interface (HMI)</w:t>
            </w:r>
          </w:p>
          <w:p w:rsidR="00000000" w:rsidRPr="00B069E6" w:rsidP="00B069E6">
            <w:pPr>
              <w:pStyle w:val="BodyText"/>
            </w:pPr>
            <w:r w:rsidRPr="00B069E6">
              <w:t>T3. Remote Telemetry Units (RTU’s) and associated controller operation including:</w:t>
            </w:r>
          </w:p>
          <w:p w:rsidR="00000000" w:rsidRPr="00B069E6" w:rsidP="00B069E6">
            <w:pPr>
              <w:pStyle w:val="ListBullet"/>
            </w:pPr>
            <w:r w:rsidRPr="00B069E6">
              <w:t>start up and shut d</w:t>
            </w:r>
            <w:r w:rsidRPr="00B069E6">
              <w:t>own of process controllers and RTU equipment</w:t>
            </w:r>
          </w:p>
          <w:p w:rsidR="00000000" w:rsidRPr="00B069E6" w:rsidP="00B069E6">
            <w:pPr>
              <w:pStyle w:val="ListBullet"/>
            </w:pPr>
            <w:r w:rsidRPr="00B069E6">
              <w:t>adjustment of process set point control and status e.g. local/remote and auto/manual</w:t>
            </w:r>
          </w:p>
          <w:p w:rsidR="00000000" w:rsidRPr="00B069E6" w:rsidP="00B069E6">
            <w:pPr>
              <w:pStyle w:val="ListBullet"/>
            </w:pPr>
            <w:r w:rsidRPr="00B069E6">
              <w:t>alarm monitoring, acknowledgement, prioritisation and escalation</w:t>
            </w:r>
          </w:p>
          <w:p w:rsidR="00000000" w:rsidRPr="00B069E6" w:rsidP="00B069E6">
            <w:pPr>
              <w:pStyle w:val="ListBullet"/>
            </w:pPr>
            <w:r w:rsidRPr="00B069E6">
              <w:t>alarm inhibit/enablement/disablement.</w:t>
            </w:r>
          </w:p>
          <w:p w:rsidR="00000000" w:rsidRPr="00B069E6" w:rsidP="00B069E6">
            <w:pPr>
              <w:pStyle w:val="BodyText"/>
            </w:pPr>
            <w:r w:rsidRPr="00B069E6">
              <w:t xml:space="preserve">T4. SCADA operated gas </w:t>
            </w:r>
            <w:r w:rsidRPr="00B069E6">
              <w:t>conditioning and monitoring equipment</w:t>
            </w:r>
          </w:p>
          <w:p w:rsidR="00000000" w:rsidRPr="00B069E6" w:rsidP="00B069E6">
            <w:pPr>
              <w:pStyle w:val="ListBullet"/>
            </w:pPr>
            <w:r w:rsidRPr="00B069E6">
              <w:t>principles of operation</w:t>
            </w:r>
          </w:p>
          <w:p w:rsidR="00000000" w:rsidRPr="00B069E6" w:rsidP="00B069E6">
            <w:pPr>
              <w:pStyle w:val="ListBullet"/>
            </w:pPr>
            <w:r w:rsidRPr="00B069E6">
              <w:t xml:space="preserve">components </w:t>
            </w:r>
          </w:p>
          <w:p w:rsidR="00000000" w:rsidRPr="00B069E6" w:rsidP="00B069E6">
            <w:pPr>
              <w:pStyle w:val="ListBullet"/>
            </w:pPr>
            <w:r w:rsidRPr="00B069E6">
              <w:t xml:space="preserve">fault finding, adjustments and minor repairs </w:t>
            </w:r>
          </w:p>
          <w:p w:rsidR="00000000" w:rsidRPr="00B069E6" w:rsidP="00B069E6">
            <w:pPr>
              <w:pStyle w:val="BodyText"/>
            </w:pPr>
            <w:r w:rsidRPr="00B069E6">
              <w:t xml:space="preserve">T5. SCADA operated pressure control equipment </w:t>
            </w:r>
          </w:p>
          <w:p w:rsidR="00000000" w:rsidRPr="00B069E6" w:rsidP="00B069E6">
            <w:pPr>
              <w:pStyle w:val="ListBullet"/>
            </w:pPr>
            <w:r w:rsidRPr="00B069E6">
              <w:t xml:space="preserve">types </w:t>
            </w:r>
          </w:p>
          <w:p w:rsidR="00000000" w:rsidRPr="00B069E6" w:rsidP="00B069E6">
            <w:pPr>
              <w:pStyle w:val="ListBullet2"/>
            </w:pPr>
            <w:r w:rsidRPr="00B069E6">
              <w:t>Air loaded diaphragm and sleeve regulators</w:t>
            </w:r>
          </w:p>
          <w:p w:rsidR="00000000" w:rsidRPr="00B069E6" w:rsidP="00B069E6">
            <w:pPr>
              <w:pStyle w:val="ListBullet2"/>
            </w:pPr>
            <w:r w:rsidRPr="00B069E6">
              <w:t xml:space="preserve">SCADA operated valves </w:t>
            </w:r>
          </w:p>
          <w:p w:rsidR="00000000" w:rsidRPr="00B069E6" w:rsidP="00B069E6">
            <w:pPr>
              <w:pStyle w:val="ListBullet2"/>
            </w:pPr>
            <w:r w:rsidRPr="00B069E6">
              <w:t>ALBs</w:t>
            </w:r>
          </w:p>
          <w:p w:rsidR="00000000" w:rsidRPr="00B069E6" w:rsidP="00B069E6">
            <w:pPr>
              <w:pStyle w:val="ListBullet"/>
            </w:pPr>
            <w:r w:rsidRPr="00B069E6">
              <w:t>principles of operation</w:t>
            </w:r>
          </w:p>
          <w:p w:rsidR="00000000" w:rsidRPr="00B069E6" w:rsidP="00B069E6">
            <w:pPr>
              <w:pStyle w:val="ListBullet"/>
            </w:pPr>
            <w:r w:rsidRPr="00B069E6">
              <w:t xml:space="preserve">fault finding, adjustments and minor repairs </w:t>
            </w:r>
          </w:p>
          <w:p w:rsidR="00000000" w:rsidRPr="00B069E6" w:rsidP="00B069E6">
            <w:pPr>
              <w:pStyle w:val="BodyText"/>
            </w:pPr>
            <w:r w:rsidRPr="00B069E6">
              <w:t>T6. SCADA gas flow measurement equipment</w:t>
            </w:r>
          </w:p>
          <w:p w:rsidR="00000000" w:rsidRPr="00B069E6" w:rsidP="00B069E6">
            <w:pPr>
              <w:pStyle w:val="ListBullet"/>
            </w:pPr>
            <w:r w:rsidRPr="00B069E6">
              <w:t xml:space="preserve">types </w:t>
            </w:r>
          </w:p>
          <w:p w:rsidR="00000000" w:rsidRPr="00B069E6" w:rsidP="00B069E6">
            <w:pPr>
              <w:pStyle w:val="ListBullet2"/>
            </w:pPr>
            <w:r w:rsidRPr="00B069E6">
              <w:t>Coriolis meters</w:t>
            </w:r>
          </w:p>
          <w:p w:rsidR="00000000" w:rsidRPr="00B069E6" w:rsidP="00B069E6">
            <w:pPr>
              <w:pStyle w:val="ListBullet2"/>
            </w:pPr>
            <w:r w:rsidRPr="00B069E6">
              <w:t>Ultrasonic meters</w:t>
            </w:r>
          </w:p>
          <w:p w:rsidR="00000000" w:rsidRPr="00B069E6" w:rsidP="00B069E6">
            <w:pPr>
              <w:pStyle w:val="ListBullet2"/>
            </w:pPr>
            <w:r w:rsidRPr="00B069E6">
              <w:t>Turbine meters</w:t>
            </w:r>
          </w:p>
          <w:p w:rsidR="00000000" w:rsidRPr="00B069E6" w:rsidP="00B069E6">
            <w:pPr>
              <w:pStyle w:val="ListBullet"/>
            </w:pPr>
            <w:r w:rsidRPr="00B069E6">
              <w:t>operation</w:t>
            </w:r>
          </w:p>
          <w:p w:rsidR="00000000" w:rsidRPr="00B069E6" w:rsidP="00B069E6">
            <w:pPr>
              <w:pStyle w:val="ListBullet"/>
            </w:pPr>
            <w:r w:rsidRPr="00B069E6">
              <w:t xml:space="preserve">fault finding, adjustments and minor repairs </w:t>
            </w:r>
          </w:p>
          <w:p w:rsidR="00000000" w:rsidRPr="00B069E6" w:rsidP="00B069E6">
            <w:pPr>
              <w:pStyle w:val="BodyText"/>
            </w:pPr>
            <w:r w:rsidRPr="00B069E6">
              <w:t>T7. SCADA gas station alarms and safety devices</w:t>
            </w:r>
          </w:p>
          <w:p w:rsidR="00000000" w:rsidRPr="00B069E6" w:rsidP="00B069E6">
            <w:pPr>
              <w:pStyle w:val="ListBullet"/>
            </w:pPr>
            <w:r w:rsidRPr="00B069E6">
              <w:t xml:space="preserve">types </w:t>
            </w:r>
          </w:p>
          <w:p w:rsidR="00000000" w:rsidRPr="00B069E6" w:rsidP="00B069E6">
            <w:pPr>
              <w:pStyle w:val="ListBullet"/>
            </w:pPr>
            <w:r w:rsidRPr="00B069E6">
              <w:t>operation</w:t>
            </w:r>
          </w:p>
          <w:p w:rsidR="00000000" w:rsidRPr="00B069E6" w:rsidP="00B069E6">
            <w:pPr>
              <w:pStyle w:val="ListBullet"/>
            </w:pPr>
            <w:r w:rsidRPr="00B069E6">
              <w:t xml:space="preserve">fault finding, adjustments and minor repairs </w:t>
            </w:r>
          </w:p>
          <w:p w:rsidR="00000000" w:rsidRPr="00B069E6" w:rsidP="00B069E6">
            <w:pPr>
              <w:pStyle w:val="BodyText"/>
            </w:pPr>
            <w:r w:rsidRPr="00B069E6">
              <w:t xml:space="preserve">T8. SCADA operated gas station valves </w:t>
            </w:r>
          </w:p>
          <w:p w:rsidR="00000000" w:rsidRPr="00B069E6" w:rsidP="00B069E6">
            <w:pPr>
              <w:pStyle w:val="ListBullet"/>
            </w:pPr>
            <w:r w:rsidRPr="00B069E6">
              <w:t>types</w:t>
            </w:r>
          </w:p>
          <w:p w:rsidR="00000000" w:rsidRPr="00B069E6" w:rsidP="00B069E6">
            <w:pPr>
              <w:pStyle w:val="ListBullet"/>
            </w:pPr>
            <w:r w:rsidRPr="00B069E6">
              <w:t>operation</w:t>
            </w:r>
          </w:p>
          <w:p w:rsidR="00000000" w:rsidRPr="00B069E6" w:rsidP="00B069E6">
            <w:pPr>
              <w:pStyle w:val="ListBullet"/>
            </w:pPr>
            <w:r w:rsidRPr="00B069E6">
              <w:t>maintenance</w:t>
            </w:r>
          </w:p>
          <w:p w:rsidR="00000000" w:rsidRPr="00B069E6" w:rsidP="00B069E6">
            <w:pPr>
              <w:pStyle w:val="ListBullet"/>
            </w:pPr>
            <w:r w:rsidRPr="00B069E6">
              <w:t xml:space="preserve">fault finding, adjustments and minor repairs </w:t>
            </w:r>
          </w:p>
          <w:p w:rsidR="00000000" w:rsidRPr="00B069E6" w:rsidP="00B069E6">
            <w:pPr>
              <w:pStyle w:val="BodyText"/>
            </w:pPr>
            <w:r w:rsidRPr="00B069E6">
              <w:t>T9. SCADA controlled gas stati</w:t>
            </w:r>
            <w:r w:rsidRPr="00B069E6">
              <w:t>on venting, purging and pressurisation operations</w:t>
            </w:r>
          </w:p>
          <w:p w:rsidR="00000000" w:rsidRPr="00B069E6" w:rsidP="00B069E6">
            <w:pPr>
              <w:pStyle w:val="BodyText"/>
            </w:pPr>
            <w:r w:rsidRPr="00B069E6">
              <w:t>T10. Gas station operation requirements and procedures</w:t>
            </w:r>
          </w:p>
          <w:p w:rsidR="00000000" w:rsidRPr="00B069E6" w:rsidP="00B069E6">
            <w:pPr>
              <w:pStyle w:val="ListBullet"/>
            </w:pPr>
            <w:r w:rsidRPr="00B069E6">
              <w:t>change over regulator and meter runs</w:t>
            </w:r>
          </w:p>
          <w:p w:rsidR="00000000" w:rsidRPr="00B069E6" w:rsidP="00B069E6">
            <w:pPr>
              <w:pStyle w:val="ListBullet"/>
            </w:pPr>
            <w:r w:rsidRPr="00B069E6">
              <w:t>change over filters/separators</w:t>
            </w:r>
          </w:p>
          <w:p w:rsidR="00000000" w:rsidRPr="00B069E6" w:rsidP="00B069E6">
            <w:pPr>
              <w:pStyle w:val="ListBullet"/>
            </w:pPr>
            <w:r w:rsidRPr="00B069E6">
              <w:t>purge and pressurise station</w:t>
            </w:r>
          </w:p>
          <w:p w:rsidR="00000000" w:rsidRPr="00B069E6" w:rsidP="00B069E6">
            <w:pPr>
              <w:pStyle w:val="ListBullet"/>
            </w:pPr>
            <w:r w:rsidRPr="00B069E6">
              <w:t>adjust set points</w:t>
            </w:r>
          </w:p>
          <w:p w:rsidR="00000000" w:rsidRPr="00B069E6" w:rsidP="00B069E6">
            <w:pPr>
              <w:pStyle w:val="BodyText"/>
            </w:pPr>
            <w:r w:rsidRPr="00B069E6">
              <w:t>T11. Manufactures s</w:t>
            </w:r>
            <w:r w:rsidRPr="00B069E6">
              <w:t>pecifications, manuals and procedures.</w:t>
            </w:r>
          </w:p>
          <w:p w:rsidR="00000000" w:rsidRPr="00B069E6" w:rsidP="00B069E6">
            <w:pPr>
              <w:pStyle w:val="BodyText"/>
            </w:pPr>
            <w:r w:rsidRPr="00B069E6">
              <w:t>T12. Organisations gas facility manuals, schematics, SCADA displays, switches, P+ID’s and procedures</w:t>
            </w:r>
          </w:p>
          <w:p w:rsidR="00000000" w:rsidRPr="00B069E6" w:rsidP="00B069E6">
            <w:pPr>
              <w:pStyle w:val="BodyText"/>
            </w:pPr>
            <w:r w:rsidRPr="00B069E6">
              <w:t>T13. Relevant Legislation, Standards, Codes and Regulations</w:t>
            </w:r>
          </w:p>
        </w:tc>
      </w:tr>
    </w:tbl>
    <w:p w:rsidR="001E15CE" w:rsidP="00B069E6">
      <w:pPr>
        <w:pStyle w:val="BodyText"/>
      </w:pPr>
    </w:p>
    <w:p w:rsidR="001E15CE" w:rsidP="00B069E6">
      <w:pPr>
        <w:pStyle w:val="BodyText"/>
      </w:pPr>
    </w:p>
    <w:p w:rsidR="00000000" w:rsidRPr="00B069E6" w:rsidP="00B069E6">
      <w:pPr>
        <w:pStyle w:val="Heading1"/>
      </w:pPr>
      <w:bookmarkStart w:id="10" w:name="O_624047"/>
      <w:bookmarkEnd w:id="10"/>
      <w:r w:rsidRPr="00B069E6">
        <w:t>Evidence Guide</w:t>
      </w:r>
    </w:p>
    <w:tbl>
      <w:tblPr>
        <w:tblW w:w="0" w:type="auto"/>
        <w:tblLayout w:type="fixed"/>
        <w:tblCellMar>
          <w:left w:w="62" w:type="dxa"/>
          <w:right w:w="62" w:type="dxa"/>
        </w:tblCellMar>
        <w:tblLook w:val="0000"/>
      </w:tblPr>
      <w:tblGrid>
        <w:gridCol w:w="8398"/>
      </w:tblGrid>
      <w:tr w:rsidTr="00B069E6">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EVIDENCE GUIDE</w:t>
            </w:r>
          </w:p>
        </w:tc>
      </w:tr>
      <w:tr w:rsidTr="00B069E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8)</w:t>
            </w:r>
            <w:r w:rsidRPr="00B069E6">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B069E6" w:rsidP="00B069E6">
      <w:pPr>
        <w:pStyle w:val="BodyText"/>
      </w:pPr>
    </w:p>
    <w:tbl>
      <w:tblPr>
        <w:tblW w:w="0" w:type="auto"/>
        <w:tblLayout w:type="fixed"/>
        <w:tblCellMar>
          <w:left w:w="62" w:type="dxa"/>
          <w:right w:w="62" w:type="dxa"/>
        </w:tblCellMar>
        <w:tblLook w:val="0000"/>
      </w:tblPr>
      <w:tblGrid>
        <w:gridCol w:w="1828"/>
        <w:gridCol w:w="6570"/>
      </w:tblGrid>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8.1)</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t>Longitudina</w:t>
            </w:r>
            <w:r w:rsidRPr="00B069E6">
              <w:t>l competency development approaches to assessment, such as Profiling, require data to be reliably gathered in a form that can be consistently interpreted over time. This approach is best utilised in Apprenticeship programs and reduces assessment interventi</w:t>
            </w:r>
            <w:r w:rsidRPr="00B069E6">
              <w:t xml:space="preserve">on. It is the Industry’s preferred model for apprenticeships. However, where summative (or final) assessment is used it is to include the application of the competency in the normal work environment or, at a minimum, the application of the competency in a </w:t>
            </w:r>
            <w:r w:rsidRPr="00B069E6">
              <w:t>realistically simulated work environment. It is recognised that, in some circumstances, assessment in part or full can occur outside the workplace. However, it must be in accord with Industry and Regulatory policy in this regard.</w:t>
            </w:r>
          </w:p>
          <w:p w:rsidR="00000000" w:rsidRPr="00B069E6" w:rsidP="00B069E6">
            <w:pPr>
              <w:pStyle w:val="BodyText"/>
            </w:pPr>
            <w:r w:rsidRPr="00B069E6">
              <w:t>Methods chosen for a parti</w:t>
            </w:r>
            <w:r w:rsidRPr="00B069E6">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B069E6">
              <w:t>the critical nature of the competencies being assessed.</w:t>
            </w:r>
          </w:p>
          <w:p w:rsidR="00000000" w:rsidRPr="00B069E6" w:rsidP="00B069E6">
            <w:pPr>
              <w:pStyle w:val="BodyText"/>
            </w:pPr>
            <w:r w:rsidRPr="00B069E6">
              <w:t xml:space="preserve">The critical safety nature of working with electricity, electrical equipment, gas or any other hazardous substance/material carries risk in deeming a person competent. Hence, sources of evidence need </w:t>
            </w:r>
            <w:r w:rsidRPr="00B069E6">
              <w:t>to be ‘rich’ in nature so as to minimise error in judgment.</w:t>
            </w:r>
          </w:p>
          <w:p w:rsidR="00000000" w:rsidRPr="00B069E6" w:rsidP="00B069E6">
            <w:pPr>
              <w:pStyle w:val="BodyText"/>
            </w:pPr>
            <w:r w:rsidRPr="00B069E6">
              <w:t>Activities associated with normal every day work have a bearing on the decision as to how much and how detailed the data gathered will contribute to its ‘richness’</w:t>
            </w:r>
            <w:r w:rsidRPr="00B069E6">
              <w:t>. Some skills are more critical to safety and operational requirements while the same skills may be more or less frequently practiced. These points are raised for the assessors to consider when choosing an assessment method and developing assessment instru</w:t>
            </w:r>
            <w:r w:rsidRPr="00B069E6">
              <w:t>ments. Sample instruments are included for Assessors in the Assessment Guidelines of this Training Package.</w:t>
            </w:r>
          </w:p>
        </w:tc>
      </w:tr>
    </w:tbl>
    <w:p w:rsidR="00000000" w:rsidRPr="00B069E6" w:rsidP="00B069E6">
      <w:pPr>
        <w:pStyle w:val="BodyText"/>
      </w:pPr>
    </w:p>
    <w:tbl>
      <w:tblPr>
        <w:tblW w:w="0" w:type="auto"/>
        <w:tblLayout w:type="fixed"/>
        <w:tblCellMar>
          <w:left w:w="62" w:type="dxa"/>
          <w:right w:w="62" w:type="dxa"/>
        </w:tblCellMar>
        <w:tblLook w:val="0000"/>
      </w:tblPr>
      <w:tblGrid>
        <w:gridCol w:w="1828"/>
        <w:gridCol w:w="6570"/>
      </w:tblGrid>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8.2)</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Before the critical aspects of evidence are considered all pre</w:t>
            </w:r>
            <w:r w:rsidRPr="00B069E6">
              <w:t>requisites shall be met.</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Evidence for competence in this unit shall be considered holistically. Each element and associated Performance Criteria shall be demonstrated on at least two occasions in accordance with the "Assessment Guidelines — UEG11". Evide</w:t>
            </w:r>
            <w:r w:rsidRPr="00B069E6">
              <w:t>nce shall also comprise:</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69E6">
            <w:pPr>
              <w:pStyle w:val="ListBullet"/>
              <w:rPr>
                <w:lang w:val="en-NZ"/>
              </w:rPr>
            </w:pPr>
            <w:r w:rsidRPr="00B069E6">
              <w:t>A representative body of work performance demonstrated within the timeframes typically expected of the discipline, work function and industrial environment. In particular this shall incorporate evidence that shows a candidate is</w:t>
            </w:r>
            <w:r w:rsidRPr="00B069E6">
              <w:t xml:space="preserve"> able to:</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69E6">
            <w:pPr>
              <w:pStyle w:val="ListBullet2"/>
              <w:rPr>
                <w:lang w:val="en-NZ"/>
              </w:rPr>
            </w:pPr>
            <w:r w:rsidRPr="00B069E6">
              <w:t>Implement Occupational Health and Safety workplace procedures and practices including the use of risk control measures as specified in the Performance Criteria and range</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69E6">
            <w:pPr>
              <w:pStyle w:val="ListBullet2"/>
              <w:rPr>
                <w:lang w:val="en-NZ"/>
              </w:rPr>
            </w:pPr>
            <w:r w:rsidRPr="00B069E6">
              <w:t>Apply sustainable energy principles and practices as specified in the Performance Criteria and range</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69E6">
            <w:pPr>
              <w:pStyle w:val="ListBullet2"/>
              <w:rPr>
                <w:lang w:val="en-NZ"/>
              </w:rPr>
            </w:pPr>
            <w:r w:rsidRPr="00B069E6">
              <w:t>Demonstrate an understanding of the required knowledge and as described in this unit to such an extent that the learner’</w:t>
            </w:r>
            <w:r w:rsidRPr="00B069E6">
              <w:t>s performance outcome is reported in accordance with the preferred approach; namely a percentile graded result, where required by the regulated environment</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69E6">
            <w:pPr>
              <w:pStyle w:val="ListBullet2"/>
              <w:rPr>
                <w:lang w:val="en-NZ"/>
              </w:rPr>
            </w:pPr>
            <w:r w:rsidRPr="00B069E6">
              <w:t>Demonstrate an appropriate level of employability skills</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69E6">
            <w:pPr>
              <w:pStyle w:val="ListBullet2"/>
              <w:rPr>
                <w:lang w:val="en-NZ"/>
              </w:rPr>
            </w:pPr>
            <w:r w:rsidRPr="00B069E6">
              <w:t>Conduct work observing the relevant A</w:t>
            </w:r>
            <w:r w:rsidRPr="00B069E6">
              <w:t>nti-Discrimination legislation, regulations, polices and workplace procedures</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B069E6" w:rsidP="00B069E6">
            <w:pPr>
              <w:pStyle w:val="ListBullet"/>
            </w:pPr>
            <w:r w:rsidRPr="00B069E6">
              <w:t>Demonstrate performance across a representative range of contexts from the prescribed items below.</w:t>
            </w:r>
          </w:p>
          <w:p w:rsidR="00000000" w:rsidRPr="00B069E6" w:rsidP="00B069E6">
            <w:pPr>
              <w:pStyle w:val="ListBullet2"/>
            </w:pPr>
            <w:r w:rsidRPr="00B069E6">
              <w:t>Monitor and operate complex flow control, measuring and regulating devices for gas distribution systems in accordance with relevant legislation, code, regulations and procedures as described in 9.) Range Statement and including:</w:t>
            </w:r>
          </w:p>
        </w:tc>
      </w:tr>
    </w:tbl>
    <w:p w:rsidR="00000000" w:rsidRPr="00B069E6" w:rsidP="00B069E6">
      <w:pPr>
        <w:pStyle w:val="BodyText"/>
      </w:pPr>
    </w:p>
    <w:tbl>
      <w:tblPr>
        <w:tblW w:w="0" w:type="auto"/>
        <w:tblLayout w:type="fixed"/>
        <w:tblCellMar>
          <w:left w:w="62" w:type="dxa"/>
          <w:right w:w="62" w:type="dxa"/>
        </w:tblCellMar>
        <w:tblLook w:val="0000"/>
      </w:tblPr>
      <w:tblGrid>
        <w:gridCol w:w="1828"/>
        <w:gridCol w:w="782"/>
        <w:gridCol w:w="900"/>
        <w:gridCol w:w="2098"/>
        <w:gridCol w:w="2790"/>
      </w:tblGrid>
      <w:tr w:rsidTr="00B069E6">
        <w:tblPrEx>
          <w:tblW w:w="0" w:type="auto"/>
          <w:tblLayout w:type="fixed"/>
          <w:tblCellMar>
            <w:left w:w="62" w:type="dxa"/>
            <w:right w:w="62" w:type="dxa"/>
          </w:tblCellMar>
          <w:tblLook w:val="0000"/>
        </w:tblPrEx>
        <w:trPr>
          <w:trHeight w:val="286"/>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B069E6">
            <w:pPr>
              <w:pStyle w:val="BodyText"/>
              <w:keepNext w:val="0"/>
              <w:keepLines w:val="0"/>
              <w:contextualSpacing w:val="0"/>
            </w:pPr>
          </w:p>
        </w:tc>
        <w:tc>
          <w:tcPr>
            <w:tcW w:w="578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9E6">
            <w:pPr>
              <w:pStyle w:val="BodyText"/>
              <w:rPr>
                <w:lang w:val="en-NZ"/>
              </w:rPr>
            </w:pPr>
            <w:r w:rsidRPr="00B069E6">
              <w:rPr>
                <w:rStyle w:val="SpecialBold"/>
              </w:rPr>
              <w:t>Range of tools/equipmen</w:t>
            </w:r>
            <w:r w:rsidRPr="00B069E6">
              <w:rPr>
                <w:rStyle w:val="SpecialBold"/>
              </w:rPr>
              <w:t>t/procedures/workplace</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B069E6">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9E6" w:rsidP="00B069E6">
            <w:pPr>
              <w:pStyle w:val="BodyText"/>
            </w:pPr>
            <w:r w:rsidRPr="00B069E6">
              <w:rPr>
                <w:rStyle w:val="SpecialBold"/>
              </w:rPr>
              <w:t>Group No</w:t>
            </w:r>
          </w:p>
        </w:tc>
        <w:tc>
          <w:tcPr>
            <w:tcW w:w="2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9E6" w:rsidP="00B069E6">
            <w:pPr>
              <w:pStyle w:val="BodyText"/>
            </w:pPr>
            <w:r w:rsidRPr="00B069E6">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9E6">
            <w:pPr>
              <w:pStyle w:val="BodyText"/>
              <w:rPr>
                <w:lang w:val="en-NZ"/>
              </w:rPr>
            </w:pPr>
            <w:r w:rsidRPr="00B069E6">
              <w:rPr>
                <w:rStyle w:val="SpecialBold"/>
              </w:rPr>
              <w:t>Item List</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4" w:space="0" w:color="auto"/>
            </w:tcBorders>
            <w:tcMar>
              <w:top w:w="0" w:type="dxa"/>
              <w:left w:w="62" w:type="dxa"/>
              <w:bottom w:w="0" w:type="dxa"/>
              <w:right w:w="62" w:type="dxa"/>
            </w:tcMar>
          </w:tcPr>
          <w:p w:rsidR="00000000" w:rsidRPr="00B069E6">
            <w:pPr>
              <w:pStyle w:val="BodyText"/>
              <w:keepNext w:val="0"/>
              <w:keepLines w:val="0"/>
              <w:contextualSpacing w:val="0"/>
            </w:pPr>
          </w:p>
        </w:tc>
        <w:tc>
          <w:tcPr>
            <w:tcW w:w="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rPr>
                <w:rStyle w:val="SpecialBold"/>
              </w:rPr>
              <w:t>A</w:t>
            </w:r>
          </w:p>
        </w:tc>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t>At least 3</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9E6" w:rsidP="00B069E6">
            <w:pPr>
              <w:pStyle w:val="ListBullet"/>
            </w:pPr>
            <w:r w:rsidRPr="00B069E6">
              <w:t>Interpret technical drawings and symbols</w:t>
            </w:r>
          </w:p>
          <w:p w:rsidR="00000000" w:rsidRPr="00B069E6" w:rsidP="00B069E6">
            <w:pPr>
              <w:pStyle w:val="ListBullet"/>
            </w:pPr>
            <w:r w:rsidRPr="00B069E6">
              <w:t>Selection of appropriate tools and equipment</w:t>
            </w:r>
          </w:p>
          <w:p w:rsidR="00000000" w:rsidRPr="00B069E6" w:rsidP="00B069E6">
            <w:pPr>
              <w:pStyle w:val="ListBullet"/>
            </w:pPr>
            <w:r w:rsidRPr="00B069E6">
              <w:t>System knowledge of TP, HP, MP, LP</w:t>
            </w:r>
          </w:p>
          <w:p w:rsidR="00000000" w:rsidP="00B069E6">
            <w:pPr>
              <w:pStyle w:val="ListBullet"/>
              <w:rPr>
                <w:lang w:val="en-NZ"/>
              </w:rPr>
            </w:pPr>
            <w:r w:rsidRPr="00B069E6">
              <w:t>Relevant knowledge of AS1697 Distribution Code</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4" w:space="0" w:color="auto"/>
            </w:tcBorders>
            <w:tcMar>
              <w:top w:w="0" w:type="dxa"/>
              <w:left w:w="62" w:type="dxa"/>
              <w:bottom w:w="0" w:type="dxa"/>
              <w:right w:w="62" w:type="dxa"/>
            </w:tcMar>
          </w:tcPr>
          <w:p w:rsidR="00000000" w:rsidRPr="00B069E6">
            <w:pPr>
              <w:pStyle w:val="BodyText"/>
              <w:keepNext w:val="0"/>
              <w:keepLines w:val="0"/>
              <w:contextualSpacing w:val="0"/>
            </w:pPr>
          </w:p>
        </w:tc>
        <w:tc>
          <w:tcPr>
            <w:tcW w:w="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rPr>
                <w:rStyle w:val="SpecialBold"/>
              </w:rPr>
              <w:t>B</w:t>
            </w:r>
          </w:p>
        </w:tc>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9E6" w:rsidP="00B069E6">
            <w:pPr>
              <w:pStyle w:val="ListBullet"/>
            </w:pPr>
            <w:r w:rsidRPr="00B069E6">
              <w:t>Auxiliary control systems knowledge &amp; understanding</w:t>
            </w:r>
          </w:p>
          <w:p w:rsidR="00000000" w:rsidRPr="00B069E6" w:rsidP="00B069E6">
            <w:pPr>
              <w:pStyle w:val="ListBullet"/>
            </w:pPr>
            <w:r w:rsidRPr="00B069E6">
              <w:t>Wide open monitor operation</w:t>
            </w:r>
          </w:p>
          <w:p w:rsidR="00000000" w:rsidP="00B069E6">
            <w:pPr>
              <w:pStyle w:val="ListBullet"/>
              <w:rPr>
                <w:lang w:val="en-NZ"/>
              </w:rPr>
            </w:pPr>
            <w:r w:rsidRPr="00B069E6">
              <w:t>Two stage pressure reduction with monitor override</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4" w:space="0" w:color="auto"/>
            </w:tcBorders>
            <w:tcMar>
              <w:top w:w="0" w:type="dxa"/>
              <w:left w:w="62" w:type="dxa"/>
              <w:bottom w:w="0" w:type="dxa"/>
              <w:right w:w="62" w:type="dxa"/>
            </w:tcMar>
          </w:tcPr>
          <w:p w:rsidR="00000000" w:rsidRPr="00B069E6">
            <w:pPr>
              <w:pStyle w:val="BodyText"/>
              <w:keepNext w:val="0"/>
              <w:keepLines w:val="0"/>
              <w:contextualSpacing w:val="0"/>
            </w:pPr>
          </w:p>
        </w:tc>
        <w:tc>
          <w:tcPr>
            <w:tcW w:w="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rPr>
                <w:rStyle w:val="SpecialBold"/>
              </w:rPr>
              <w:t>C</w:t>
            </w:r>
          </w:p>
        </w:tc>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9E6" w:rsidP="00B069E6">
            <w:pPr>
              <w:pStyle w:val="ListBullet"/>
            </w:pPr>
            <w:r w:rsidRPr="00B069E6">
              <w:t xml:space="preserve">SCADA Operation awareness </w:t>
            </w:r>
          </w:p>
          <w:p w:rsidR="00000000" w:rsidP="00B069E6">
            <w:pPr>
              <w:pStyle w:val="ListBullet"/>
              <w:rPr>
                <w:lang w:val="en-NZ"/>
              </w:rPr>
            </w:pPr>
            <w:r w:rsidRPr="00B069E6">
              <w:t>SCADA control system layout and operation awareness</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4" w:space="0" w:color="auto"/>
            </w:tcBorders>
            <w:tcMar>
              <w:top w:w="0" w:type="dxa"/>
              <w:left w:w="62" w:type="dxa"/>
              <w:bottom w:w="0" w:type="dxa"/>
              <w:right w:w="62" w:type="dxa"/>
            </w:tcMar>
          </w:tcPr>
          <w:p w:rsidR="00000000" w:rsidRPr="00B069E6">
            <w:pPr>
              <w:pStyle w:val="BodyText"/>
              <w:keepNext w:val="0"/>
              <w:keepLines w:val="0"/>
              <w:contextualSpacing w:val="0"/>
            </w:pPr>
          </w:p>
        </w:tc>
        <w:tc>
          <w:tcPr>
            <w:tcW w:w="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rPr>
                <w:rStyle w:val="SpecialBold"/>
              </w:rPr>
              <w:t>D</w:t>
            </w:r>
          </w:p>
        </w:tc>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t>At least 2</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9E6" w:rsidP="00B069E6">
            <w:pPr>
              <w:pStyle w:val="ListBullet"/>
            </w:pPr>
            <w:r w:rsidRPr="00B069E6">
              <w:t xml:space="preserve">Pressure Controllers - operation &amp;, maintenance </w:t>
            </w:r>
            <w:r w:rsidRPr="00B069E6">
              <w:t>Commissioning/Setting</w:t>
            </w:r>
          </w:p>
          <w:p w:rsidR="00000000" w:rsidRPr="00B069E6" w:rsidP="00B069E6">
            <w:pPr>
              <w:pStyle w:val="ListBullet"/>
            </w:pPr>
            <w:r w:rsidRPr="00B069E6">
              <w:t>Troubleshooting</w:t>
            </w:r>
          </w:p>
          <w:p w:rsidR="00000000" w:rsidRPr="00B069E6" w:rsidP="00B069E6">
            <w:pPr>
              <w:pStyle w:val="ListBullet"/>
            </w:pPr>
            <w:r w:rsidRPr="00B069E6">
              <w:t>Pressure Boosters minor repairs</w:t>
            </w:r>
          </w:p>
          <w:p w:rsidR="00000000" w:rsidP="00B069E6">
            <w:pPr>
              <w:pStyle w:val="ListBullet"/>
              <w:rPr>
                <w:lang w:val="en-NZ"/>
              </w:rPr>
            </w:pPr>
            <w:r w:rsidRPr="00B069E6">
              <w:t>types/models</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4" w:space="0" w:color="auto"/>
            </w:tcBorders>
            <w:tcMar>
              <w:top w:w="0" w:type="dxa"/>
              <w:left w:w="62" w:type="dxa"/>
              <w:bottom w:w="0" w:type="dxa"/>
              <w:right w:w="62" w:type="dxa"/>
            </w:tcMar>
          </w:tcPr>
          <w:p w:rsidR="00000000" w:rsidRPr="00B069E6">
            <w:pPr>
              <w:pStyle w:val="BodyText"/>
              <w:keepNext w:val="0"/>
              <w:keepLines w:val="0"/>
              <w:contextualSpacing w:val="0"/>
            </w:pPr>
          </w:p>
        </w:tc>
        <w:tc>
          <w:tcPr>
            <w:tcW w:w="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rPr>
                <w:rStyle w:val="SpecialBold"/>
              </w:rPr>
              <w:t>E</w:t>
            </w:r>
          </w:p>
        </w:tc>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t>At least 2</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9E6" w:rsidP="00B069E6">
            <w:pPr>
              <w:pStyle w:val="BodyText"/>
            </w:pPr>
            <w:r w:rsidRPr="00B069E6">
              <w:t>Basic regulators</w:t>
            </w:r>
          </w:p>
          <w:p w:rsidR="00000000" w:rsidRPr="00B069E6" w:rsidP="00B069E6">
            <w:pPr>
              <w:pStyle w:val="ListBullet"/>
            </w:pPr>
            <w:r w:rsidRPr="00B069E6">
              <w:t xml:space="preserve"> Sleeve types</w:t>
            </w:r>
          </w:p>
          <w:p w:rsidR="00000000" w:rsidRPr="00B069E6" w:rsidP="00B069E6">
            <w:pPr>
              <w:pStyle w:val="ListBullet"/>
            </w:pPr>
            <w:r w:rsidRPr="00B069E6">
              <w:t>Diaphragm types</w:t>
            </w:r>
          </w:p>
          <w:p w:rsidR="00000000" w:rsidP="00B069E6">
            <w:pPr>
              <w:pStyle w:val="ListBullet"/>
              <w:rPr>
                <w:lang w:val="en-NZ"/>
              </w:rPr>
            </w:pPr>
            <w:r w:rsidRPr="00B069E6">
              <w:t>Hydraulic Plug types</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4" w:space="0" w:color="auto"/>
            </w:tcBorders>
            <w:tcMar>
              <w:top w:w="0" w:type="dxa"/>
              <w:left w:w="62" w:type="dxa"/>
              <w:bottom w:w="0" w:type="dxa"/>
              <w:right w:w="62" w:type="dxa"/>
            </w:tcMar>
          </w:tcPr>
          <w:p w:rsidR="00000000" w:rsidRPr="00B069E6">
            <w:pPr>
              <w:pStyle w:val="BodyText"/>
              <w:keepNext w:val="0"/>
              <w:keepLines w:val="0"/>
              <w:contextualSpacing w:val="0"/>
            </w:pPr>
          </w:p>
        </w:tc>
        <w:tc>
          <w:tcPr>
            <w:tcW w:w="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rPr>
                <w:rStyle w:val="SpecialBold"/>
              </w:rPr>
              <w:t>F</w:t>
            </w:r>
          </w:p>
        </w:tc>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9E6" w:rsidP="00B069E6">
            <w:pPr>
              <w:pStyle w:val="BodyText"/>
            </w:pPr>
            <w:r w:rsidRPr="00B069E6">
              <w:t>Distribution Valves:</w:t>
            </w:r>
          </w:p>
          <w:p w:rsidR="00000000" w:rsidP="00B069E6">
            <w:pPr>
              <w:pStyle w:val="BodyText"/>
              <w:rPr>
                <w:lang w:val="en-NZ"/>
              </w:rPr>
            </w:pPr>
            <w:r w:rsidRPr="00B069E6">
              <w:t>Ball, Plug, Gate Instrument &amp; Butterfly valves</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4" w:space="0" w:color="auto"/>
            </w:tcBorders>
            <w:tcMar>
              <w:top w:w="0" w:type="dxa"/>
              <w:left w:w="62" w:type="dxa"/>
              <w:bottom w:w="0" w:type="dxa"/>
              <w:right w:w="62" w:type="dxa"/>
            </w:tcMar>
          </w:tcPr>
          <w:p w:rsidR="00000000" w:rsidRPr="00B069E6">
            <w:pPr>
              <w:pStyle w:val="BodyText"/>
              <w:keepNext w:val="0"/>
              <w:keepLines w:val="0"/>
              <w:contextualSpacing w:val="0"/>
            </w:pPr>
          </w:p>
        </w:tc>
        <w:tc>
          <w:tcPr>
            <w:tcW w:w="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rPr>
                <w:rStyle w:val="SpecialBold"/>
              </w:rPr>
              <w:t>G</w:t>
            </w:r>
          </w:p>
        </w:tc>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t>At least 2</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9E6" w:rsidP="00B069E6">
            <w:pPr>
              <w:pStyle w:val="ListBullet"/>
            </w:pPr>
            <w:r w:rsidRPr="00B069E6">
              <w:t>Meters Diaphragm meters</w:t>
            </w:r>
          </w:p>
          <w:p w:rsidR="00000000" w:rsidRPr="00B069E6" w:rsidP="00B069E6">
            <w:pPr>
              <w:pStyle w:val="ListBullet"/>
            </w:pPr>
            <w:r w:rsidRPr="00B069E6">
              <w:t>Rotary meters</w:t>
            </w:r>
          </w:p>
          <w:p w:rsidR="00000000" w:rsidRPr="00B069E6" w:rsidP="00B069E6">
            <w:pPr>
              <w:pStyle w:val="ListBullet"/>
            </w:pPr>
            <w:r w:rsidRPr="00B069E6">
              <w:t>Turbine meters</w:t>
            </w:r>
          </w:p>
          <w:p w:rsidR="00000000" w:rsidP="00B069E6">
            <w:pPr>
              <w:pStyle w:val="ListBullet"/>
              <w:rPr>
                <w:lang w:val="en-NZ"/>
              </w:rPr>
            </w:pPr>
            <w:r w:rsidRPr="00B069E6">
              <w:t>Oil changing</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4" w:space="0" w:color="auto"/>
            </w:tcBorders>
            <w:tcMar>
              <w:top w:w="0" w:type="dxa"/>
              <w:left w:w="62" w:type="dxa"/>
              <w:bottom w:w="0" w:type="dxa"/>
              <w:right w:w="62" w:type="dxa"/>
            </w:tcMar>
          </w:tcPr>
          <w:p w:rsidR="00000000" w:rsidRPr="00B069E6">
            <w:pPr>
              <w:pStyle w:val="BodyText"/>
              <w:keepNext w:val="0"/>
              <w:keepLines w:val="0"/>
              <w:contextualSpacing w:val="0"/>
            </w:pPr>
          </w:p>
        </w:tc>
        <w:tc>
          <w:tcPr>
            <w:tcW w:w="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rPr>
                <w:rStyle w:val="SpecialBold"/>
              </w:rPr>
              <w:t>H</w:t>
            </w:r>
          </w:p>
        </w:tc>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t>At least 3</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9E6" w:rsidP="00B069E6">
            <w:pPr>
              <w:pStyle w:val="BodyText"/>
            </w:pPr>
            <w:r w:rsidRPr="00B069E6">
              <w:t>Operational checks</w:t>
            </w:r>
          </w:p>
          <w:p w:rsidR="00000000" w:rsidRPr="00B069E6" w:rsidP="00B069E6">
            <w:pPr>
              <w:pStyle w:val="ListBullet"/>
            </w:pPr>
            <w:r w:rsidRPr="00B069E6">
              <w:t>Single run units</w:t>
            </w:r>
          </w:p>
          <w:p w:rsidR="00000000" w:rsidRPr="00B069E6" w:rsidP="00B069E6">
            <w:pPr>
              <w:pStyle w:val="ListBullet"/>
            </w:pPr>
            <w:r w:rsidRPr="00B069E6">
              <w:t>Dual run units</w:t>
            </w:r>
          </w:p>
          <w:p w:rsidR="00000000" w:rsidRPr="00B069E6" w:rsidP="00B069E6">
            <w:pPr>
              <w:pStyle w:val="ListBullet"/>
            </w:pPr>
            <w:r w:rsidRPr="00B069E6">
              <w:t>District regulators</w:t>
            </w:r>
          </w:p>
          <w:p w:rsidR="00000000" w:rsidP="00B069E6">
            <w:pPr>
              <w:pStyle w:val="ListBullet"/>
              <w:rPr>
                <w:lang w:val="en-NZ"/>
              </w:rPr>
            </w:pPr>
            <w:r w:rsidRPr="00B069E6">
              <w:t>Field regulators</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4" w:space="0" w:color="auto"/>
            </w:tcBorders>
            <w:tcMar>
              <w:top w:w="0" w:type="dxa"/>
              <w:left w:w="62" w:type="dxa"/>
              <w:bottom w:w="0" w:type="dxa"/>
              <w:right w:w="62" w:type="dxa"/>
            </w:tcMar>
          </w:tcPr>
          <w:p w:rsidR="00000000" w:rsidRPr="00B069E6">
            <w:pPr>
              <w:pStyle w:val="BodyText"/>
              <w:keepNext w:val="0"/>
              <w:keepLines w:val="0"/>
              <w:contextualSpacing w:val="0"/>
            </w:pPr>
          </w:p>
        </w:tc>
        <w:tc>
          <w:tcPr>
            <w:tcW w:w="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rPr>
                <w:rStyle w:val="SpecialBold"/>
              </w:rPr>
              <w:t>I</w:t>
            </w:r>
          </w:p>
        </w:tc>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t>At least 3</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9E6" w:rsidP="00B069E6">
            <w:pPr>
              <w:pStyle w:val="BodyText"/>
            </w:pPr>
            <w:r w:rsidRPr="00B069E6">
              <w:t>Pressure alterations</w:t>
            </w:r>
          </w:p>
          <w:p w:rsidR="00000000" w:rsidRPr="00B069E6" w:rsidP="00B069E6">
            <w:pPr>
              <w:pStyle w:val="ListBullet"/>
            </w:pPr>
            <w:r w:rsidRPr="00B069E6">
              <w:t>Industrial units</w:t>
            </w:r>
          </w:p>
          <w:p w:rsidR="00000000" w:rsidRPr="00B069E6" w:rsidP="00B069E6">
            <w:pPr>
              <w:pStyle w:val="ListBullet"/>
            </w:pPr>
            <w:r w:rsidRPr="00B069E6">
              <w:t>Regulator Stations</w:t>
            </w:r>
          </w:p>
          <w:p w:rsidR="00000000" w:rsidP="00B069E6">
            <w:pPr>
              <w:pStyle w:val="ListBullet"/>
              <w:rPr>
                <w:lang w:val="en-NZ"/>
              </w:rPr>
            </w:pPr>
            <w:r w:rsidRPr="00B069E6">
              <w:t>Distribution mains</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4" w:space="0" w:color="auto"/>
            </w:tcBorders>
            <w:tcMar>
              <w:top w:w="0" w:type="dxa"/>
              <w:left w:w="62" w:type="dxa"/>
              <w:bottom w:w="0" w:type="dxa"/>
              <w:right w:w="62" w:type="dxa"/>
            </w:tcMar>
          </w:tcPr>
          <w:p w:rsidR="00000000" w:rsidRPr="00B069E6">
            <w:pPr>
              <w:pStyle w:val="BodyText"/>
              <w:keepNext w:val="0"/>
              <w:keepLines w:val="0"/>
              <w:contextualSpacing w:val="0"/>
            </w:pPr>
          </w:p>
        </w:tc>
        <w:tc>
          <w:tcPr>
            <w:tcW w:w="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rPr>
                <w:rStyle w:val="SpecialBold"/>
              </w:rPr>
              <w:t>J</w:t>
            </w:r>
          </w:p>
        </w:tc>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t>At least 3</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9E6" w:rsidP="00B069E6">
            <w:pPr>
              <w:pStyle w:val="BodyText"/>
            </w:pPr>
            <w:r w:rsidRPr="00B069E6">
              <w:t>Flaring &amp; Purging</w:t>
            </w:r>
          </w:p>
          <w:p w:rsidR="00000000" w:rsidRPr="00B069E6" w:rsidP="00B069E6">
            <w:pPr>
              <w:pStyle w:val="ListBullet"/>
            </w:pPr>
            <w:r w:rsidRPr="00B069E6">
              <w:t>Industrial units</w:t>
            </w:r>
          </w:p>
          <w:p w:rsidR="00000000" w:rsidRPr="00B069E6" w:rsidP="00B069E6">
            <w:pPr>
              <w:pStyle w:val="ListBullet"/>
            </w:pPr>
            <w:r w:rsidRPr="00B069E6">
              <w:t>Regulator Stations</w:t>
            </w:r>
          </w:p>
          <w:p w:rsidR="00000000" w:rsidP="00B069E6">
            <w:pPr>
              <w:pStyle w:val="ListBullet"/>
              <w:rPr>
                <w:lang w:val="en-NZ"/>
              </w:rPr>
            </w:pPr>
            <w:r w:rsidRPr="00B069E6">
              <w:t>Distribution mains</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4" w:space="0" w:color="auto"/>
            </w:tcBorders>
            <w:tcMar>
              <w:top w:w="0" w:type="dxa"/>
              <w:left w:w="62" w:type="dxa"/>
              <w:bottom w:w="0" w:type="dxa"/>
              <w:right w:w="62" w:type="dxa"/>
            </w:tcMar>
          </w:tcPr>
          <w:p w:rsidR="00000000" w:rsidRPr="00B069E6">
            <w:pPr>
              <w:pStyle w:val="BodyText"/>
              <w:keepNext w:val="0"/>
              <w:keepLines w:val="0"/>
              <w:contextualSpacing w:val="0"/>
            </w:pPr>
          </w:p>
        </w:tc>
        <w:tc>
          <w:tcPr>
            <w:tcW w:w="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rPr>
                <w:rStyle w:val="SpecialBold"/>
              </w:rPr>
              <w:t>K</w:t>
            </w:r>
          </w:p>
        </w:tc>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t>At least 3</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9E6" w:rsidP="00B069E6">
            <w:pPr>
              <w:pStyle w:val="BodyText"/>
            </w:pPr>
            <w:r w:rsidRPr="00B069E6">
              <w:t>Overpressure protection systems - function &amp; operation</w:t>
            </w:r>
          </w:p>
          <w:p w:rsidR="00000000" w:rsidRPr="00B069E6" w:rsidP="00B069E6">
            <w:pPr>
              <w:pStyle w:val="ListBullet"/>
            </w:pPr>
            <w:r w:rsidRPr="00B069E6">
              <w:t>OPSO</w:t>
            </w:r>
          </w:p>
          <w:p w:rsidR="00000000" w:rsidRPr="00B069E6" w:rsidP="00B069E6">
            <w:pPr>
              <w:pStyle w:val="ListBullet"/>
            </w:pPr>
            <w:r w:rsidRPr="00B069E6">
              <w:t>Internal pressure relief systems</w:t>
            </w:r>
          </w:p>
          <w:p w:rsidR="00000000" w:rsidRPr="00B069E6" w:rsidP="00B069E6">
            <w:pPr>
              <w:pStyle w:val="ListBullet"/>
            </w:pPr>
            <w:r w:rsidRPr="00B069E6">
              <w:t>Pressure relief valves</w:t>
            </w:r>
          </w:p>
          <w:p w:rsidR="00000000" w:rsidRPr="00B069E6" w:rsidP="00B069E6">
            <w:pPr>
              <w:pStyle w:val="ListBullet"/>
            </w:pPr>
            <w:r w:rsidRPr="00B069E6">
              <w:t>Slam Shut systems</w:t>
            </w:r>
          </w:p>
          <w:p w:rsidR="00000000" w:rsidP="00B069E6">
            <w:pPr>
              <w:pStyle w:val="ListBullet"/>
              <w:rPr>
                <w:lang w:val="en-NZ"/>
              </w:rPr>
            </w:pPr>
            <w:r w:rsidRPr="00B069E6">
              <w:t>Valve Actuator &amp; control systems</w:t>
            </w:r>
          </w:p>
        </w:tc>
      </w:tr>
      <w:tr w:rsidTr="00B069E6">
        <w:tblPrEx>
          <w:tblW w:w="0" w:type="auto"/>
          <w:tblLayout w:type="fixed"/>
          <w:tblCellMar>
            <w:left w:w="62" w:type="dxa"/>
            <w:right w:w="62" w:type="dxa"/>
          </w:tblCellMar>
          <w:tblLook w:val="0000"/>
        </w:tblPrEx>
        <w:trPr>
          <w:trHeight w:val="3300"/>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4" w:space="0" w:color="auto"/>
            </w:tcBorders>
            <w:tcMar>
              <w:top w:w="0" w:type="dxa"/>
              <w:left w:w="62" w:type="dxa"/>
              <w:bottom w:w="0" w:type="dxa"/>
              <w:right w:w="62" w:type="dxa"/>
            </w:tcMar>
          </w:tcPr>
          <w:p w:rsidR="00000000" w:rsidRPr="00B069E6">
            <w:pPr>
              <w:pStyle w:val="BodyText"/>
              <w:keepNext w:val="0"/>
              <w:keepLines w:val="0"/>
              <w:contextualSpacing w:val="0"/>
            </w:pPr>
          </w:p>
        </w:tc>
        <w:tc>
          <w:tcPr>
            <w:tcW w:w="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rPr>
                <w:rStyle w:val="SpecialBold"/>
              </w:rPr>
              <w:t>L</w:t>
            </w:r>
          </w:p>
        </w:tc>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9E6" w:rsidP="00B069E6">
            <w:pPr>
              <w:pStyle w:val="BodyText"/>
            </w:pPr>
            <w:r w:rsidRPr="00B069E6">
              <w:t>Paperwork:</w:t>
            </w:r>
          </w:p>
          <w:p w:rsidR="00000000" w:rsidRPr="00B069E6" w:rsidP="00B069E6">
            <w:pPr>
              <w:pStyle w:val="ListBullet"/>
            </w:pPr>
            <w:r w:rsidRPr="00B069E6">
              <w:t>Risk assessments</w:t>
            </w:r>
          </w:p>
          <w:p w:rsidR="00000000" w:rsidRPr="00B069E6" w:rsidP="00B069E6">
            <w:pPr>
              <w:pStyle w:val="ListBullet"/>
            </w:pPr>
            <w:r w:rsidRPr="00B069E6">
              <w:t>Time sheets</w:t>
            </w:r>
          </w:p>
          <w:p w:rsidR="00000000" w:rsidRPr="00B069E6" w:rsidP="00B069E6">
            <w:pPr>
              <w:pStyle w:val="ListBullet"/>
            </w:pPr>
            <w:r w:rsidRPr="00B069E6">
              <w:t>Completing work sheets</w:t>
            </w:r>
          </w:p>
          <w:p w:rsidR="00000000" w:rsidRPr="00B069E6" w:rsidP="00B069E6">
            <w:pPr>
              <w:pStyle w:val="ListBullet"/>
            </w:pPr>
            <w:r w:rsidRPr="00B069E6">
              <w:t>Notifications and work permits</w:t>
            </w:r>
          </w:p>
          <w:p w:rsidR="00000000" w:rsidRPr="00B069E6" w:rsidP="00B069E6">
            <w:pPr>
              <w:pStyle w:val="ListBullet"/>
            </w:pPr>
            <w:r w:rsidRPr="00B069E6">
              <w:t>Equipment check lists</w:t>
            </w:r>
          </w:p>
          <w:p w:rsidR="00000000" w:rsidRPr="00B069E6" w:rsidP="00B069E6">
            <w:pPr>
              <w:pStyle w:val="ListBullet"/>
            </w:pPr>
            <w:r w:rsidRPr="00B069E6">
              <w:t>Meter Bypass forms</w:t>
            </w:r>
          </w:p>
          <w:p w:rsidR="00000000" w:rsidRPr="00B069E6" w:rsidP="00B069E6">
            <w:pPr>
              <w:pStyle w:val="ListBullet"/>
            </w:pPr>
            <w:r w:rsidRPr="00B069E6">
              <w:t>Service orders</w:t>
            </w:r>
          </w:p>
          <w:p w:rsidR="00000000" w:rsidP="00B069E6">
            <w:pPr>
              <w:pStyle w:val="ListBullet"/>
              <w:rPr>
                <w:lang w:val="en-NZ"/>
              </w:rPr>
            </w:pPr>
            <w:r w:rsidRPr="00B069E6">
              <w:t>Pressure recording charts</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4" w:space="0" w:color="auto"/>
            </w:tcBorders>
            <w:tcMar>
              <w:top w:w="0" w:type="dxa"/>
              <w:left w:w="62" w:type="dxa"/>
              <w:bottom w:w="0" w:type="dxa"/>
              <w:right w:w="62" w:type="dxa"/>
            </w:tcMar>
          </w:tcPr>
          <w:p w:rsidR="00000000" w:rsidRPr="00B069E6">
            <w:pPr>
              <w:pStyle w:val="BodyText"/>
              <w:keepNext w:val="0"/>
              <w:keepLines w:val="0"/>
              <w:contextualSpacing w:val="0"/>
            </w:pPr>
          </w:p>
        </w:tc>
        <w:tc>
          <w:tcPr>
            <w:tcW w:w="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rPr>
                <w:rStyle w:val="SpecialBold"/>
              </w:rPr>
              <w:t>M</w:t>
            </w:r>
          </w:p>
        </w:tc>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9E6" w:rsidP="00B069E6">
            <w:pPr>
              <w:pStyle w:val="BodyText"/>
            </w:pPr>
            <w:r w:rsidRPr="00B069E6">
              <w:t>Regulator station heaters:</w:t>
            </w:r>
          </w:p>
          <w:p w:rsidR="00000000" w:rsidRPr="00B069E6" w:rsidP="00B069E6">
            <w:pPr>
              <w:pStyle w:val="ListBullet"/>
            </w:pPr>
            <w:r w:rsidRPr="00B069E6">
              <w:t>Heater: scheduled maintenance procedures</w:t>
            </w:r>
          </w:p>
          <w:p w:rsidR="00000000" w:rsidRPr="00B069E6" w:rsidP="00B069E6">
            <w:pPr>
              <w:pStyle w:val="ListBullet"/>
            </w:pPr>
            <w:r w:rsidRPr="00B069E6">
              <w:t>Heater: operational checks.</w:t>
            </w:r>
          </w:p>
          <w:p w:rsidR="00000000" w:rsidP="00B069E6">
            <w:pPr>
              <w:pStyle w:val="ListBullet"/>
              <w:rPr>
                <w:lang w:val="en-NZ"/>
              </w:rPr>
            </w:pPr>
            <w:r w:rsidRPr="00B069E6">
              <w:t>Water quality testing</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4" w:space="0" w:color="auto"/>
            </w:tcBorders>
            <w:tcMar>
              <w:top w:w="0" w:type="dxa"/>
              <w:left w:w="62" w:type="dxa"/>
              <w:bottom w:w="0" w:type="dxa"/>
              <w:right w:w="62" w:type="dxa"/>
            </w:tcMar>
          </w:tcPr>
          <w:p w:rsidR="00000000" w:rsidRPr="00B069E6">
            <w:pPr>
              <w:pStyle w:val="BodyText"/>
              <w:keepNext w:val="0"/>
              <w:keepLines w:val="0"/>
              <w:contextualSpacing w:val="0"/>
            </w:pPr>
          </w:p>
        </w:tc>
        <w:tc>
          <w:tcPr>
            <w:tcW w:w="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rPr>
                <w:rStyle w:val="SpecialBold"/>
              </w:rPr>
              <w:t>N</w:t>
            </w:r>
          </w:p>
        </w:tc>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9E6">
            <w:pPr>
              <w:pStyle w:val="BodyText"/>
              <w:rPr>
                <w:lang w:val="en-NZ"/>
              </w:rPr>
            </w:pPr>
            <w:r w:rsidRPr="00B069E6">
              <w:t>At least one occasion</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9E6" w:rsidP="00B069E6">
            <w:pPr>
              <w:pStyle w:val="BodyText"/>
            </w:pPr>
            <w:r w:rsidRPr="00B069E6">
              <w:t xml:space="preserve">Dealing with an unplanned event by drawing on required knowledge and skills to provide appropriate solutions incorporated in the holistic assessment with the above listed items </w:t>
            </w:r>
          </w:p>
        </w:tc>
      </w:tr>
    </w:tbl>
    <w:p w:rsidR="00000000" w:rsidRPr="00B069E6" w:rsidP="00B069E6">
      <w:pPr>
        <w:pStyle w:val="BodyText"/>
      </w:pPr>
    </w:p>
    <w:tbl>
      <w:tblPr>
        <w:tblW w:w="0" w:type="auto"/>
        <w:tblLayout w:type="fixed"/>
        <w:tblCellMar>
          <w:left w:w="62" w:type="dxa"/>
          <w:right w:w="62" w:type="dxa"/>
        </w:tblCellMar>
        <w:tblLook w:val="0000"/>
      </w:tblPr>
      <w:tblGrid>
        <w:gridCol w:w="1828"/>
        <w:gridCol w:w="6570"/>
      </w:tblGrid>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8.3)</w:t>
            </w:r>
          </w:p>
        </w:tc>
      </w:tr>
      <w:tr w:rsidTr="00B069E6">
        <w:tblPrEx>
          <w:tblW w:w="0" w:type="auto"/>
          <w:tblLayout w:type="fixed"/>
          <w:tblCellMar>
            <w:left w:w="62" w:type="dxa"/>
            <w:right w:w="62" w:type="dxa"/>
          </w:tblCellMar>
          <w:tblLook w:val="0000"/>
        </w:tblPrEx>
        <w:trPr>
          <w:trHeight w:val="873"/>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This unit should be assessed as it relates to normal work practice using procedures, information and resources typical of a workplace. This should include:</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69E6">
            <w:pPr>
              <w:pStyle w:val="ListBullet"/>
              <w:rPr>
                <w:lang w:val="en-NZ"/>
              </w:rPr>
            </w:pPr>
            <w:r w:rsidRPr="00B069E6">
              <w:t>OHS policy and work procedures and instructions.</w:t>
            </w:r>
          </w:p>
        </w:tc>
      </w:tr>
      <w:tr w:rsidTr="00B069E6">
        <w:tblPrEx>
          <w:tblW w:w="0" w:type="auto"/>
          <w:tblLayout w:type="fixed"/>
          <w:tblCellMar>
            <w:left w:w="62" w:type="dxa"/>
            <w:right w:w="62" w:type="dxa"/>
          </w:tblCellMar>
          <w:tblLook w:val="0000"/>
        </w:tblPrEx>
        <w:trPr>
          <w:trHeight w:val="722"/>
        </w:trPr>
        <w:tc>
          <w:tcPr>
            <w:tcW w:w="1828"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69E6">
            <w:pPr>
              <w:pStyle w:val="ListBullet"/>
              <w:rPr>
                <w:lang w:val="en-NZ"/>
              </w:rPr>
            </w:pPr>
            <w:r w:rsidRPr="00B069E6">
              <w:t>Suitable work environment, facilities, equipment and materials to undertake actual work as prescribed by this Competency Standard Unit.</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69E6">
            <w:pPr>
              <w:pStyle w:val="ListBullet"/>
              <w:rPr>
                <w:lang w:val="en-NZ"/>
              </w:rPr>
            </w:pPr>
            <w:r w:rsidRPr="00B069E6">
              <w:t>Appropriate environmental regulation and work practices.</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069E6">
            <w:pPr>
              <w:pStyle w:val="ListBullet"/>
              <w:rPr>
                <w:lang w:val="en-NZ"/>
              </w:rPr>
            </w:pPr>
            <w:r w:rsidRPr="00B069E6">
              <w:t>Appropriate organisational requirements.</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In addition to the resources listed above, in Context of and specific resources for assessment, evidence should show demonstrated competency in monitoring and operating complex flow control, measuring and regulating devices for gas pressure control.</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t>Assessment of this competency must also be undertaken in either an actual workplace or under a simulated work environment. Assessment must also integrate the employability skills.</w:t>
            </w:r>
          </w:p>
        </w:tc>
      </w:tr>
    </w:tbl>
    <w:p w:rsidR="00000000" w:rsidRPr="00B069E6" w:rsidP="00B069E6">
      <w:pPr>
        <w:pStyle w:val="BodyText"/>
      </w:pPr>
    </w:p>
    <w:tbl>
      <w:tblPr>
        <w:tblW w:w="0" w:type="auto"/>
        <w:tblLayout w:type="fixed"/>
        <w:tblCellMar>
          <w:left w:w="62" w:type="dxa"/>
          <w:right w:w="62" w:type="dxa"/>
        </w:tblCellMar>
        <w:tblLook w:val="0000"/>
      </w:tblPr>
      <w:tblGrid>
        <w:gridCol w:w="1828"/>
        <w:gridCol w:w="6570"/>
      </w:tblGrid>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8.4)</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This Competency Standard Unit shall be assesse</w:t>
            </w:r>
            <w:r w:rsidRPr="00B069E6">
              <w:t>d by methods given in Volume 1, Part 3 "Assessment Guidelines".</w:t>
            </w:r>
          </w:p>
        </w:tc>
      </w:tr>
      <w:tr w:rsidTr="00B069E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t>Note: Competent performance with inherent safe working practices is expected in the Industry to which this Competency Standard Unit applies. This requires that the specified required Knowled</w:t>
            </w:r>
            <w:r w:rsidRPr="00B069E6">
              <w:t>ge and Skills are assessed in a structured environment which is primarily intended for learning/assessment and incorporates all necessary equipment and facilities for learners to develop and demonstrate the required knowledge and skills described in this u</w:t>
            </w:r>
            <w:r w:rsidRPr="00B069E6">
              <w:t>nit.</w:t>
            </w:r>
          </w:p>
        </w:tc>
      </w:tr>
    </w:tbl>
    <w:p w:rsidR="00000000" w:rsidRPr="00B069E6" w:rsidP="00B069E6">
      <w:pPr>
        <w:pStyle w:val="BodyText"/>
      </w:pPr>
    </w:p>
    <w:tbl>
      <w:tblPr>
        <w:tblW w:w="0" w:type="auto"/>
        <w:tblLayout w:type="fixed"/>
        <w:tblCellMar>
          <w:left w:w="62" w:type="dxa"/>
          <w:right w:w="62" w:type="dxa"/>
        </w:tblCellMar>
        <w:tblLook w:val="0000"/>
      </w:tblPr>
      <w:tblGrid>
        <w:gridCol w:w="1805"/>
        <w:gridCol w:w="23"/>
        <w:gridCol w:w="1858"/>
        <w:gridCol w:w="4684"/>
      </w:tblGrid>
      <w:tr w:rsidTr="00B069E6">
        <w:tblPrEx>
          <w:tblW w:w="0" w:type="auto"/>
          <w:tblLayout w:type="fixed"/>
          <w:tblCellMar>
            <w:left w:w="62" w:type="dxa"/>
            <w:right w:w="62" w:type="dxa"/>
          </w:tblCellMar>
          <w:tblLook w:val="0000"/>
        </w:tblPrEx>
        <w:tc>
          <w:tcPr>
            <w:tcW w:w="1828" w:type="dxa"/>
            <w:gridSpan w:val="2"/>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Concurrent assessment and relationship with other units</w:t>
            </w:r>
          </w:p>
        </w:tc>
        <w:tc>
          <w:tcPr>
            <w:tcW w:w="6542" w:type="dxa"/>
            <w:gridSpan w:val="2"/>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8.5)</w:t>
            </w:r>
          </w:p>
        </w:tc>
      </w:tr>
      <w:tr w:rsidTr="00B069E6">
        <w:tblPrEx>
          <w:tblW w:w="0" w:type="auto"/>
          <w:tblLayout w:type="fixed"/>
          <w:tblCellMar>
            <w:left w:w="62" w:type="dxa"/>
            <w:right w:w="62" w:type="dxa"/>
          </w:tblCellMar>
          <w:tblLook w:val="0000"/>
        </w:tblPrEx>
        <w:tc>
          <w:tcPr>
            <w:tcW w:w="182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gridSpan w:val="2"/>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 xml:space="preserve">There are no recommended concurrent assessments with this unit, however in some cases efficiencies may be gained in terms of learning and assessment </w:t>
            </w:r>
            <w:r w:rsidRPr="00B069E6">
              <w:t>effort being concurrently managed with allied competency standard units where listed.</w:t>
            </w:r>
          </w:p>
        </w:tc>
      </w:tr>
      <w:tr w:rsidTr="00B069E6">
        <w:tblPrEx>
          <w:tblW w:w="0" w:type="auto"/>
          <w:tblLayout w:type="fixed"/>
          <w:tblCellMar>
            <w:left w:w="62" w:type="dxa"/>
            <w:right w:w="62" w:type="dxa"/>
          </w:tblCellMar>
          <w:tblLook w:val="0000"/>
        </w:tblPrEx>
        <w:tc>
          <w:tcPr>
            <w:tcW w:w="182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UEGNSG132A</w:t>
            </w:r>
          </w:p>
        </w:tc>
        <w:tc>
          <w:tcPr>
            <w:tcW w:w="4684"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Carry out basic work activities in a gas industry work environment</w:t>
            </w:r>
          </w:p>
        </w:tc>
      </w:tr>
      <w:tr w:rsidTr="00B069E6">
        <w:tblPrEx>
          <w:tblW w:w="0" w:type="auto"/>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1" w:type="dxa"/>
            <w:gridSpan w:val="2"/>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UEGNSG141A</w:t>
            </w:r>
          </w:p>
        </w:tc>
        <w:tc>
          <w:tcPr>
            <w:tcW w:w="4684"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Apply Occupational Health and Safety regulations, codes and practices in the</w:t>
            </w:r>
            <w:r w:rsidRPr="00B069E6">
              <w:t xml:space="preserve"> gas supply industry</w:t>
            </w:r>
          </w:p>
        </w:tc>
      </w:tr>
      <w:tr w:rsidTr="00B069E6">
        <w:tblPrEx>
          <w:tblW w:w="0" w:type="auto"/>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1" w:type="dxa"/>
            <w:gridSpan w:val="2"/>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UEGNSG140A</w:t>
            </w:r>
          </w:p>
        </w:tc>
        <w:tc>
          <w:tcPr>
            <w:tcW w:w="4684"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Comply with environmental policies and procedures in the utilities industry</w:t>
            </w:r>
          </w:p>
        </w:tc>
      </w:tr>
      <w:tr w:rsidTr="00B069E6">
        <w:tblPrEx>
          <w:tblW w:w="0" w:type="auto"/>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1" w:type="dxa"/>
            <w:gridSpan w:val="2"/>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UEGNSG134A</w:t>
            </w:r>
          </w:p>
        </w:tc>
        <w:tc>
          <w:tcPr>
            <w:tcW w:w="4684"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Establish a utilities infrastructure work site</w:t>
            </w:r>
          </w:p>
        </w:tc>
      </w:tr>
      <w:tr w:rsidTr="00B069E6">
        <w:tblPrEx>
          <w:tblW w:w="0" w:type="auto"/>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1" w:type="dxa"/>
            <w:gridSpan w:val="2"/>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BSBFLM312B</w:t>
            </w:r>
          </w:p>
        </w:tc>
        <w:tc>
          <w:tcPr>
            <w:tcW w:w="4684"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Contribute to team effectiveness</w:t>
            </w:r>
          </w:p>
        </w:tc>
      </w:tr>
      <w:tr w:rsidTr="00B069E6">
        <w:tblPrEx>
          <w:tblW w:w="0" w:type="auto"/>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1" w:type="dxa"/>
            <w:gridSpan w:val="2"/>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t>BSBFLM303C</w:t>
            </w:r>
          </w:p>
        </w:tc>
        <w:tc>
          <w:tcPr>
            <w:tcW w:w="4684"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t>Contribute to effective workplace relationships</w:t>
            </w:r>
          </w:p>
        </w:tc>
      </w:tr>
    </w:tbl>
    <w:p w:rsidR="001E15CE" w:rsidP="00B069E6">
      <w:pPr>
        <w:pStyle w:val="BodyText"/>
      </w:pPr>
      <w:r w:rsidRPr="00B069E6">
        <w:tab/>
      </w:r>
    </w:p>
    <w:p w:rsidR="001E15CE" w:rsidP="00B069E6">
      <w:pPr>
        <w:pStyle w:val="BodyText"/>
      </w:pPr>
    </w:p>
    <w:p w:rsidR="00000000" w:rsidRPr="00B069E6" w:rsidP="00B069E6">
      <w:pPr>
        <w:pStyle w:val="Heading1"/>
      </w:pPr>
      <w:bookmarkStart w:id="11" w:name="O_624048"/>
      <w:bookmarkEnd w:id="11"/>
      <w:r w:rsidRPr="00B069E6">
        <w:t>Range Statement</w:t>
      </w:r>
    </w:p>
    <w:tbl>
      <w:tblPr>
        <w:tblW w:w="0" w:type="auto"/>
        <w:tblLayout w:type="fixed"/>
        <w:tblCellMar>
          <w:left w:w="62" w:type="dxa"/>
          <w:right w:w="62" w:type="dxa"/>
        </w:tblCellMar>
        <w:tblLook w:val="0000"/>
      </w:tblPr>
      <w:tblGrid>
        <w:gridCol w:w="8398"/>
      </w:tblGrid>
      <w:tr w:rsidTr="00B069E6">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RANGE STATEMENT</w:t>
            </w:r>
          </w:p>
        </w:tc>
      </w:tr>
      <w:tr w:rsidTr="00B069E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 xml:space="preserve">9) </w:t>
            </w:r>
            <w:r w:rsidRPr="00B069E6">
              <w:rPr>
                <w:rStyle w:val="Emphasis"/>
              </w:rPr>
              <w:t xml:space="preserve">This relates to the competency standard unit as a whole providing the range of contexts </w:t>
            </w:r>
            <w:r w:rsidRPr="00B069E6">
              <w:rPr>
                <w:rStyle w:val="Emphasis"/>
              </w:rPr>
              <w:t xml:space="preserve">and conditions </w:t>
            </w:r>
            <w:r w:rsidRPr="00B069E6">
              <w:rPr>
                <w:rStyle w:val="Emphasis"/>
              </w:rPr>
              <w:t>to which the Performance Criteria apply. It allows for different work environments and situations that will affect performance.</w:t>
            </w:r>
          </w:p>
        </w:tc>
      </w:tr>
      <w:tr w:rsidTr="00B069E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t>This Competency Standard Unit shall be demonstrated in relation to the monitoring and operating of complex flow control, measur</w:t>
            </w:r>
            <w:r w:rsidRPr="00B069E6">
              <w:t>ing and regulating devices for gas pressure and flow control in:</w:t>
            </w:r>
          </w:p>
          <w:p w:rsidR="00000000" w:rsidRPr="00B069E6" w:rsidP="00B069E6">
            <w:pPr>
              <w:pStyle w:val="ListBullet"/>
            </w:pPr>
            <w:r w:rsidRPr="00B069E6">
              <w:t>Custody transfer stations</w:t>
            </w:r>
          </w:p>
          <w:p w:rsidR="00000000" w:rsidRPr="00B069E6" w:rsidP="00B069E6">
            <w:pPr>
              <w:pStyle w:val="ListBullet"/>
            </w:pPr>
            <w:r w:rsidRPr="00B069E6">
              <w:t>Inlets and city gates</w:t>
            </w:r>
          </w:p>
          <w:p w:rsidR="00000000" w:rsidRPr="00B069E6" w:rsidP="00B069E6">
            <w:pPr>
              <w:pStyle w:val="ListBullet"/>
            </w:pPr>
            <w:r w:rsidRPr="00B069E6">
              <w:t>Scraper stations</w:t>
            </w:r>
          </w:p>
          <w:p w:rsidR="00000000" w:rsidRPr="00B069E6" w:rsidP="00B069E6">
            <w:pPr>
              <w:pStyle w:val="ListBullet"/>
            </w:pPr>
            <w:r w:rsidRPr="00B069E6">
              <w:t>Gas storage facilities</w:t>
            </w:r>
          </w:p>
          <w:p w:rsidR="00000000" w:rsidRPr="00B069E6" w:rsidP="00B069E6">
            <w:pPr>
              <w:pStyle w:val="ListBullet"/>
            </w:pPr>
            <w:r w:rsidRPr="00B069E6">
              <w:t>Main Line Valves</w:t>
            </w:r>
          </w:p>
          <w:p w:rsidR="00000000" w:rsidRPr="00B069E6" w:rsidP="00B069E6">
            <w:pPr>
              <w:pStyle w:val="BodyText"/>
            </w:pPr>
          </w:p>
          <w:p w:rsidR="00000000" w:rsidRPr="00B069E6" w:rsidP="00B069E6">
            <w:pPr>
              <w:pStyle w:val="BodyText"/>
            </w:pPr>
            <w:r w:rsidRPr="00B069E6">
              <w:t>The following constants and variables included in the element/Performance Criteria in this unit are fully described in the Definitions Section of this volume and form an integral part of the Range Statement of this unit:</w:t>
            </w:r>
          </w:p>
          <w:p w:rsidR="00000000" w:rsidRPr="00B069E6" w:rsidP="00B069E6">
            <w:pPr>
              <w:pStyle w:val="ListBullet"/>
            </w:pPr>
            <w:r w:rsidRPr="00B069E6">
              <w:t>Inspecting and controlling</w:t>
            </w:r>
          </w:p>
          <w:p w:rsidR="00000000" w:rsidRPr="00B069E6" w:rsidP="00B069E6">
            <w:pPr>
              <w:pStyle w:val="ListBullet"/>
            </w:pPr>
            <w:r w:rsidRPr="00B069E6">
              <w:t>Regulat</w:t>
            </w:r>
            <w:r w:rsidRPr="00B069E6">
              <w:t>ion of flow and pressure</w:t>
            </w:r>
          </w:p>
          <w:p w:rsidR="00000000" w:rsidRPr="00B069E6" w:rsidP="00B069E6">
            <w:pPr>
              <w:pStyle w:val="ListBullet"/>
            </w:pPr>
            <w:r w:rsidRPr="00B069E6">
              <w:t>Measuring</w:t>
            </w:r>
          </w:p>
          <w:p w:rsidR="00000000" w:rsidRPr="00B069E6" w:rsidP="00B069E6">
            <w:pPr>
              <w:pStyle w:val="ListBullet"/>
            </w:pPr>
            <w:r w:rsidRPr="00B069E6">
              <w:t>Recording and reporting</w:t>
            </w:r>
          </w:p>
          <w:p w:rsidR="00000000" w:rsidRPr="00B069E6" w:rsidP="00B069E6">
            <w:pPr>
              <w:pStyle w:val="ListBullet"/>
            </w:pPr>
            <w:r w:rsidRPr="00B069E6">
              <w:t>Regulation of flow and regulation devices</w:t>
            </w:r>
          </w:p>
          <w:p w:rsidR="00000000" w:rsidRPr="00B069E6" w:rsidP="00B069E6">
            <w:pPr>
              <w:pStyle w:val="ListBullet"/>
            </w:pPr>
            <w:r w:rsidRPr="00B069E6">
              <w:t>Regulation of the system</w:t>
            </w:r>
          </w:p>
          <w:p w:rsidR="00000000" w:rsidRPr="00B069E6" w:rsidP="00B069E6">
            <w:pPr>
              <w:pStyle w:val="ListBullet"/>
            </w:pPr>
            <w:r w:rsidRPr="00B069E6">
              <w:t>Equipment</w:t>
            </w:r>
          </w:p>
          <w:p w:rsidR="00000000" w:rsidRPr="00B069E6" w:rsidP="00B069E6">
            <w:pPr>
              <w:pStyle w:val="ListBullet"/>
            </w:pPr>
            <w:r w:rsidRPr="00B069E6">
              <w:t>Organisational and statutory requirements</w:t>
            </w:r>
          </w:p>
        </w:tc>
      </w:tr>
    </w:tbl>
    <w:p w:rsidR="00000000" w:rsidRPr="00B069E6" w:rsidP="00B069E6">
      <w:pPr>
        <w:pStyle w:val="BodyText"/>
      </w:pPr>
    </w:p>
    <w:p w:rsidR="00000000" w:rsidRPr="00B069E6" w:rsidP="00B069E6">
      <w:pPr>
        <w:pStyle w:val="AllowPageBreak"/>
      </w:pPr>
    </w:p>
    <w:p w:rsidR="00000000" w:rsidRPr="00B069E6" w:rsidP="00B069E6">
      <w:pPr>
        <w:pStyle w:val="Heading1"/>
      </w:pPr>
      <w:bookmarkStart w:id="12" w:name="O_624049"/>
      <w:bookmarkEnd w:id="12"/>
      <w:r w:rsidRPr="00B069E6">
        <w:t>Unit Sector(s)</w:t>
      </w:r>
    </w:p>
    <w:p w:rsidR="001E15CE" w:rsidP="00B069E6">
      <w:pPr>
        <w:pStyle w:val="BodyText"/>
      </w:pPr>
      <w:r w:rsidRPr="00B069E6">
        <w:t>Gas supply industry</w:t>
      </w:r>
    </w:p>
    <w:p w:rsidR="001E15CE" w:rsidP="00B069E6">
      <w:pPr>
        <w:pStyle w:val="BodyText"/>
      </w:pPr>
    </w:p>
    <w:p w:rsidR="00000000" w:rsidRPr="00B069E6" w:rsidP="00B069E6">
      <w:pPr>
        <w:pStyle w:val="Heading1"/>
      </w:pPr>
      <w:bookmarkStart w:id="13" w:name="O_624050"/>
      <w:bookmarkEnd w:id="13"/>
      <w:r w:rsidRPr="00B069E6">
        <w:t>Competency Field</w:t>
      </w:r>
    </w:p>
    <w:tbl>
      <w:tblPr>
        <w:tblW w:w="0" w:type="auto"/>
        <w:tblLayout w:type="fixed"/>
        <w:tblCellMar>
          <w:left w:w="62" w:type="dxa"/>
          <w:right w:w="62" w:type="dxa"/>
        </w:tblCellMar>
        <w:tblLook w:val="0000"/>
      </w:tblPr>
      <w:tblGrid>
        <w:gridCol w:w="2638"/>
        <w:gridCol w:w="5760"/>
      </w:tblGrid>
      <w:tr w:rsidTr="00B069E6">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069E6">
            <w:pPr>
              <w:pStyle w:val="BodyText"/>
              <w:rPr>
                <w:lang w:val="en-NZ"/>
              </w:rPr>
            </w:pPr>
            <w:r w:rsidRPr="00B069E6">
              <w:rPr>
                <w:rStyle w:val="SpecialBold"/>
              </w:rPr>
              <w:t xml:space="preserve">11) </w:t>
            </w:r>
          </w:p>
        </w:tc>
      </w:tr>
      <w:tr w:rsidTr="00B069E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69E6" w:rsidP="00B069E6">
            <w:pPr>
              <w:pStyle w:val="BodyText"/>
            </w:pPr>
            <w:r w:rsidRPr="00B069E6">
              <w:t>Systems operations</w:t>
            </w:r>
          </w:p>
        </w:tc>
      </w:tr>
    </w:tbl>
    <w:p w:rsidR="001E15CE" w:rsidP="00B069E6">
      <w:pPr>
        <w:pStyle w:val="BodyText"/>
      </w:pPr>
    </w:p>
    <w:p w:rsidR="001E15CE" w:rsidP="00B069E6">
      <w:pPr>
        <w:pStyle w:val="BodyText"/>
      </w:pPr>
    </w:p>
    <w:p w:rsidR="00000000" w:rsidRPr="00B069E6" w:rsidP="00B069E6"/>
    <w:sectPr w:rsidSect="00B069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E6" w:rsidRPr="001E15CE" w:rsidP="001E15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5CE" w:rsidP="00B069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1E15CE" w:rsidP="00B069E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1E15CE" w:rsidP="00B069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E6" w:rsidRPr="001E15CE" w:rsidP="001E15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5CE" w:rsidRPr="002D2AF8" w:rsidP="00B069E6">
    <w:pPr>
      <w:pStyle w:val="Header"/>
      <w:framePr w:wrap="around"/>
    </w:pPr>
    <w:r>
      <w:fldChar w:fldCharType="begin"/>
    </w:r>
    <w:r>
      <w:instrText xml:space="preserve"> TITLE   \* MERGEFORMAT </w:instrText>
    </w:r>
    <w:r>
      <w:fldChar w:fldCharType="separate"/>
    </w:r>
    <w:r>
      <w:t>UEGNSG811A Monitor and operate complex flow control, measuring and regulating devices for gas distribution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1E15CE" w:rsidP="00B069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94B0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80E0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3ACE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9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9E6"/>
    <w:pPr>
      <w:spacing w:before="360" w:after="60"/>
      <w:outlineLvl w:val="0"/>
    </w:pPr>
    <w:rPr>
      <w:sz w:val="32"/>
    </w:rPr>
  </w:style>
  <w:style w:type="paragraph" w:styleId="Heading2">
    <w:name w:val="heading 2"/>
    <w:basedOn w:val="HeadingBase"/>
    <w:next w:val="BodyText"/>
    <w:link w:val="Heading2Char"/>
    <w:qFormat/>
    <w:rsid w:val="00B069E6"/>
    <w:pPr>
      <w:keepLines/>
      <w:spacing w:before="240" w:after="120"/>
      <w:outlineLvl w:val="1"/>
    </w:pPr>
    <w:rPr>
      <w:sz w:val="28"/>
      <w:szCs w:val="40"/>
    </w:rPr>
  </w:style>
  <w:style w:type="paragraph" w:styleId="Heading3">
    <w:name w:val="heading 3"/>
    <w:basedOn w:val="HeadingBase"/>
    <w:next w:val="BodyText"/>
    <w:link w:val="Heading3Char"/>
    <w:qFormat/>
    <w:rsid w:val="00B069E6"/>
    <w:pPr>
      <w:spacing w:before="180" w:after="120"/>
      <w:outlineLvl w:val="2"/>
    </w:pPr>
    <w:rPr>
      <w:spacing w:val="-10"/>
      <w:kern w:val="32"/>
    </w:rPr>
  </w:style>
  <w:style w:type="paragraph" w:styleId="Heading4">
    <w:name w:val="heading 4"/>
    <w:basedOn w:val="HeadingBase"/>
    <w:next w:val="BodyText"/>
    <w:link w:val="Heading4Char"/>
    <w:qFormat/>
    <w:rsid w:val="00B069E6"/>
    <w:pPr>
      <w:spacing w:before="160" w:after="120"/>
      <w:outlineLvl w:val="3"/>
    </w:pPr>
    <w:rPr>
      <w:sz w:val="22"/>
    </w:rPr>
  </w:style>
  <w:style w:type="paragraph" w:styleId="Heading5">
    <w:name w:val="heading 5"/>
    <w:basedOn w:val="HeadingBase"/>
    <w:next w:val="Normal"/>
    <w:link w:val="Heading5Char"/>
    <w:qFormat/>
    <w:rsid w:val="00B069E6"/>
    <w:pPr>
      <w:spacing w:before="80"/>
      <w:outlineLvl w:val="4"/>
    </w:pPr>
    <w:rPr>
      <w:color w:val="918585"/>
      <w:sz w:val="20"/>
    </w:rPr>
  </w:style>
  <w:style w:type="paragraph" w:styleId="Heading6">
    <w:name w:val="heading 6"/>
    <w:basedOn w:val="HeadingBase"/>
    <w:next w:val="Normal"/>
    <w:link w:val="Heading6Char"/>
    <w:qFormat/>
    <w:rsid w:val="00B069E6"/>
    <w:pPr>
      <w:spacing w:before="60"/>
      <w:outlineLvl w:val="5"/>
    </w:pPr>
    <w:rPr>
      <w:color w:val="918585"/>
      <w:sz w:val="20"/>
    </w:rPr>
  </w:style>
  <w:style w:type="paragraph" w:styleId="Heading7">
    <w:name w:val="heading 7"/>
    <w:basedOn w:val="Normal"/>
    <w:next w:val="Normal"/>
    <w:link w:val="Heading7Char"/>
    <w:qFormat/>
    <w:rsid w:val="00B069E6"/>
    <w:pPr>
      <w:ind w:left="720"/>
      <w:outlineLvl w:val="6"/>
    </w:pPr>
    <w:rPr>
      <w:i/>
    </w:rPr>
  </w:style>
  <w:style w:type="paragraph" w:styleId="Heading8">
    <w:name w:val="heading 8"/>
    <w:basedOn w:val="Normal"/>
    <w:next w:val="Normal"/>
    <w:link w:val="Heading8Char"/>
    <w:qFormat/>
    <w:rsid w:val="00B069E6"/>
    <w:pPr>
      <w:ind w:left="720"/>
      <w:outlineLvl w:val="7"/>
    </w:pPr>
    <w:rPr>
      <w:i/>
    </w:rPr>
  </w:style>
  <w:style w:type="paragraph" w:styleId="Heading9">
    <w:name w:val="heading 9"/>
    <w:basedOn w:val="Normal"/>
    <w:next w:val="Normal"/>
    <w:link w:val="Heading9Char"/>
    <w:qFormat/>
    <w:rsid w:val="00B069E6"/>
    <w:pPr>
      <w:ind w:left="720"/>
      <w:outlineLvl w:val="8"/>
    </w:pPr>
    <w:rPr>
      <w:i/>
    </w:rPr>
  </w:style>
  <w:style w:type="character" w:default="1" w:styleId="DefaultParagraphFont">
    <w:name w:val="Default Paragraph Font"/>
    <w:uiPriority w:val="1"/>
    <w:unhideWhenUsed/>
    <w:rsid w:val="00B069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9E6"/>
  </w:style>
  <w:style w:type="character" w:customStyle="1" w:styleId="Heading1Char">
    <w:name w:val="Heading 1 Char"/>
    <w:basedOn w:val="DefaultParagraphFont"/>
    <w:link w:val="Heading1"/>
    <w:rsid w:val="00B069E6"/>
    <w:rPr>
      <w:rFonts w:ascii="Times New Roman" w:eastAsia="Times New Roman" w:hAnsi="Times New Roman" w:cs="Times New Roman"/>
      <w:b/>
      <w:sz w:val="32"/>
      <w:szCs w:val="20"/>
      <w:lang w:eastAsia="en-US"/>
    </w:rPr>
  </w:style>
  <w:style w:type="paragraph" w:styleId="BodyText">
    <w:name w:val="Body Text"/>
    <w:basedOn w:val="Normal"/>
    <w:link w:val="BodyTextChar"/>
    <w:rsid w:val="00B069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69E6"/>
    <w:rPr>
      <w:rFonts w:ascii="Times New Roman" w:eastAsia="Times New Roman" w:hAnsi="Times New Roman" w:cs="Times New Roman"/>
      <w:sz w:val="24"/>
      <w:lang w:eastAsia="en-US"/>
    </w:rPr>
  </w:style>
  <w:style w:type="paragraph" w:styleId="ListBullet">
    <w:name w:val="List Bullet"/>
    <w:basedOn w:val="List"/>
    <w:rsid w:val="00B069E6"/>
    <w:pPr>
      <w:numPr>
        <w:numId w:val="13"/>
      </w:numPr>
      <w:tabs>
        <w:tab w:val="clear" w:pos="340"/>
      </w:tabs>
      <w:spacing w:before="40" w:after="40"/>
    </w:pPr>
  </w:style>
  <w:style w:type="character" w:customStyle="1" w:styleId="SpecialBold">
    <w:name w:val="Special Bold"/>
    <w:basedOn w:val="DefaultParagraphFont"/>
    <w:rsid w:val="00B069E6"/>
    <w:rPr>
      <w:b/>
      <w:spacing w:val="0"/>
    </w:rPr>
  </w:style>
  <w:style w:type="paragraph" w:styleId="ListBullet2">
    <w:name w:val="List Bullet 2"/>
    <w:basedOn w:val="List2"/>
    <w:rsid w:val="00B069E6"/>
    <w:pPr>
      <w:numPr>
        <w:numId w:val="14"/>
      </w:numPr>
      <w:tabs>
        <w:tab w:val="clear" w:pos="680"/>
      </w:tabs>
    </w:pPr>
  </w:style>
  <w:style w:type="character" w:styleId="Emphasis">
    <w:name w:val="Emphasis"/>
    <w:basedOn w:val="DefaultParagraphFont"/>
    <w:qFormat/>
    <w:rsid w:val="00B069E6"/>
    <w:rPr>
      <w:i/>
    </w:rPr>
  </w:style>
  <w:style w:type="paragraph" w:customStyle="1" w:styleId="SuperHeading">
    <w:name w:val="SuperHeading"/>
    <w:basedOn w:val="Normal"/>
    <w:rsid w:val="00B069E6"/>
    <w:pPr>
      <w:spacing w:before="240" w:after="120"/>
      <w:outlineLvl w:val="0"/>
    </w:pPr>
    <w:rPr>
      <w:rFonts w:ascii="Times New Roman" w:hAnsi="Times New Roman"/>
      <w:b/>
      <w:sz w:val="32"/>
    </w:rPr>
  </w:style>
  <w:style w:type="paragraph" w:customStyle="1" w:styleId="AllowPageBreak">
    <w:name w:val="AllowPageBreak"/>
    <w:rsid w:val="00B069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69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9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9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9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9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9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9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9E6"/>
    <w:rPr>
      <w:rFonts w:ascii="Courier New" w:eastAsia="Times New Roman" w:hAnsi="Courier New" w:cs="Times New Roman"/>
      <w:i/>
      <w:szCs w:val="20"/>
      <w:lang w:eastAsia="en-US"/>
    </w:rPr>
  </w:style>
  <w:style w:type="paragraph" w:customStyle="1" w:styleId="HeadingBase">
    <w:name w:val="Heading Base"/>
    <w:rsid w:val="00B069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9E6"/>
    <w:pPr>
      <w:tabs>
        <w:tab w:val="right" w:leader="dot" w:pos="9072"/>
      </w:tabs>
      <w:ind w:left="567"/>
    </w:pPr>
    <w:rPr>
      <w:szCs w:val="22"/>
    </w:rPr>
  </w:style>
  <w:style w:type="paragraph" w:customStyle="1" w:styleId="TOCBase">
    <w:name w:val="TOC Base"/>
    <w:rsid w:val="00B069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9E6"/>
    <w:pPr>
      <w:tabs>
        <w:tab w:val="right" w:leader="dot" w:pos="9072"/>
      </w:tabs>
      <w:spacing w:before="40" w:after="40"/>
      <w:ind w:left="284"/>
    </w:pPr>
    <w:rPr>
      <w:rFonts w:ascii="Times New Roman" w:hAnsi="Times New Roman"/>
    </w:rPr>
  </w:style>
  <w:style w:type="paragraph" w:styleId="TOC1">
    <w:name w:val="toc 1"/>
    <w:basedOn w:val="TOCBase"/>
    <w:next w:val="Normal"/>
    <w:rsid w:val="00B069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9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9E6"/>
    <w:rPr>
      <w:rFonts w:ascii="Times New Roman" w:eastAsia="Times New Roman" w:hAnsi="Times New Roman" w:cs="Times New Roman"/>
      <w:sz w:val="16"/>
      <w:lang w:eastAsia="en-US"/>
    </w:rPr>
  </w:style>
  <w:style w:type="paragraph" w:styleId="Title">
    <w:name w:val="Title"/>
    <w:basedOn w:val="HeadingBase"/>
    <w:link w:val="TitleChar"/>
    <w:qFormat/>
    <w:rsid w:val="00B069E6"/>
    <w:pPr>
      <w:spacing w:before="5040"/>
      <w:jc w:val="center"/>
    </w:pPr>
    <w:rPr>
      <w:sz w:val="48"/>
      <w:szCs w:val="72"/>
      <w:lang w:val="en-US"/>
    </w:rPr>
  </w:style>
  <w:style w:type="character" w:customStyle="1" w:styleId="TitleChar">
    <w:name w:val="Title Char"/>
    <w:basedOn w:val="DefaultParagraphFont"/>
    <w:link w:val="Title"/>
    <w:rsid w:val="00B069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9E6"/>
    <w:pPr>
      <w:tabs>
        <w:tab w:val="left" w:pos="3600"/>
        <w:tab w:val="left" w:pos="3958"/>
      </w:tabs>
    </w:pPr>
  </w:style>
  <w:style w:type="paragraph" w:styleId="List">
    <w:name w:val="List"/>
    <w:basedOn w:val="BodyText"/>
    <w:next w:val="BodyText"/>
    <w:rsid w:val="00B069E6"/>
    <w:pPr>
      <w:tabs>
        <w:tab w:val="left" w:pos="340"/>
      </w:tabs>
      <w:spacing w:before="60" w:after="60"/>
      <w:ind w:left="340" w:hanging="340"/>
    </w:pPr>
  </w:style>
  <w:style w:type="paragraph" w:customStyle="1" w:styleId="Note">
    <w:name w:val="Note"/>
    <w:basedOn w:val="BodyText"/>
    <w:rsid w:val="00B069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9E6"/>
    <w:pPr>
      <w:framePr w:wrap="auto" w:hAnchor="text" w:y="6049"/>
    </w:pPr>
    <w:rPr>
      <w:color w:val="000000"/>
      <w:sz w:val="40"/>
    </w:rPr>
  </w:style>
  <w:style w:type="paragraph" w:customStyle="1" w:styleId="TOCTitle">
    <w:name w:val="TOCTitle"/>
    <w:basedOn w:val="Heading1"/>
    <w:rsid w:val="00B069E6"/>
    <w:pPr>
      <w:spacing w:after="240"/>
      <w:jc w:val="center"/>
      <w:outlineLvl w:val="9"/>
    </w:pPr>
    <w:rPr>
      <w:caps/>
    </w:rPr>
  </w:style>
  <w:style w:type="paragraph" w:customStyle="1" w:styleId="Version">
    <w:name w:val="Version"/>
    <w:rsid w:val="00B069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9E6"/>
    <w:pPr>
      <w:keepNext w:val="0"/>
      <w:tabs>
        <w:tab w:val="right" w:pos="4176"/>
      </w:tabs>
      <w:ind w:left="198" w:hanging="198"/>
    </w:pPr>
    <w:rPr>
      <w:rFonts w:ascii="Garamond" w:hAnsi="Garamond"/>
    </w:rPr>
  </w:style>
  <w:style w:type="paragraph" w:styleId="IndexHeading">
    <w:name w:val="index heading"/>
    <w:basedOn w:val="Normal"/>
    <w:next w:val="Index1"/>
    <w:semiHidden/>
    <w:rsid w:val="00B069E6"/>
    <w:pPr>
      <w:spacing w:before="120" w:after="120"/>
    </w:pPr>
    <w:rPr>
      <w:rFonts w:ascii="Arial" w:hAnsi="Arial"/>
      <w:b/>
      <w:color w:val="918585"/>
      <w:sz w:val="24"/>
    </w:rPr>
  </w:style>
  <w:style w:type="paragraph" w:styleId="Header">
    <w:name w:val="header"/>
    <w:basedOn w:val="Normal"/>
    <w:link w:val="HeaderChar"/>
    <w:rsid w:val="00B069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9E6"/>
    <w:rPr>
      <w:rFonts w:ascii="Times New Roman" w:eastAsia="Times New Roman" w:hAnsi="Times New Roman" w:cs="Times New Roman"/>
      <w:sz w:val="16"/>
      <w:szCs w:val="20"/>
      <w:lang w:val="en-GB" w:eastAsia="en-US"/>
    </w:rPr>
  </w:style>
  <w:style w:type="paragraph" w:customStyle="1" w:styleId="Chapter">
    <w:name w:val="Chapter"/>
    <w:basedOn w:val="Normal"/>
    <w:rsid w:val="00B069E6"/>
    <w:pPr>
      <w:spacing w:before="240"/>
    </w:pPr>
    <w:rPr>
      <w:rFonts w:ascii="Times New Roman" w:hAnsi="Times New Roman"/>
      <w:smallCaps/>
      <w:spacing w:val="80"/>
      <w:sz w:val="28"/>
    </w:rPr>
  </w:style>
  <w:style w:type="paragraph" w:customStyle="1" w:styleId="InChapter">
    <w:name w:val="InChapter"/>
    <w:basedOn w:val="Heading3"/>
    <w:rsid w:val="00B069E6"/>
    <w:pPr>
      <w:spacing w:after="240"/>
      <w:outlineLvl w:val="9"/>
    </w:pPr>
    <w:rPr>
      <w:noProof/>
    </w:rPr>
  </w:style>
  <w:style w:type="paragraph" w:styleId="Index2">
    <w:name w:val="index 2"/>
    <w:basedOn w:val="Normal"/>
    <w:next w:val="Normal"/>
    <w:semiHidden/>
    <w:rsid w:val="00B069E6"/>
    <w:pPr>
      <w:tabs>
        <w:tab w:val="right" w:pos="4176"/>
      </w:tabs>
      <w:ind w:left="568" w:hanging="284"/>
    </w:pPr>
    <w:rPr>
      <w:rFonts w:ascii="Garamond" w:hAnsi="Garamond"/>
    </w:rPr>
  </w:style>
  <w:style w:type="paragraph" w:customStyle="1" w:styleId="Byline">
    <w:name w:val="Byline"/>
    <w:rsid w:val="00B069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9E6"/>
    <w:pPr>
      <w:tabs>
        <w:tab w:val="clear" w:pos="3600"/>
        <w:tab w:val="clear" w:pos="3958"/>
      </w:tabs>
      <w:jc w:val="right"/>
    </w:pPr>
  </w:style>
  <w:style w:type="paragraph" w:styleId="Caption">
    <w:name w:val="caption"/>
    <w:basedOn w:val="BodyText"/>
    <w:next w:val="Normal"/>
    <w:qFormat/>
    <w:rsid w:val="00B069E6"/>
    <w:pPr>
      <w:framePr w:w="2268" w:hSpace="181" w:vSpace="181" w:wrap="around" w:vAnchor="text" w:hAnchor="page" w:x="1135" w:y="285" w:anchorLock="1"/>
    </w:pPr>
    <w:rPr>
      <w:i/>
    </w:rPr>
  </w:style>
  <w:style w:type="paragraph" w:customStyle="1" w:styleId="MiniTOCTitle">
    <w:name w:val="MiniTOCTitle"/>
    <w:basedOn w:val="Heading4"/>
    <w:rsid w:val="00B069E6"/>
    <w:pPr>
      <w:spacing w:before="240"/>
      <w:outlineLvl w:val="9"/>
    </w:pPr>
    <w:rPr>
      <w:noProof/>
      <w:sz w:val="24"/>
    </w:rPr>
  </w:style>
  <w:style w:type="paragraph" w:customStyle="1" w:styleId="MiniTOCItem">
    <w:name w:val="MiniTOCItem"/>
    <w:basedOn w:val="ListBullet"/>
    <w:rsid w:val="00B069E6"/>
    <w:pPr>
      <w:numPr>
        <w:numId w:val="0"/>
      </w:numPr>
      <w:tabs>
        <w:tab w:val="right" w:leader="dot" w:pos="6521"/>
      </w:tabs>
      <w:spacing w:before="0" w:after="0"/>
    </w:pPr>
  </w:style>
  <w:style w:type="paragraph" w:customStyle="1" w:styleId="TOFTitle">
    <w:name w:val="TOFTitle"/>
    <w:basedOn w:val="TOCTitle"/>
    <w:rsid w:val="00B069E6"/>
  </w:style>
  <w:style w:type="paragraph" w:styleId="TableofFigures">
    <w:name w:val="table of figures"/>
    <w:basedOn w:val="Normal"/>
    <w:next w:val="Normal"/>
    <w:semiHidden/>
    <w:rsid w:val="00B069E6"/>
    <w:pPr>
      <w:tabs>
        <w:tab w:val="right" w:leader="dot" w:pos="9072"/>
      </w:tabs>
      <w:ind w:left="970" w:hanging="403"/>
    </w:pPr>
    <w:rPr>
      <w:rFonts w:ascii="Times New Roman" w:hAnsi="Times New Roman"/>
      <w:b/>
    </w:rPr>
  </w:style>
  <w:style w:type="paragraph" w:styleId="ListNumber">
    <w:name w:val="List Number"/>
    <w:basedOn w:val="List"/>
    <w:rsid w:val="00B069E6"/>
    <w:pPr>
      <w:numPr>
        <w:numId w:val="11"/>
      </w:numPr>
    </w:pPr>
  </w:style>
  <w:style w:type="character" w:customStyle="1" w:styleId="WingdingSymbols">
    <w:name w:val="Wingding Symbols"/>
    <w:rsid w:val="00B069E6"/>
    <w:rPr>
      <w:rFonts w:ascii="Wingdings" w:hAnsi="Wingdings"/>
    </w:rPr>
  </w:style>
  <w:style w:type="paragraph" w:customStyle="1" w:styleId="TableHeading">
    <w:name w:val="Table Heading"/>
    <w:basedOn w:val="HeadingBase"/>
    <w:rsid w:val="00B069E6"/>
    <w:pPr>
      <w:keepLines/>
      <w:pBdr>
        <w:bottom w:val="single" w:sz="6" w:space="1" w:color="918585"/>
      </w:pBdr>
      <w:spacing w:before="240"/>
    </w:pPr>
  </w:style>
  <w:style w:type="character" w:customStyle="1" w:styleId="HotSpot">
    <w:name w:val="HotSpot"/>
    <w:rsid w:val="00B069E6"/>
    <w:rPr>
      <w:color w:val="0033CC"/>
      <w:u w:val="none"/>
    </w:rPr>
  </w:style>
  <w:style w:type="paragraph" w:customStyle="1" w:styleId="BodyTextRight">
    <w:name w:val="Body Text Right"/>
    <w:basedOn w:val="BodyText"/>
    <w:rsid w:val="00B069E6"/>
    <w:pPr>
      <w:spacing w:before="0" w:after="0"/>
      <w:jc w:val="right"/>
    </w:pPr>
  </w:style>
  <w:style w:type="paragraph" w:styleId="Index3">
    <w:name w:val="index 3"/>
    <w:basedOn w:val="ListNumber2"/>
    <w:next w:val="Normal"/>
    <w:semiHidden/>
    <w:rsid w:val="00B069E6"/>
    <w:pPr>
      <w:numPr>
        <w:numId w:val="0"/>
      </w:numPr>
      <w:tabs>
        <w:tab w:val="right" w:leader="dot" w:pos="4176"/>
      </w:tabs>
    </w:pPr>
  </w:style>
  <w:style w:type="paragraph" w:styleId="ListNumber2">
    <w:name w:val="List Number 2"/>
    <w:basedOn w:val="List2"/>
    <w:rsid w:val="00B069E6"/>
    <w:pPr>
      <w:numPr>
        <w:numId w:val="10"/>
      </w:numPr>
      <w:tabs>
        <w:tab w:val="clear" w:pos="1060"/>
      </w:tabs>
    </w:pPr>
  </w:style>
  <w:style w:type="paragraph" w:customStyle="1" w:styleId="MarginNote">
    <w:name w:val="Margin Note"/>
    <w:basedOn w:val="BodyText"/>
    <w:rsid w:val="00B069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9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9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9E6"/>
    <w:rPr>
      <w:sz w:val="32"/>
    </w:rPr>
  </w:style>
  <w:style w:type="paragraph" w:customStyle="1" w:styleId="HeadingProcedure">
    <w:name w:val="Heading Procedure"/>
    <w:basedOn w:val="HeadingBase"/>
    <w:next w:val="Normal"/>
    <w:rsid w:val="00B069E6"/>
    <w:pPr>
      <w:tabs>
        <w:tab w:val="left" w:pos="0"/>
      </w:tabs>
      <w:spacing w:before="120" w:after="60"/>
    </w:pPr>
    <w:rPr>
      <w:i/>
      <w:color w:val="918585"/>
      <w:sz w:val="22"/>
    </w:rPr>
  </w:style>
  <w:style w:type="paragraph" w:customStyle="1" w:styleId="TableBodyText">
    <w:name w:val="Table Body Text"/>
    <w:basedOn w:val="BodyText"/>
    <w:rsid w:val="00B069E6"/>
    <w:pPr>
      <w:spacing w:before="60" w:after="60"/>
    </w:pPr>
  </w:style>
  <w:style w:type="paragraph" w:styleId="ListContinue">
    <w:name w:val="List Continue"/>
    <w:basedOn w:val="List"/>
    <w:rsid w:val="00B069E6"/>
    <w:pPr>
      <w:ind w:firstLine="0"/>
    </w:pPr>
  </w:style>
  <w:style w:type="paragraph" w:customStyle="1" w:styleId="ListNote">
    <w:name w:val="List Note"/>
    <w:basedOn w:val="List"/>
    <w:rsid w:val="00B069E6"/>
    <w:pPr>
      <w:pBdr>
        <w:top w:val="single" w:sz="6" w:space="2" w:color="918585"/>
        <w:bottom w:val="single" w:sz="6" w:space="2" w:color="918585"/>
      </w:pBdr>
      <w:tabs>
        <w:tab w:val="left" w:pos="1021"/>
      </w:tabs>
      <w:ind w:firstLine="0"/>
    </w:pPr>
  </w:style>
  <w:style w:type="paragraph" w:customStyle="1" w:styleId="Warning">
    <w:name w:val="Warning"/>
    <w:basedOn w:val="BodyText"/>
    <w:rsid w:val="00B069E6"/>
    <w:pPr>
      <w:shd w:val="clear" w:color="auto" w:fill="D9D9D9"/>
      <w:tabs>
        <w:tab w:val="left" w:pos="992"/>
      </w:tabs>
      <w:ind w:left="119" w:right="119"/>
    </w:pPr>
    <w:rPr>
      <w:sz w:val="20"/>
    </w:rPr>
  </w:style>
  <w:style w:type="paragraph" w:customStyle="1" w:styleId="MarginIcons">
    <w:name w:val="Margin Icons"/>
    <w:basedOn w:val="BodyText"/>
    <w:rsid w:val="00B069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9E6"/>
    <w:rPr>
      <w:rFonts w:ascii="Courier New" w:hAnsi="Courier New"/>
    </w:rPr>
  </w:style>
  <w:style w:type="paragraph" w:customStyle="1" w:styleId="NoteBullet">
    <w:name w:val="Note Bullet"/>
    <w:basedOn w:val="Note"/>
    <w:rsid w:val="00B069E6"/>
    <w:pPr>
      <w:tabs>
        <w:tab w:val="clear" w:pos="680"/>
      </w:tabs>
      <w:spacing w:before="60" w:after="60"/>
    </w:pPr>
  </w:style>
  <w:style w:type="paragraph" w:customStyle="1" w:styleId="SubHeading2">
    <w:name w:val="SubHeading2"/>
    <w:basedOn w:val="HeadingBase"/>
    <w:rsid w:val="00B069E6"/>
    <w:pPr>
      <w:spacing w:before="240" w:after="60"/>
    </w:pPr>
    <w:rPr>
      <w:sz w:val="20"/>
    </w:rPr>
  </w:style>
  <w:style w:type="paragraph" w:customStyle="1" w:styleId="SubHeading1">
    <w:name w:val="SubHeading1"/>
    <w:basedOn w:val="HeadingBase"/>
    <w:rsid w:val="00B069E6"/>
    <w:pPr>
      <w:spacing w:before="240" w:after="60"/>
    </w:pPr>
    <w:rPr>
      <w:color w:val="918585"/>
      <w:sz w:val="22"/>
    </w:rPr>
  </w:style>
  <w:style w:type="paragraph" w:customStyle="1" w:styleId="SideHeading">
    <w:name w:val="Side Heading"/>
    <w:basedOn w:val="HeadingBase"/>
    <w:rsid w:val="00B069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9E6"/>
    <w:pPr>
      <w:numPr>
        <w:numId w:val="12"/>
      </w:numPr>
    </w:pPr>
  </w:style>
  <w:style w:type="paragraph" w:styleId="PlainText">
    <w:name w:val="Plain Text"/>
    <w:basedOn w:val="Normal"/>
    <w:link w:val="PlainTextChar"/>
    <w:rsid w:val="00B069E6"/>
    <w:rPr>
      <w:sz w:val="20"/>
    </w:rPr>
  </w:style>
  <w:style w:type="character" w:customStyle="1" w:styleId="PlainTextChar">
    <w:name w:val="Plain Text Char"/>
    <w:basedOn w:val="DefaultParagraphFont"/>
    <w:link w:val="PlainText"/>
    <w:rsid w:val="00B069E6"/>
    <w:rPr>
      <w:rFonts w:ascii="Courier New" w:eastAsia="Times New Roman" w:hAnsi="Courier New" w:cs="Times New Roman"/>
      <w:sz w:val="20"/>
      <w:szCs w:val="20"/>
      <w:lang w:eastAsia="en-US"/>
    </w:rPr>
  </w:style>
  <w:style w:type="character" w:customStyle="1" w:styleId="MenuOption">
    <w:name w:val="Menu Option"/>
    <w:basedOn w:val="DefaultParagraphFont"/>
    <w:rsid w:val="00B069E6"/>
    <w:rPr>
      <w:b/>
      <w:smallCaps/>
    </w:rPr>
  </w:style>
  <w:style w:type="paragraph" w:customStyle="1" w:styleId="TableListNumber">
    <w:name w:val="Table List Number"/>
    <w:basedOn w:val="ListNumber"/>
    <w:rsid w:val="00B069E6"/>
    <w:pPr>
      <w:numPr>
        <w:numId w:val="0"/>
      </w:numPr>
    </w:pPr>
  </w:style>
  <w:style w:type="paragraph" w:styleId="TOC4">
    <w:name w:val="toc 4"/>
    <w:basedOn w:val="TOCBase"/>
    <w:next w:val="Normal"/>
    <w:semiHidden/>
    <w:rsid w:val="00B069E6"/>
    <w:pPr>
      <w:tabs>
        <w:tab w:val="right" w:leader="dot" w:pos="9071"/>
      </w:tabs>
      <w:ind w:left="1701"/>
    </w:pPr>
  </w:style>
  <w:style w:type="paragraph" w:customStyle="1" w:styleId="ListAlpha">
    <w:name w:val="List Alpha"/>
    <w:basedOn w:val="List"/>
    <w:rsid w:val="00B069E6"/>
    <w:pPr>
      <w:numPr>
        <w:numId w:val="9"/>
      </w:numPr>
    </w:pPr>
  </w:style>
  <w:style w:type="paragraph" w:customStyle="1" w:styleId="ListAlpha2">
    <w:name w:val="List Alpha 2"/>
    <w:basedOn w:val="List2"/>
    <w:rsid w:val="00B069E6"/>
    <w:pPr>
      <w:numPr>
        <w:numId w:val="8"/>
      </w:numPr>
    </w:pPr>
  </w:style>
  <w:style w:type="paragraph" w:styleId="List2">
    <w:name w:val="List 2"/>
    <w:basedOn w:val="BodyText"/>
    <w:rsid w:val="00B069E6"/>
    <w:pPr>
      <w:tabs>
        <w:tab w:val="left" w:pos="680"/>
      </w:tabs>
      <w:spacing w:before="60" w:after="60"/>
      <w:ind w:left="680" w:hanging="340"/>
    </w:pPr>
  </w:style>
  <w:style w:type="paragraph" w:styleId="List3">
    <w:name w:val="List 3"/>
    <w:basedOn w:val="BodyText"/>
    <w:rsid w:val="00B069E6"/>
    <w:pPr>
      <w:tabs>
        <w:tab w:val="left" w:pos="1021"/>
      </w:tabs>
      <w:spacing w:before="60" w:after="60"/>
      <w:ind w:left="1020" w:hanging="340"/>
    </w:pPr>
  </w:style>
  <w:style w:type="paragraph" w:styleId="List4">
    <w:name w:val="List 4"/>
    <w:basedOn w:val="BodyText"/>
    <w:rsid w:val="00B069E6"/>
    <w:pPr>
      <w:tabs>
        <w:tab w:val="left" w:pos="1361"/>
      </w:tabs>
      <w:spacing w:before="60" w:after="60"/>
      <w:ind w:left="1361" w:hanging="340"/>
    </w:pPr>
  </w:style>
  <w:style w:type="paragraph" w:styleId="List5">
    <w:name w:val="List 5"/>
    <w:basedOn w:val="BodyText"/>
    <w:rsid w:val="00B069E6"/>
    <w:pPr>
      <w:tabs>
        <w:tab w:val="left" w:pos="1701"/>
      </w:tabs>
      <w:spacing w:before="60" w:after="60"/>
      <w:ind w:left="1701" w:hanging="340"/>
    </w:pPr>
  </w:style>
  <w:style w:type="paragraph" w:styleId="ListBullet3">
    <w:name w:val="List Bullet 3"/>
    <w:basedOn w:val="List3"/>
    <w:rsid w:val="00B069E6"/>
    <w:pPr>
      <w:numPr>
        <w:numId w:val="15"/>
      </w:numPr>
      <w:tabs>
        <w:tab w:val="clear" w:pos="1021"/>
      </w:tabs>
      <w:ind w:left="1037" w:hanging="357"/>
    </w:pPr>
  </w:style>
  <w:style w:type="paragraph" w:styleId="ListBullet4">
    <w:name w:val="List Bullet 4"/>
    <w:basedOn w:val="List4"/>
    <w:rsid w:val="00B069E6"/>
    <w:pPr>
      <w:numPr>
        <w:numId w:val="3"/>
      </w:numPr>
    </w:pPr>
  </w:style>
  <w:style w:type="paragraph" w:styleId="ListBullet5">
    <w:name w:val="List Bullet 5"/>
    <w:basedOn w:val="List5"/>
    <w:rsid w:val="00B069E6"/>
    <w:pPr>
      <w:numPr>
        <w:numId w:val="4"/>
      </w:numPr>
    </w:pPr>
  </w:style>
  <w:style w:type="paragraph" w:styleId="ListContinue2">
    <w:name w:val="List Continue 2"/>
    <w:basedOn w:val="List2"/>
    <w:rsid w:val="00B069E6"/>
    <w:pPr>
      <w:ind w:firstLine="0"/>
    </w:pPr>
  </w:style>
  <w:style w:type="paragraph" w:styleId="ListContinue3">
    <w:name w:val="List Continue 3"/>
    <w:basedOn w:val="List3"/>
    <w:rsid w:val="00B069E6"/>
    <w:pPr>
      <w:ind w:left="1021" w:firstLine="0"/>
    </w:pPr>
  </w:style>
  <w:style w:type="paragraph" w:styleId="ListContinue4">
    <w:name w:val="List Continue 4"/>
    <w:basedOn w:val="List4"/>
    <w:rsid w:val="00B069E6"/>
    <w:pPr>
      <w:ind w:firstLine="0"/>
    </w:pPr>
  </w:style>
  <w:style w:type="paragraph" w:styleId="ListContinue5">
    <w:name w:val="List Continue 5"/>
    <w:basedOn w:val="List5"/>
    <w:rsid w:val="00B069E6"/>
    <w:pPr>
      <w:ind w:firstLine="0"/>
    </w:pPr>
  </w:style>
  <w:style w:type="paragraph" w:styleId="ListNumber3">
    <w:name w:val="List Number 3"/>
    <w:basedOn w:val="List3"/>
    <w:rsid w:val="00B069E6"/>
    <w:pPr>
      <w:numPr>
        <w:numId w:val="5"/>
      </w:numPr>
    </w:pPr>
  </w:style>
  <w:style w:type="paragraph" w:styleId="ListNumber4">
    <w:name w:val="List Number 4"/>
    <w:basedOn w:val="List4"/>
    <w:rsid w:val="00B069E6"/>
    <w:pPr>
      <w:numPr>
        <w:numId w:val="6"/>
      </w:numPr>
    </w:pPr>
  </w:style>
  <w:style w:type="paragraph" w:styleId="ListNumber5">
    <w:name w:val="List Number 5"/>
    <w:basedOn w:val="List5"/>
    <w:rsid w:val="00B069E6"/>
    <w:pPr>
      <w:numPr>
        <w:numId w:val="7"/>
      </w:numPr>
    </w:pPr>
  </w:style>
  <w:style w:type="paragraph" w:styleId="BlockText">
    <w:name w:val="Block Text"/>
    <w:basedOn w:val="Normal"/>
    <w:rsid w:val="00B069E6"/>
    <w:pPr>
      <w:spacing w:after="120"/>
      <w:ind w:left="1440" w:right="1440"/>
    </w:pPr>
  </w:style>
  <w:style w:type="character" w:customStyle="1" w:styleId="Subscript">
    <w:name w:val="Subscript"/>
    <w:basedOn w:val="DefaultParagraphFont"/>
    <w:rsid w:val="00B069E6"/>
    <w:rPr>
      <w:sz w:val="16"/>
      <w:vertAlign w:val="subscript"/>
    </w:rPr>
  </w:style>
  <w:style w:type="character" w:customStyle="1" w:styleId="Superscript">
    <w:name w:val="Superscript"/>
    <w:basedOn w:val="DefaultParagraphFont"/>
    <w:rsid w:val="00B069E6"/>
    <w:rPr>
      <w:sz w:val="16"/>
      <w:vertAlign w:val="superscript"/>
    </w:rPr>
  </w:style>
  <w:style w:type="character" w:customStyle="1" w:styleId="Symbols">
    <w:name w:val="Symbols"/>
    <w:basedOn w:val="DefaultParagraphFont"/>
    <w:rsid w:val="00B069E6"/>
    <w:rPr>
      <w:rFonts w:ascii="Symbol" w:hAnsi="Symbol"/>
    </w:rPr>
  </w:style>
  <w:style w:type="character" w:customStyle="1" w:styleId="MenuOptions">
    <w:name w:val="Menu Options"/>
    <w:basedOn w:val="DefaultParagraphFont"/>
    <w:rsid w:val="00B069E6"/>
    <w:rPr>
      <w:rFonts w:ascii="Arial Narrow" w:hAnsi="Arial Narrow"/>
      <w:smallCaps/>
    </w:rPr>
  </w:style>
  <w:style w:type="character" w:customStyle="1" w:styleId="Buttons">
    <w:name w:val="Buttons"/>
    <w:basedOn w:val="DefaultParagraphFont"/>
    <w:rsid w:val="00B069E6"/>
    <w:rPr>
      <w:b/>
    </w:rPr>
  </w:style>
  <w:style w:type="character" w:customStyle="1" w:styleId="Underlined">
    <w:name w:val="Underlined"/>
    <w:basedOn w:val="DefaultParagraphFont"/>
    <w:rsid w:val="00B069E6"/>
    <w:rPr>
      <w:u w:val="single"/>
    </w:rPr>
  </w:style>
  <w:style w:type="paragraph" w:customStyle="1" w:styleId="TableBodyTextRight">
    <w:name w:val="Table Body Text Right"/>
    <w:basedOn w:val="TableBodyText"/>
    <w:rsid w:val="00B069E6"/>
    <w:pPr>
      <w:widowControl w:val="0"/>
      <w:autoSpaceDE w:val="0"/>
      <w:autoSpaceDN w:val="0"/>
      <w:adjustRightInd w:val="0"/>
      <w:jc w:val="right"/>
    </w:pPr>
    <w:rPr>
      <w:rFonts w:cs="Arial"/>
      <w:szCs w:val="18"/>
    </w:rPr>
  </w:style>
  <w:style w:type="paragraph" w:customStyle="1" w:styleId="CopyrightText">
    <w:name w:val="Copyright Text"/>
    <w:basedOn w:val="BodyText"/>
    <w:rsid w:val="00B069E6"/>
    <w:rPr>
      <w:sz w:val="18"/>
    </w:rPr>
  </w:style>
  <w:style w:type="paragraph" w:customStyle="1" w:styleId="BodySmallRight">
    <w:name w:val="Body Small Right"/>
    <w:basedOn w:val="BodyTextRight"/>
    <w:rsid w:val="00B069E6"/>
    <w:rPr>
      <w:sz w:val="18"/>
      <w:szCs w:val="18"/>
    </w:rPr>
  </w:style>
  <w:style w:type="paragraph" w:customStyle="1" w:styleId="MarginEdition">
    <w:name w:val="Margin Edition"/>
    <w:basedOn w:val="MarginNote"/>
    <w:rsid w:val="00B069E6"/>
    <w:pPr>
      <w:spacing w:before="0" w:after="0"/>
    </w:pPr>
    <w:rPr>
      <w:rFonts w:ascii="Times New Roman" w:hAnsi="Times New Roman"/>
      <w:color w:val="999999"/>
    </w:rPr>
  </w:style>
  <w:style w:type="paragraph" w:customStyle="1" w:styleId="Spacer">
    <w:name w:val="Spacer"/>
    <w:basedOn w:val="Normal"/>
    <w:rsid w:val="00B069E6"/>
    <w:rPr>
      <w:sz w:val="2"/>
      <w:szCs w:val="2"/>
    </w:rPr>
  </w:style>
  <w:style w:type="character" w:customStyle="1" w:styleId="Small">
    <w:name w:val="Small"/>
    <w:basedOn w:val="DefaultParagraphFont"/>
    <w:rsid w:val="00B069E6"/>
    <w:rPr>
      <w:sz w:val="16"/>
    </w:rPr>
  </w:style>
  <w:style w:type="paragraph" w:customStyle="1" w:styleId="WideTable">
    <w:name w:val="Wide Table"/>
    <w:basedOn w:val="Normal"/>
    <w:rsid w:val="00B069E6"/>
    <w:pPr>
      <w:ind w:left="-1418"/>
    </w:pPr>
    <w:rPr>
      <w:sz w:val="2"/>
      <w:szCs w:val="2"/>
    </w:rPr>
  </w:style>
  <w:style w:type="character" w:styleId="PageNumber">
    <w:name w:val="page number"/>
    <w:basedOn w:val="DefaultParagraphFont"/>
    <w:rsid w:val="00B069E6"/>
  </w:style>
  <w:style w:type="paragraph" w:styleId="Quote">
    <w:name w:val="Quote"/>
    <w:basedOn w:val="Heading1"/>
    <w:link w:val="QuoteChar"/>
    <w:qFormat/>
    <w:rsid w:val="00B069E6"/>
    <w:rPr>
      <w:b w:val="0"/>
      <w:sz w:val="72"/>
      <w:szCs w:val="72"/>
      <w:lang w:val="en-NZ"/>
    </w:rPr>
  </w:style>
  <w:style w:type="character" w:customStyle="1" w:styleId="QuoteChar">
    <w:name w:val="Quote Char"/>
    <w:basedOn w:val="DefaultParagraphFont"/>
    <w:link w:val="Quote"/>
    <w:rsid w:val="00B069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9E6"/>
    <w:pPr>
      <w:pageBreakBefore/>
    </w:pPr>
  </w:style>
  <w:style w:type="paragraph" w:customStyle="1" w:styleId="Border">
    <w:name w:val="Border"/>
    <w:basedOn w:val="Normal"/>
    <w:qFormat/>
    <w:rsid w:val="00B069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9E6"/>
    <w:rPr>
      <w:b/>
      <w:bCs/>
      <w:i/>
      <w:iCs/>
      <w:color w:val="auto"/>
    </w:rPr>
  </w:style>
  <w:style w:type="paragraph" w:styleId="IntenseQuote">
    <w:name w:val="Intense Quote"/>
    <w:basedOn w:val="Normal"/>
    <w:next w:val="Normal"/>
    <w:link w:val="IntenseQuoteChar"/>
    <w:uiPriority w:val="30"/>
    <w:qFormat/>
    <w:rsid w:val="00B069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9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9E6"/>
    <w:rPr>
      <w:smallCaps/>
      <w:color w:val="auto"/>
      <w:u w:val="single"/>
    </w:rPr>
  </w:style>
  <w:style w:type="character" w:styleId="IntenseReference">
    <w:name w:val="Intense Reference"/>
    <w:basedOn w:val="DefaultParagraphFont"/>
    <w:uiPriority w:val="32"/>
    <w:qFormat/>
    <w:rsid w:val="00B069E6"/>
    <w:rPr>
      <w:b/>
      <w:bCs/>
      <w:smallCaps/>
      <w:color w:val="auto"/>
      <w:spacing w:val="5"/>
      <w:u w:val="single"/>
    </w:rPr>
  </w:style>
  <w:style w:type="paragraph" w:customStyle="1" w:styleId="2ColumnHeading">
    <w:name w:val="2Column Heading"/>
    <w:basedOn w:val="BodyText"/>
    <w:qFormat/>
    <w:rsid w:val="00B069E6"/>
    <w:pPr>
      <w:spacing w:after="60"/>
      <w:ind w:left="-2268"/>
    </w:pPr>
    <w:rPr>
      <w:b/>
    </w:rPr>
  </w:style>
  <w:style w:type="paragraph" w:customStyle="1" w:styleId="Heading1TOC">
    <w:name w:val="Heading1 TOC"/>
    <w:basedOn w:val="Normal"/>
    <w:qFormat/>
    <w:rsid w:val="00B069E6"/>
    <w:pPr>
      <w:spacing w:before="240" w:after="120"/>
    </w:pPr>
    <w:rPr>
      <w:rFonts w:ascii="Times New Roman" w:hAnsi="Times New Roman"/>
      <w:b/>
      <w:sz w:val="32"/>
    </w:rPr>
  </w:style>
  <w:style w:type="paragraph" w:customStyle="1" w:styleId="Heading2TOC">
    <w:name w:val="Heading2 TOC"/>
    <w:basedOn w:val="Normal"/>
    <w:qFormat/>
    <w:rsid w:val="00B069E6"/>
    <w:pPr>
      <w:spacing w:before="240" w:after="60"/>
    </w:pPr>
    <w:rPr>
      <w:rFonts w:ascii="Times New Roman" w:hAnsi="Times New Roman"/>
      <w:b/>
      <w:sz w:val="28"/>
    </w:rPr>
  </w:style>
  <w:style w:type="character" w:customStyle="1" w:styleId="Underline">
    <w:name w:val="Underline"/>
    <w:basedOn w:val="DefaultParagraphFont"/>
    <w:qFormat/>
    <w:rsid w:val="00B069E6"/>
    <w:rPr>
      <w:u w:val="single"/>
    </w:rPr>
  </w:style>
  <w:style w:type="character" w:customStyle="1" w:styleId="BoldandItalics">
    <w:name w:val="Bold and Italics"/>
    <w:qFormat/>
    <w:rsid w:val="00B069E6"/>
    <w:rPr>
      <w:b/>
      <w:i/>
      <w:u w:val="none"/>
    </w:rPr>
  </w:style>
  <w:style w:type="paragraph" w:styleId="BalloonText">
    <w:name w:val="Balloon Text"/>
    <w:basedOn w:val="Normal"/>
    <w:link w:val="BalloonTextChar"/>
    <w:rsid w:val="00B069E6"/>
    <w:rPr>
      <w:rFonts w:ascii="Tahoma" w:hAnsi="Tahoma" w:cs="Tahoma"/>
      <w:sz w:val="16"/>
      <w:szCs w:val="16"/>
    </w:rPr>
  </w:style>
  <w:style w:type="character" w:customStyle="1" w:styleId="BalloonTextChar">
    <w:name w:val="Balloon Text Char"/>
    <w:basedOn w:val="DefaultParagraphFont"/>
    <w:link w:val="BalloonText"/>
    <w:rsid w:val="00B069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9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69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9E6"/>
    <w:rPr>
      <w:b/>
      <w:color w:val="660033"/>
      <w:spacing w:val="0"/>
    </w:rPr>
  </w:style>
  <w:style w:type="paragraph" w:customStyle="1" w:styleId="Nameditemlist">
    <w:name w:val="Named item list"/>
    <w:basedOn w:val="BodyText"/>
    <w:qFormat/>
    <w:rsid w:val="00B069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2768</Words>
  <Characters>17063</Characters>
  <Application>Microsoft Office Word</Application>
  <DocSecurity>0</DocSecurity>
  <Lines>746</Lines>
  <Paragraphs>329</Paragraphs>
  <ScaleCrop>false</ScaleCrop>
  <Company>Author-it Software Corporation Ltd.</Company>
  <LinksUpToDate>false</LinksUpToDate>
  <CharactersWithSpaces>19645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UEGNSG811A Monitor and operate complex flow control, measuring and regulating devices for gas distribution</dc:title>
  <dc:subject>Approved</dc:subject>
  <dc:creator>E-Oz Training Standards</dc:creator>
  <cp:keywords>Release 1</cp:keywords>
  <dc:description>Review Date: 12 April 2008</dc:description>
  <cp:lastModifiedBy>TPCMS</cp:lastModifiedBy>
  <cp:revision>3</cp:revision>
  <dcterms:created xsi:type="dcterms:W3CDTF">2014-03-13T15:19:43Z</dcterms:created>
  <dcterms:modified xsi:type="dcterms:W3CDTF">2014-03-13T03:46:00Z</dcterms:modified>
</cp:coreProperties>
</file>