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C84" w:rsidP="00B34C84">
      <w:pPr>
        <w:pStyle w:val="Title"/>
      </w:pPr>
      <w:r>
        <w:fldChar w:fldCharType="begin"/>
      </w:r>
      <w:r>
        <w:instrText xml:space="preserve"> TITLE   \* MERGEFORMAT </w:instrText>
      </w:r>
      <w:r>
        <w:fldChar w:fldCharType="separate"/>
      </w:r>
      <w:r>
        <w:t>UEGNSG807A Install Gas Flow, Measuring and Pressure Regulating Devices</w:t>
      </w:r>
      <w:r>
        <w:fldChar w:fldCharType="end"/>
      </w:r>
    </w:p>
    <w:p w:rsidR="00B34C84" w:rsidP="00B34C84">
      <w:pPr>
        <w:pStyle w:val="Version"/>
        <w:sectPr w:rsidSect="000526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689" w:rsidP="00052689">
      <w:pPr>
        <w:pStyle w:val="SuperHeading"/>
      </w:pPr>
      <w:r w:rsidRPr="00052689">
        <w:t>UEGNSG807A Install Gas Flow, Measuring and Pressure Regulating Devices</w:t>
      </w:r>
    </w:p>
    <w:p w:rsidR="00000000" w:rsidRPr="00052689" w:rsidP="00052689">
      <w:pPr>
        <w:pStyle w:val="Heading1"/>
      </w:pPr>
      <w:bookmarkStart w:id="1" w:name="O_620992"/>
      <w:bookmarkEnd w:id="1"/>
      <w:r w:rsidRPr="00052689">
        <w:t>Modification History</w:t>
      </w:r>
    </w:p>
    <w:p w:rsidR="00000000" w:rsidRPr="00052689" w:rsidP="00052689">
      <w:pPr>
        <w:pStyle w:val="BodyText"/>
      </w:pPr>
      <w:r w:rsidRPr="00052689">
        <w:t>Not applicable.</w:t>
      </w:r>
    </w:p>
    <w:p w:rsidR="00000000" w:rsidRPr="00052689" w:rsidP="00052689">
      <w:pPr>
        <w:pStyle w:val="AllowPageBreak"/>
      </w:pPr>
    </w:p>
    <w:p w:rsidR="00000000" w:rsidRPr="00052689" w:rsidP="00052689">
      <w:pPr>
        <w:pStyle w:val="Heading1"/>
      </w:pPr>
      <w:bookmarkStart w:id="2" w:name="O_620994"/>
      <w:bookmarkEnd w:id="2"/>
      <w:r w:rsidRPr="00052689">
        <w:t>Unit Descriptor</w:t>
      </w:r>
    </w:p>
    <w:tbl>
      <w:tblPr>
        <w:tblW w:w="0" w:type="auto"/>
        <w:tblLayout w:type="fixed"/>
        <w:tblCellMar>
          <w:left w:w="62" w:type="dxa"/>
          <w:right w:w="62" w:type="dxa"/>
        </w:tblCellMar>
        <w:tblLook w:val="0000"/>
      </w:tblPr>
      <w:tblGrid>
        <w:gridCol w:w="2576"/>
        <w:gridCol w:w="5760"/>
      </w:tblGrid>
      <w:tr w:rsidTr="00052689">
        <w:tblPrEx>
          <w:tblW w:w="0" w:type="auto"/>
          <w:tblLayout w:type="fixed"/>
          <w:tblCellMar>
            <w:left w:w="62" w:type="dxa"/>
            <w:right w:w="62" w:type="dxa"/>
          </w:tblCellMar>
          <w:tblLook w:val="0000"/>
        </w:tblPrEx>
        <w:trPr>
          <w:trHeight w:val="396"/>
          <w:tblHeader/>
        </w:trPr>
        <w:tc>
          <w:tcPr>
            <w:tcW w:w="257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1) Scope:</w:t>
            </w:r>
          </w:p>
        </w:tc>
      </w:tr>
      <w:tr w:rsidTr="0005268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5268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1.1) Descriptor</w:t>
            </w:r>
          </w:p>
        </w:tc>
      </w:tr>
      <w:tr w:rsidTr="0005268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 xml:space="preserve">This unit covers the installation of gas flow, measuring and pressure regulating devices in accordance with relevant legislation, codes, regulations and procedures. </w:t>
            </w:r>
          </w:p>
          <w:p w:rsidR="00000000" w:rsidRPr="00052689" w:rsidP="00052689">
            <w:pPr>
              <w:pStyle w:val="BodyText"/>
            </w:pPr>
          </w:p>
          <w:p w:rsidR="00000000" w:rsidRPr="00052689" w:rsidP="00052689">
            <w:pPr>
              <w:pStyle w:val="BodyText"/>
            </w:pPr>
            <w:r w:rsidRPr="00052689">
              <w:t>It encompasses the installation of gas valves, pressure controllers, regulators and meter</w:t>
            </w:r>
            <w:r w:rsidRPr="00052689">
              <w:t xml:space="preserve">s in gas facilities and stations. </w:t>
            </w:r>
          </w:p>
        </w:tc>
      </w:tr>
    </w:tbl>
    <w:p w:rsidR="00B34C84" w:rsidP="00052689">
      <w:pPr>
        <w:pStyle w:val="BodyText"/>
      </w:pPr>
    </w:p>
    <w:p w:rsidR="00B34C84" w:rsidP="00052689">
      <w:pPr>
        <w:pStyle w:val="BodyText"/>
      </w:pPr>
    </w:p>
    <w:p w:rsidR="00000000" w:rsidRPr="00052689" w:rsidP="00052689">
      <w:pPr>
        <w:pStyle w:val="Heading1"/>
      </w:pPr>
      <w:bookmarkStart w:id="3" w:name="O_620995"/>
      <w:bookmarkEnd w:id="3"/>
      <w:r w:rsidRPr="00052689">
        <w:t>Application of the Unit</w:t>
      </w:r>
    </w:p>
    <w:tbl>
      <w:tblPr>
        <w:tblW w:w="0" w:type="auto"/>
        <w:tblLayout w:type="fixed"/>
        <w:tblCellMar>
          <w:left w:w="62" w:type="dxa"/>
          <w:right w:w="62" w:type="dxa"/>
        </w:tblCellMar>
        <w:tblLook w:val="0000"/>
      </w:tblPr>
      <w:tblGrid>
        <w:gridCol w:w="2548"/>
        <w:gridCol w:w="5699"/>
      </w:tblGrid>
      <w:tr w:rsidTr="00052689">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2)</w:t>
            </w:r>
          </w:p>
        </w:tc>
      </w:tr>
      <w:tr w:rsidTr="00052689">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 xml:space="preserve">This competency standard shall apply to the following types of gas stations, subject to all Workplace Health and Safety (WHS)/Occupational </w:t>
            </w:r>
            <w:r w:rsidRPr="00052689">
              <w:t>Health and Safety (OHS) and duty of care requirements being met for the workplace:</w:t>
            </w:r>
          </w:p>
          <w:p w:rsidR="00000000" w:rsidRPr="00052689" w:rsidP="00052689">
            <w:pPr>
              <w:pStyle w:val="ListBullet"/>
            </w:pPr>
            <w:r w:rsidRPr="00052689">
              <w:t>pressure reduction stations, district and customer regulator sets</w:t>
            </w:r>
          </w:p>
          <w:p w:rsidR="00000000" w:rsidRPr="00052689" w:rsidP="00052689">
            <w:pPr>
              <w:pStyle w:val="ListBullet"/>
            </w:pPr>
            <w:r w:rsidRPr="00052689">
              <w:t>compressor stations</w:t>
            </w:r>
          </w:p>
          <w:p w:rsidR="00000000" w:rsidRPr="00052689" w:rsidP="00052689">
            <w:pPr>
              <w:pStyle w:val="ListBullet"/>
            </w:pPr>
            <w:r w:rsidRPr="00052689">
              <w:t>meter stations and customer meter sets</w:t>
            </w:r>
          </w:p>
          <w:p w:rsidR="00000000" w:rsidRPr="00052689" w:rsidP="00052689">
            <w:pPr>
              <w:pStyle w:val="ListBullet"/>
            </w:pPr>
            <w:r w:rsidRPr="00052689">
              <w:t>custody transfer stations</w:t>
            </w:r>
          </w:p>
          <w:p w:rsidR="00000000" w:rsidRPr="00052689" w:rsidP="00052689">
            <w:pPr>
              <w:pStyle w:val="ListBullet"/>
            </w:pPr>
            <w:r w:rsidRPr="00052689">
              <w:t>inlets and city gates</w:t>
            </w:r>
          </w:p>
          <w:p w:rsidR="00000000" w:rsidRPr="00052689" w:rsidP="00052689">
            <w:pPr>
              <w:pStyle w:val="ListBullet"/>
            </w:pPr>
            <w:r w:rsidRPr="00052689">
              <w:t>scraper stations</w:t>
            </w:r>
          </w:p>
          <w:p w:rsidR="00000000" w:rsidRPr="00052689" w:rsidP="00052689">
            <w:pPr>
              <w:pStyle w:val="ListBullet"/>
            </w:pPr>
            <w:r w:rsidRPr="00052689">
              <w:t>gas storage facilities</w:t>
            </w:r>
          </w:p>
          <w:p w:rsidR="00000000" w:rsidRPr="00052689" w:rsidP="00052689">
            <w:pPr>
              <w:pStyle w:val="ListBullet"/>
            </w:pPr>
            <w:r w:rsidRPr="00052689">
              <w:t>main line valves</w:t>
            </w:r>
          </w:p>
          <w:p w:rsidR="00000000" w:rsidRPr="00052689" w:rsidP="00052689">
            <w:pPr>
              <w:pStyle w:val="BodyText"/>
            </w:pPr>
          </w:p>
          <w:p w:rsidR="00000000" w:rsidRPr="00052689" w:rsidP="00052689">
            <w:pPr>
              <w:pStyle w:val="BodyText"/>
            </w:pPr>
            <w:r w:rsidRPr="00052689">
              <w:t>This unit is intended as an AQF 3 competency for new and existing workers in the gas industry. It is suitable for employment-based programs under an approved contract of training.</w:t>
            </w:r>
          </w:p>
        </w:tc>
      </w:tr>
    </w:tbl>
    <w:p w:rsidR="00B34C84" w:rsidP="00052689">
      <w:pPr>
        <w:pStyle w:val="BodyText"/>
      </w:pPr>
    </w:p>
    <w:p w:rsidR="00B34C84" w:rsidP="00052689">
      <w:pPr>
        <w:pStyle w:val="BodyText"/>
      </w:pPr>
    </w:p>
    <w:p w:rsidR="00000000" w:rsidRPr="00052689" w:rsidP="00052689">
      <w:pPr>
        <w:pStyle w:val="Heading1"/>
      </w:pPr>
      <w:bookmarkStart w:id="4" w:name="O_620996"/>
      <w:bookmarkEnd w:id="4"/>
      <w:r w:rsidRPr="00052689">
        <w:t>Licensing/Regulatory Information</w:t>
      </w:r>
    </w:p>
    <w:tbl>
      <w:tblPr>
        <w:tblW w:w="0" w:type="auto"/>
        <w:tblLayout w:type="fixed"/>
        <w:tblCellMar>
          <w:left w:w="62" w:type="dxa"/>
          <w:right w:w="62" w:type="dxa"/>
        </w:tblCellMar>
        <w:tblLook w:val="0000"/>
      </w:tblPr>
      <w:tblGrid>
        <w:gridCol w:w="2576"/>
        <w:gridCol w:w="5760"/>
      </w:tblGrid>
      <w:tr w:rsidTr="0005268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 xml:space="preserve">3) </w:t>
            </w:r>
          </w:p>
        </w:tc>
      </w:tr>
      <w:tr w:rsidTr="0005268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5268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 xml:space="preserve">During Training: </w:t>
            </w:r>
          </w:p>
          <w:p w:rsidR="00000000" w:rsidRPr="00052689" w:rsidP="00052689">
            <w:pPr>
              <w:pStyle w:val="BodyText"/>
            </w:pPr>
            <w:r w:rsidRPr="00052689">
              <w:t xml:space="preserve">Competency development activities are subject to regulations directly related to licensing, workplace health and safety and where applicable contracts of training such as apprenticeships. </w:t>
            </w:r>
          </w:p>
          <w:p w:rsidR="00000000" w:rsidRPr="00052689" w:rsidP="00052689">
            <w:pPr>
              <w:pStyle w:val="BodyText"/>
            </w:pPr>
          </w:p>
          <w:p w:rsidR="00000000" w:rsidRPr="00052689" w:rsidP="00052689">
            <w:pPr>
              <w:pStyle w:val="BodyText"/>
            </w:pPr>
            <w:r w:rsidRPr="00052689">
              <w:rPr>
                <w:rStyle w:val="SpecialBold"/>
              </w:rPr>
              <w:t>In the workplace:</w:t>
            </w:r>
          </w:p>
          <w:p w:rsidR="00000000" w:rsidRPr="00052689" w:rsidP="00052689">
            <w:pPr>
              <w:pStyle w:val="BodyText"/>
            </w:pPr>
            <w:r w:rsidRPr="00052689">
              <w:t>The application of the skills and knowledge desc</w:t>
            </w:r>
            <w:r w:rsidRPr="00052689">
              <w:t>ribed in this unit require a license to practice in the workplace where work is carried out on electrical equipment or installations which are designed to operate at voltages greater than 50 V a.c. or 120 V d.c.</w:t>
            </w:r>
          </w:p>
          <w:p w:rsidR="00000000" w:rsidRPr="00052689" w:rsidP="00052689">
            <w:pPr>
              <w:pStyle w:val="BodyText"/>
            </w:pPr>
          </w:p>
          <w:p w:rsidR="00000000" w:rsidRPr="00052689" w:rsidP="00052689">
            <w:pPr>
              <w:pStyle w:val="BodyText"/>
            </w:pPr>
            <w:r w:rsidRPr="00052689">
              <w:t xml:space="preserve">The skills and knowledge described in this </w:t>
            </w:r>
            <w:r w:rsidRPr="00052689">
              <w:t>unit are also subject to licence regulation directly related to Workplace Health and Safety (WHS)/ Occupational Health and Safety (OHS) gas/electricity/water industry safety and compliance, industrial relations, environmental protection, telecommunications</w:t>
            </w:r>
            <w:r w:rsidRPr="00052689">
              <w:t xml:space="preserve">, anti-discrimination and training. </w:t>
            </w:r>
          </w:p>
          <w:p w:rsidR="00000000" w:rsidRPr="00052689" w:rsidP="00052689">
            <w:pPr>
              <w:pStyle w:val="BodyText"/>
            </w:pPr>
            <w:r w:rsidRPr="00052689">
              <w:t xml:space="preserve">Note: </w:t>
            </w:r>
          </w:p>
          <w:p w:rsidR="00000000" w:rsidRPr="00052689" w:rsidP="00052689">
            <w:pPr>
              <w:pStyle w:val="BodyText"/>
            </w:pPr>
            <w:r w:rsidRPr="00052689">
              <w:t>Other conditions may apply under State and Territory legislative and regulatory requirements, for example:</w:t>
            </w:r>
          </w:p>
          <w:p w:rsidR="00000000" w:rsidRPr="00052689" w:rsidP="00052689">
            <w:pPr>
              <w:pStyle w:val="ListNumber2"/>
            </w:pPr>
            <w:r w:rsidRPr="00052689">
              <w:t>Compliance with permits may be required in various jurisdictions and typically relate</w:t>
            </w:r>
            <w:r w:rsidRPr="00052689">
              <w:t>s to the operation of plant, machinery and equipment such as elevating work platforms, powder operated fixing tools, power operated tools, vehicles, road signage and traffic control, lifting equipment.</w:t>
            </w:r>
            <w:r w:rsidRPr="00052689">
              <w:br/>
              <w:t>Permits may also be required for some work environment</w:t>
            </w:r>
            <w:r w:rsidRPr="00052689">
              <w:t>s such as hazardous areas, confined spaces, working aloft, near live electrical devices, site rehabilitation.</w:t>
            </w:r>
          </w:p>
          <w:p w:rsidR="00000000" w:rsidRPr="00052689" w:rsidP="00052689">
            <w:pPr>
              <w:pStyle w:val="ListNumber2"/>
            </w:pPr>
            <w:r w:rsidRPr="00052689">
              <w:t>Compliance may be required in various jurisdictions relating to currency in First Aid, hazardous areas, confined space, lifting and risk safety measures</w:t>
            </w:r>
          </w:p>
          <w:p w:rsidR="00000000" w:rsidRPr="00052689" w:rsidP="00052689">
            <w:pPr>
              <w:pStyle w:val="BodyText"/>
            </w:pPr>
          </w:p>
          <w:p w:rsidR="00000000" w:rsidRPr="00052689" w:rsidP="00052689">
            <w:pPr>
              <w:pStyle w:val="BodyText"/>
            </w:pPr>
            <w:r w:rsidRPr="00052689">
              <w:t>Commonwealth, State/Territory or Local Government legislation and regulations may exist that limits th</w:t>
            </w:r>
            <w:r w:rsidRPr="00052689">
              <w:t>e age at which persons can operate certain equipment. Other conditions may apply to this competency under State and Territory legislative and regulatory requirements.</w:t>
            </w:r>
          </w:p>
        </w:tc>
      </w:tr>
    </w:tbl>
    <w:p w:rsidR="00B34C84" w:rsidP="00052689">
      <w:pPr>
        <w:pStyle w:val="BodyText"/>
      </w:pPr>
    </w:p>
    <w:p w:rsidR="00B34C84" w:rsidP="00052689">
      <w:pPr>
        <w:pStyle w:val="BodyText"/>
      </w:pPr>
    </w:p>
    <w:p w:rsidR="00000000" w:rsidRPr="00052689" w:rsidP="00052689">
      <w:pPr>
        <w:pStyle w:val="Heading1"/>
      </w:pPr>
      <w:bookmarkStart w:id="5" w:name="O_620997"/>
      <w:bookmarkEnd w:id="5"/>
      <w:r w:rsidRPr="00052689">
        <w:t>Pre-Requisites</w:t>
      </w:r>
    </w:p>
    <w:tbl>
      <w:tblPr>
        <w:tblW w:w="0" w:type="auto"/>
        <w:tblLayout w:type="fixed"/>
        <w:tblCellMar>
          <w:left w:w="62" w:type="dxa"/>
          <w:right w:w="62" w:type="dxa"/>
        </w:tblCellMar>
        <w:tblLook w:val="0000"/>
      </w:tblPr>
      <w:tblGrid>
        <w:gridCol w:w="2576"/>
        <w:gridCol w:w="1682"/>
        <w:gridCol w:w="4673"/>
        <w:gridCol w:w="7"/>
      </w:tblGrid>
      <w:tr w:rsidTr="00B34C84">
        <w:tblPrEx>
          <w:tblW w:w="0" w:type="auto"/>
          <w:tblLayout w:type="fixed"/>
          <w:tblCellMar>
            <w:left w:w="62" w:type="dxa"/>
            <w:right w:w="62" w:type="dxa"/>
          </w:tblCellMar>
          <w:tblLook w:val="0000"/>
        </w:tblPrEx>
        <w:trPr>
          <w:gridAfter w:val="1"/>
          <w:wAfter w:w="7" w:type="dxa"/>
          <w:trHeight w:val="496"/>
          <w:tblHeader/>
        </w:trPr>
        <w:tc>
          <w:tcPr>
            <w:tcW w:w="257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Prerequisite Unit(s)</w:t>
            </w:r>
          </w:p>
        </w:tc>
        <w:tc>
          <w:tcPr>
            <w:tcW w:w="6355"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 xml:space="preserve">4) </w:t>
            </w:r>
          </w:p>
        </w:tc>
      </w:tr>
      <w:tr w:rsidTr="00B34C84">
        <w:tblPrEx>
          <w:tblW w:w="0" w:type="auto"/>
          <w:tblLayout w:type="fixed"/>
          <w:tblCellMar>
            <w:left w:w="62" w:type="dxa"/>
            <w:right w:w="62" w:type="dxa"/>
          </w:tblCellMar>
          <w:tblLook w:val="0000"/>
        </w:tblPrEx>
        <w:trPr>
          <w:gridAfter w:val="1"/>
          <w:wAfter w:w="7" w:type="dxa"/>
        </w:trPr>
        <w:tc>
          <w:tcPr>
            <w:tcW w:w="257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Competencies</w:t>
            </w:r>
          </w:p>
        </w:tc>
        <w:tc>
          <w:tcPr>
            <w:tcW w:w="6355"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4.1)</w:t>
            </w:r>
          </w:p>
        </w:tc>
      </w:tr>
      <w:tr w:rsidTr="00B34C84">
        <w:tblPrEx>
          <w:tblW w:w="0" w:type="auto"/>
          <w:tblLayout w:type="fixed"/>
          <w:tblCellMar>
            <w:left w:w="62" w:type="dxa"/>
            <w:right w:w="62" w:type="dxa"/>
          </w:tblCellMar>
          <w:tblLook w:val="0000"/>
        </w:tblPrEx>
        <w:trPr>
          <w:gridAfter w:val="1"/>
          <w:wAfter w:w="7" w:type="dxa"/>
          <w:trHeight w:val="494"/>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Granting of competency in this unit shall be made only after competency in the following unit(s) has/have been confirmed:</w:t>
            </w:r>
          </w:p>
        </w:tc>
      </w:tr>
      <w:tr w:rsidTr="00B34C84">
        <w:tblPrEx>
          <w:tblW w:w="0" w:type="auto"/>
          <w:tblLayout w:type="fixed"/>
          <w:tblCellMar>
            <w:left w:w="62" w:type="dxa"/>
            <w:right w:w="62" w:type="dxa"/>
          </w:tblCellMar>
          <w:tblLook w:val="0000"/>
        </w:tblPrEx>
        <w:trPr>
          <w:trHeight w:val="48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UEGNSG005A</w:t>
            </w:r>
          </w:p>
        </w:tc>
        <w:tc>
          <w:tcPr>
            <w:tcW w:w="4680"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Prepare to work in the Australian gas industry</w:t>
            </w:r>
          </w:p>
        </w:tc>
      </w:tr>
      <w:tr w:rsidTr="00B34C8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UEGNSG006A</w:t>
            </w:r>
          </w:p>
        </w:tc>
        <w:tc>
          <w:tcPr>
            <w:tcW w:w="4680"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Use a portable gas detector to locate escape</w:t>
            </w:r>
          </w:p>
        </w:tc>
      </w:tr>
      <w:tr w:rsidTr="00B34C8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UEGNSG132A</w:t>
            </w:r>
          </w:p>
        </w:tc>
        <w:tc>
          <w:tcPr>
            <w:tcW w:w="4680"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Carry out basic work activities in a gas industry work environment</w:t>
            </w:r>
          </w:p>
        </w:tc>
      </w:tr>
      <w:tr w:rsidTr="00B34C8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UEGNSG134A</w:t>
            </w:r>
          </w:p>
        </w:tc>
        <w:tc>
          <w:tcPr>
            <w:tcW w:w="4680"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Establish a utilities infrastructure work site</w:t>
            </w:r>
          </w:p>
        </w:tc>
      </w:tr>
      <w:tr w:rsidTr="00B34C8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UEGNSG140A</w:t>
            </w:r>
          </w:p>
        </w:tc>
        <w:tc>
          <w:tcPr>
            <w:tcW w:w="4680"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Apply environmental policies and procedures in the utilities industry</w:t>
            </w:r>
          </w:p>
        </w:tc>
      </w:tr>
      <w:tr w:rsidTr="00B34C8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UEGNSG141A</w:t>
            </w:r>
          </w:p>
        </w:tc>
        <w:tc>
          <w:tcPr>
            <w:tcW w:w="4680" w:type="dxa"/>
            <w:gridSpan w:val="2"/>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 xml:space="preserve">Apply Occupational Health and Safety regulations, codes and practices in the workplace </w:t>
            </w:r>
          </w:p>
        </w:tc>
      </w:tr>
    </w:tbl>
    <w:p w:rsidR="00000000" w:rsidRPr="00052689" w:rsidP="00052689">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1315"/>
        <w:gridCol w:w="7"/>
      </w:tblGrid>
      <w:tr w:rsidTr="00052689">
        <w:tblPrEx>
          <w:tblW w:w="0" w:type="auto"/>
          <w:tblLayout w:type="fixed"/>
          <w:tblCellMar>
            <w:left w:w="62" w:type="dxa"/>
            <w:right w:w="62" w:type="dxa"/>
          </w:tblCellMar>
          <w:tblLook w:val="0000"/>
        </w:tblPrEx>
        <w:trPr>
          <w:gridAfter w:val="1"/>
          <w:wAfter w:w="7" w:type="dxa"/>
        </w:trPr>
        <w:tc>
          <w:tcPr>
            <w:tcW w:w="257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Literacy and numeracy skills</w:t>
            </w:r>
          </w:p>
        </w:tc>
        <w:tc>
          <w:tcPr>
            <w:tcW w:w="6355" w:type="dxa"/>
            <w:gridSpan w:val="6"/>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 xml:space="preserve">4.2) </w:t>
            </w:r>
          </w:p>
          <w:p w:rsidR="00000000" w:rsidP="00052689">
            <w:pPr>
              <w:pStyle w:val="BodyText"/>
              <w:rPr>
                <w:lang w:val="en-NZ"/>
              </w:rPr>
            </w:pPr>
            <w:r w:rsidRPr="00052689">
              <w:t>Participants are best equipped to achieve this unit if they have reading, writing and numeracy skills indicated by the following sc</w:t>
            </w:r>
            <w:r w:rsidRPr="00052689">
              <w:t>ales. Description of each scale is given in Volume 2, Part 3 'Literacy and Numeracy'</w:t>
            </w:r>
          </w:p>
        </w:tc>
      </w:tr>
      <w:tr w:rsidTr="0005268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Reading</w:t>
            </w:r>
          </w:p>
        </w:tc>
        <w:tc>
          <w:tcPr>
            <w:tcW w:w="81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3</w:t>
            </w:r>
          </w:p>
        </w:tc>
        <w:tc>
          <w:tcPr>
            <w:tcW w:w="99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Writing</w:t>
            </w:r>
          </w:p>
        </w:tc>
        <w:tc>
          <w:tcPr>
            <w:tcW w:w="90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3</w:t>
            </w:r>
          </w:p>
        </w:tc>
        <w:tc>
          <w:tcPr>
            <w:tcW w:w="126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Numeracy</w:t>
            </w:r>
          </w:p>
        </w:tc>
        <w:tc>
          <w:tcPr>
            <w:tcW w:w="1322" w:type="dxa"/>
            <w:gridSpan w:val="2"/>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3</w:t>
            </w:r>
          </w:p>
        </w:tc>
      </w:tr>
    </w:tbl>
    <w:p w:rsidR="00B34C84" w:rsidP="00052689">
      <w:pPr>
        <w:pStyle w:val="BodyText"/>
      </w:pPr>
    </w:p>
    <w:p w:rsidR="00B34C84" w:rsidP="00052689">
      <w:pPr>
        <w:pStyle w:val="BodyText"/>
      </w:pPr>
    </w:p>
    <w:p w:rsidR="00000000" w:rsidRPr="00052689" w:rsidP="00052689">
      <w:pPr>
        <w:pStyle w:val="Heading1"/>
      </w:pPr>
      <w:bookmarkStart w:id="6" w:name="O_620998"/>
      <w:bookmarkEnd w:id="6"/>
      <w:r w:rsidRPr="00052689">
        <w:t>Employability Skills Information</w:t>
      </w:r>
    </w:p>
    <w:tbl>
      <w:tblPr>
        <w:tblW w:w="0" w:type="auto"/>
        <w:tblLayout w:type="fixed"/>
        <w:tblCellMar>
          <w:left w:w="62" w:type="dxa"/>
          <w:right w:w="62" w:type="dxa"/>
        </w:tblCellMar>
        <w:tblLook w:val="0000"/>
      </w:tblPr>
      <w:tblGrid>
        <w:gridCol w:w="2576"/>
        <w:gridCol w:w="6293"/>
      </w:tblGrid>
      <w:tr w:rsidTr="0005268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Employability Skills</w:t>
            </w:r>
          </w:p>
        </w:tc>
        <w:tc>
          <w:tcPr>
            <w:tcW w:w="6293"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 xml:space="preserve">5) </w:t>
            </w:r>
          </w:p>
        </w:tc>
      </w:tr>
      <w:tr w:rsidTr="0005268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3"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This unit contains Employability Skills</w:t>
            </w:r>
          </w:p>
          <w:p w:rsidR="00000000" w:rsidRPr="00052689" w:rsidP="00052689">
            <w:pPr>
              <w:pStyle w:val="BodyText"/>
            </w:pPr>
            <w:r w:rsidRPr="0005268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52689">
              <w:t>requirements.</w:t>
            </w:r>
          </w:p>
        </w:tc>
      </w:tr>
    </w:tbl>
    <w:p w:rsidR="00B34C84" w:rsidP="00052689">
      <w:pPr>
        <w:pStyle w:val="BodyText"/>
      </w:pPr>
    </w:p>
    <w:p w:rsidR="00B34C84" w:rsidP="00052689">
      <w:pPr>
        <w:pStyle w:val="BodyText"/>
      </w:pPr>
    </w:p>
    <w:p w:rsidR="00000000" w:rsidRPr="00052689" w:rsidP="00052689">
      <w:pPr>
        <w:pStyle w:val="Heading1"/>
      </w:pPr>
      <w:bookmarkStart w:id="7" w:name="O_620999"/>
      <w:bookmarkEnd w:id="7"/>
      <w:r w:rsidRPr="00052689">
        <w:t>Elements and Performance Criteria Pre-Content</w:t>
      </w:r>
    </w:p>
    <w:tbl>
      <w:tblPr>
        <w:tblW w:w="0" w:type="auto"/>
        <w:tblLayout w:type="fixed"/>
        <w:tblCellMar>
          <w:left w:w="62" w:type="dxa"/>
          <w:right w:w="62" w:type="dxa"/>
        </w:tblCellMar>
        <w:tblLook w:val="0000"/>
      </w:tblPr>
      <w:tblGrid>
        <w:gridCol w:w="2576"/>
        <w:gridCol w:w="6244"/>
      </w:tblGrid>
      <w:tr w:rsidTr="0005268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 xml:space="preserve">6) </w:t>
            </w:r>
            <w:r w:rsidRPr="00052689">
              <w:rPr>
                <w:rStyle w:val="Emphasis"/>
              </w:rPr>
              <w:t>Elements describe the essential outcomes of a competency standard unit</w:t>
            </w:r>
          </w:p>
        </w:tc>
        <w:tc>
          <w:tcPr>
            <w:tcW w:w="6244"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Emphasis"/>
              </w:rPr>
              <w:t>Performance Criteria describe the required performance needed to demonstrate achievement of the element. Assessment of performance is to be consistent with the Evidence Guide.</w:t>
            </w:r>
          </w:p>
        </w:tc>
      </w:tr>
    </w:tbl>
    <w:p w:rsidR="00000000" w:rsidRPr="00052689" w:rsidP="00052689">
      <w:pPr>
        <w:pStyle w:val="BodyText"/>
      </w:pPr>
    </w:p>
    <w:p w:rsidR="00000000" w:rsidRPr="00052689" w:rsidP="00052689">
      <w:pPr>
        <w:pStyle w:val="AllowPageBreak"/>
      </w:pPr>
    </w:p>
    <w:p w:rsidR="00000000" w:rsidRPr="00052689" w:rsidP="00052689">
      <w:pPr>
        <w:pStyle w:val="Heading1"/>
      </w:pPr>
      <w:bookmarkStart w:id="8" w:name="O_621000"/>
      <w:bookmarkEnd w:id="8"/>
      <w:r w:rsidRPr="00052689">
        <w:t>Elements and Performance Criteria</w:t>
      </w:r>
    </w:p>
    <w:tbl>
      <w:tblPr>
        <w:tblW w:w="0" w:type="auto"/>
        <w:tblLayout w:type="fixed"/>
        <w:tblCellMar>
          <w:left w:w="62" w:type="dxa"/>
          <w:right w:w="62" w:type="dxa"/>
        </w:tblCellMar>
        <w:tblLook w:val="0000"/>
      </w:tblPr>
      <w:tblGrid>
        <w:gridCol w:w="280"/>
        <w:gridCol w:w="2296"/>
        <w:gridCol w:w="62"/>
        <w:gridCol w:w="776"/>
        <w:gridCol w:w="62"/>
        <w:gridCol w:w="5331"/>
        <w:gridCol w:w="62"/>
        <w:gridCol w:w="62"/>
      </w:tblGrid>
      <w:tr w:rsidTr="00052689">
        <w:tblPrEx>
          <w:tblW w:w="0" w:type="auto"/>
          <w:tblLayout w:type="fixed"/>
          <w:tblCellMar>
            <w:left w:w="62" w:type="dxa"/>
            <w:right w:w="62" w:type="dxa"/>
          </w:tblCellMar>
          <w:tblLook w:val="0000"/>
        </w:tblPrEx>
        <w:trPr>
          <w:tblHeader/>
        </w:trPr>
        <w:tc>
          <w:tcPr>
            <w:tcW w:w="2638" w:type="dxa"/>
            <w:gridSpan w:val="3"/>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ELEMENT</w:t>
            </w:r>
          </w:p>
        </w:tc>
        <w:tc>
          <w:tcPr>
            <w:tcW w:w="6293" w:type="dxa"/>
            <w:gridSpan w:val="5"/>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PERFORMANCE CRITERIA</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1</w:t>
            </w:r>
          </w:p>
        </w:tc>
        <w:tc>
          <w:tcPr>
            <w:tcW w:w="2296" w:type="dxa"/>
            <w:vMerge w:val="restart"/>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Prepare to install gas flow, measuring and pressure  regulating devices</w:t>
            </w:r>
          </w:p>
        </w:tc>
        <w:tc>
          <w:tcPr>
            <w:tcW w:w="900" w:type="dxa"/>
            <w:gridSpan w:val="3"/>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1.1</w:t>
            </w:r>
          </w:p>
          <w:p w:rsidR="00000000" w:rsidRPr="00052689" w:rsidP="00052689">
            <w:pPr>
              <w:pStyle w:val="BodyText"/>
            </w:pPr>
          </w:p>
          <w:p w:rsidR="00000000" w:rsidP="00052689">
            <w:pPr>
              <w:pStyle w:val="BodyText"/>
              <w:rPr>
                <w:lang w:val="en-NZ"/>
              </w:rPr>
            </w:pPr>
            <w:r w:rsidRPr="00052689">
              <w:t>1.2</w:t>
            </w:r>
          </w:p>
        </w:tc>
        <w:tc>
          <w:tcPr>
            <w:tcW w:w="5393" w:type="dxa"/>
            <w:gridSpan w:val="2"/>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WHS and environmental measures for the site are identified, obtained and understood.</w:t>
            </w:r>
          </w:p>
          <w:p w:rsidR="00000000" w:rsidP="00052689">
            <w:pPr>
              <w:pStyle w:val="BodyText"/>
              <w:rPr>
                <w:lang w:val="en-NZ"/>
              </w:rPr>
            </w:pPr>
            <w:r w:rsidRPr="00052689">
              <w:t>Work requirements for the work are interpreted from plans, specifications and instructions</w:t>
            </w:r>
          </w:p>
        </w:tc>
      </w:tr>
      <w:tr w:rsidTr="00052689">
        <w:tblPrEx>
          <w:tblW w:w="0" w:type="auto"/>
          <w:tblLayout w:type="fixed"/>
          <w:tblCellMar>
            <w:left w:w="62" w:type="dxa"/>
            <w:right w:w="62" w:type="dxa"/>
          </w:tblCellMar>
          <w:tblLook w:val="0000"/>
        </w:tblPrEx>
        <w:trPr>
          <w:gridAfter w:val="2"/>
          <w:wAfter w:w="124"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1.3</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Relevant requirements and established procedures for the work are discussed with relevant persons to establish and confirm the work schedule and respective </w:t>
            </w:r>
            <w:r w:rsidRPr="00052689">
              <w:t xml:space="preserve">responsibilities.  </w:t>
            </w:r>
          </w:p>
        </w:tc>
      </w:tr>
      <w:tr w:rsidTr="00052689">
        <w:tblPrEx>
          <w:tblW w:w="0" w:type="auto"/>
          <w:tblLayout w:type="fixed"/>
          <w:tblCellMar>
            <w:left w:w="62" w:type="dxa"/>
            <w:right w:w="62" w:type="dxa"/>
          </w:tblCellMar>
          <w:tblLook w:val="0000"/>
        </w:tblPrEx>
        <w:trPr>
          <w:gridAfter w:val="2"/>
          <w:wAfter w:w="124"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1.4</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WHS, environmental and sustainable energy policies and procedures are received and confirmed. </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1.5</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Hazards are identified, WHS and risks are assessed and control measures are prioritised, implemented and monitored according to established procedures.</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1.6</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Scope of the responsibility under the relevant work permits and/or relevant notification is received and confirmed to access, isolate/de-energise systems and perform work according to requirements and established procedures</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1.7</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Equipment, tools and p</w:t>
            </w:r>
            <w:r w:rsidRPr="00052689">
              <w:t>ersonal protective equipment needed to carry out the work are identified, scheduled, obtained and checked for correct operation and safety.</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1.8</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Appropriate persons are consulted to ensure the work is coordinated effectively with others involved </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1.9</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Materials, plans, diagrams, drawings and resources required for work are confirmed and obtained in accordance with established procedures </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1.10</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Relevant responsibilities associated with first aid and other related work safety procedures for an </w:t>
            </w:r>
            <w:r w:rsidRPr="00052689">
              <w:t xml:space="preserve">incident at the worksite are checked and confirmed.  </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1.11</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Third party issues are referred to appropriate persons in accordance with established procedures, for example "low voltage electrical work". </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1.12</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Site preparation, safety plan and the work schedule are confirmed in accordance with established procedures.</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 xml:space="preserve">Install gas flow, measuring and pressure regulating devices </w:t>
            </w: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2.1</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WHS risk control measures, schedule of work and standard operating procedures for carrying out the work are followed.</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2.2</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Appropriate materials, tools, equipment and measuring devices are selected and used correctly and safely.</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2.3</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Hazardous activities such as lifting, climbing, working in confined spaces, excavations, trenches, or aloft, and use of </w:t>
            </w:r>
            <w:r w:rsidRPr="00052689">
              <w:t xml:space="preserve">power tools, techniques and practices are conducted safely in accordance with given instructions and to requirements </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2.4</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Work is </w:t>
            </w:r>
            <w:r w:rsidRPr="00052689">
              <w:t>carried out efficiently, to the required standard without waste of materials or damage to apparatus, circuits, the surrounding environment or services and using sustainable energy principles.</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2.5</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Hazard warnings and safety signs are recognised and assessed WHS risks and incidents are reported to the immediate authorised persons for directions according to established procedures. </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2.6</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Installation of components is conducted in accordan</w:t>
            </w:r>
            <w:r w:rsidRPr="00052689">
              <w:t>ce with the work schedule and established procedures</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2.7</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Regulators, filters and meter components system are purged, pressurised and checked for soundness in accordance with established procedures</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2.8</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Procedures for referring non-routine events to the immediate authorised persons for directions are followed.</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2.9</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Routine quality checks are carried out in accordance with work instructions</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3</w:t>
            </w:r>
          </w:p>
        </w:tc>
        <w:tc>
          <w:tcPr>
            <w:tcW w:w="2296" w:type="dxa"/>
            <w:vMerge w:val="restart"/>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Complete work and relevant documentation</w:t>
            </w: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3.1</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WHS risk control work completion measures and procedures are followed.</w:t>
            </w:r>
          </w:p>
        </w:tc>
      </w:tr>
      <w:tr w:rsidTr="00052689">
        <w:tblPrEx>
          <w:tblW w:w="0" w:type="auto"/>
          <w:tblLayout w:type="fixed"/>
          <w:tblCellMar>
            <w:left w:w="62" w:type="dxa"/>
            <w:right w:w="62" w:type="dxa"/>
          </w:tblCellMar>
          <w:tblLook w:val="0000"/>
        </w:tblPrEx>
        <w:trPr>
          <w:gridAfter w:val="2"/>
          <w:wAfter w:w="124"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3.2</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Work site is tidied and made safe in accordance with established procedures</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3.3</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Tools, equipment and any surplus resources and materials are cleaned, checked and securely stored.</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3.4</w:t>
            </w:r>
          </w:p>
        </w:tc>
        <w:tc>
          <w:tcPr>
            <w:tcW w:w="5393"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Appropriate persons are notified of work completion according to established procedures</w:t>
            </w:r>
          </w:p>
        </w:tc>
      </w:tr>
      <w:tr w:rsidTr="00052689">
        <w:tblPrEx>
          <w:tblW w:w="0" w:type="auto"/>
          <w:tblLayout w:type="fixed"/>
          <w:tblCellMar>
            <w:left w:w="62" w:type="dxa"/>
            <w:right w:w="62" w:type="dxa"/>
          </w:tblCellMar>
          <w:tblLook w:val="0000"/>
        </w:tblPrEx>
        <w:trPr>
          <w:gridAfter w:val="1"/>
          <w:wAfter w:w="62" w:type="dxa"/>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3.5</w:t>
            </w:r>
          </w:p>
        </w:tc>
        <w:tc>
          <w:tcPr>
            <w:tcW w:w="5393" w:type="dxa"/>
            <w:gridSpan w:val="2"/>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Work completion documentation is completed accura</w:t>
            </w:r>
            <w:r w:rsidRPr="00052689">
              <w:t xml:space="preserve">tely and provided to  appropriate persons in accordance with established procedures </w:t>
            </w:r>
          </w:p>
        </w:tc>
      </w:tr>
    </w:tbl>
    <w:p w:rsidR="00B34C84" w:rsidP="00052689">
      <w:pPr>
        <w:pStyle w:val="BodyText"/>
      </w:pPr>
    </w:p>
    <w:p w:rsidR="00B34C84" w:rsidP="00052689">
      <w:pPr>
        <w:pStyle w:val="BodyText"/>
      </w:pPr>
    </w:p>
    <w:p w:rsidR="00000000" w:rsidRPr="00052689" w:rsidP="00052689">
      <w:pPr>
        <w:pStyle w:val="Heading1"/>
      </w:pPr>
      <w:bookmarkStart w:id="9" w:name="O_621001"/>
      <w:bookmarkEnd w:id="9"/>
      <w:r w:rsidRPr="00052689">
        <w:t>Required Skills and Knowledge</w:t>
      </w:r>
    </w:p>
    <w:tbl>
      <w:tblPr>
        <w:tblW w:w="9237" w:type="dxa"/>
        <w:tblLayout w:type="fixed"/>
        <w:tblCellMar>
          <w:left w:w="62" w:type="dxa"/>
          <w:right w:w="62" w:type="dxa"/>
        </w:tblCellMar>
        <w:tblLook w:val="0000"/>
      </w:tblPr>
      <w:tblGrid>
        <w:gridCol w:w="1530"/>
        <w:gridCol w:w="7707"/>
      </w:tblGrid>
      <w:tr w:rsidTr="00052689">
        <w:tblPrEx>
          <w:tblW w:w="9237" w:type="dxa"/>
          <w:tblLayout w:type="fixed"/>
          <w:tblCellMar>
            <w:left w:w="62" w:type="dxa"/>
            <w:right w:w="62" w:type="dxa"/>
          </w:tblCellMar>
          <w:tblLook w:val="0000"/>
        </w:tblPrEx>
        <w:trPr>
          <w:tblHeader/>
        </w:trPr>
        <w:tc>
          <w:tcPr>
            <w:tcW w:w="9237"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REQUIRED SKILLS AND KNOWLEDGE</w:t>
            </w:r>
          </w:p>
        </w:tc>
      </w:tr>
      <w:tr w:rsidTr="00052689">
        <w:tblPrEx>
          <w:tblW w:w="9237" w:type="dxa"/>
          <w:tblLayout w:type="fixed"/>
          <w:tblCellMar>
            <w:left w:w="62" w:type="dxa"/>
            <w:right w:w="62" w:type="dxa"/>
          </w:tblCellMar>
          <w:tblLook w:val="0000"/>
        </w:tblPrEx>
        <w:tc>
          <w:tcPr>
            <w:tcW w:w="9237"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7)</w:t>
            </w:r>
            <w:r w:rsidRPr="00052689">
              <w:rPr>
                <w:rStyle w:val="Emphasis"/>
              </w:rPr>
              <w:t xml:space="preserve"> This describes the essential skills and knowledge and their level, required for this unit.</w:t>
            </w:r>
          </w:p>
        </w:tc>
      </w:tr>
      <w:tr w:rsidTr="00052689">
        <w:tblPrEx>
          <w:tblW w:w="9237" w:type="dxa"/>
          <w:tblLayout w:type="fixed"/>
          <w:tblCellMar>
            <w:left w:w="62" w:type="dxa"/>
            <w:right w:w="62" w:type="dxa"/>
          </w:tblCellMar>
          <w:tblLook w:val="0000"/>
        </w:tblPrEx>
        <w:tc>
          <w:tcPr>
            <w:tcW w:w="9237"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Evidence shall show that knowledge has been acquired of safe working practices for carrying out work in a gas industry environment.</w:t>
            </w:r>
          </w:p>
        </w:tc>
      </w:tr>
      <w:tr w:rsidTr="00052689">
        <w:tblPrEx>
          <w:tblW w:w="9237" w:type="dxa"/>
          <w:tblLayout w:type="fixed"/>
          <w:tblCellMar>
            <w:left w:w="62" w:type="dxa"/>
            <w:right w:w="62" w:type="dxa"/>
          </w:tblCellMar>
          <w:tblLook w:val="0000"/>
        </w:tblPrEx>
        <w:trPr>
          <w:trHeight w:val="481"/>
        </w:trPr>
        <w:tc>
          <w:tcPr>
            <w:tcW w:w="9237"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All knowledge and skills detailed in this unit should be contextualised to current industry practices and technologies. The extent of the essential knowledge and associated skills (EKAS) required is provided below. It forms an integral part of this unit.</w:t>
            </w:r>
          </w:p>
        </w:tc>
      </w:tr>
      <w:tr w:rsidTr="00052689">
        <w:tblPrEx>
          <w:tblW w:w="9237" w:type="dxa"/>
          <w:tblLayout w:type="fixed"/>
          <w:tblCellMar>
            <w:left w:w="62" w:type="dxa"/>
            <w:right w:w="62" w:type="dxa"/>
          </w:tblCellMar>
          <w:tblLook w:val="0000"/>
        </w:tblPrEx>
        <w:trPr>
          <w:trHeight w:val="346"/>
        </w:trPr>
        <w:tc>
          <w:tcPr>
            <w:tcW w:w="153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KS01-G805A</w:t>
            </w:r>
          </w:p>
        </w:tc>
        <w:tc>
          <w:tcPr>
            <w:tcW w:w="7707"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Gas Flow and Pressure Control &amp; Measurement Devices Installation</w:t>
            </w:r>
          </w:p>
        </w:tc>
      </w:tr>
      <w:tr w:rsidTr="00052689">
        <w:tblPrEx>
          <w:tblW w:w="9237" w:type="dxa"/>
          <w:tblLayout w:type="fixed"/>
          <w:tblCellMar>
            <w:left w:w="62" w:type="dxa"/>
            <w:right w:w="62" w:type="dxa"/>
          </w:tblCellMar>
          <w:tblLook w:val="0000"/>
        </w:tblPrEx>
        <w:trPr>
          <w:trHeight w:val="346"/>
        </w:trPr>
        <w:tc>
          <w:tcPr>
            <w:tcW w:w="9237"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Evidence shall show an understanding of installing gas flow and pressure measuring and regulating devices in accordance with relevant legislation, standards, codes and establishe</w:t>
            </w:r>
            <w:r w:rsidRPr="00052689">
              <w:t>d procedures to an extent indicated by the following aspects:</w:t>
            </w:r>
          </w:p>
        </w:tc>
      </w:tr>
      <w:tr w:rsidTr="00052689">
        <w:tblPrEx>
          <w:tblW w:w="9237" w:type="dxa"/>
          <w:tblLayout w:type="fixed"/>
          <w:tblCellMar>
            <w:left w:w="62" w:type="dxa"/>
            <w:right w:w="62" w:type="dxa"/>
          </w:tblCellMar>
          <w:tblLook w:val="0000"/>
        </w:tblPrEx>
        <w:tc>
          <w:tcPr>
            <w:tcW w:w="9237" w:type="dxa"/>
            <w:gridSpan w:val="2"/>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T1. Gas distribution and transmission stations</w:t>
            </w:r>
          </w:p>
          <w:p w:rsidR="00000000" w:rsidRPr="00052689" w:rsidP="00052689">
            <w:pPr>
              <w:pStyle w:val="ListBullet"/>
            </w:pPr>
            <w:r w:rsidRPr="00052689">
              <w:t>types</w:t>
            </w:r>
          </w:p>
          <w:p w:rsidR="00000000" w:rsidRPr="00052689" w:rsidP="00052689">
            <w:pPr>
              <w:pStyle w:val="ListBullet"/>
            </w:pPr>
            <w:r w:rsidRPr="00052689">
              <w:t>principles of operation</w:t>
            </w:r>
          </w:p>
          <w:p w:rsidR="00000000" w:rsidRPr="00052689" w:rsidP="00052689">
            <w:pPr>
              <w:pStyle w:val="ListBullet"/>
            </w:pPr>
            <w:r w:rsidRPr="00052689">
              <w:t>components</w:t>
            </w:r>
          </w:p>
          <w:p w:rsidR="00000000" w:rsidRPr="00052689" w:rsidP="00052689">
            <w:pPr>
              <w:pStyle w:val="BodyText"/>
            </w:pPr>
            <w:r w:rsidRPr="00052689">
              <w:t xml:space="preserve">T2. Gas flow control </w:t>
            </w:r>
          </w:p>
          <w:p w:rsidR="00000000" w:rsidRPr="00052689" w:rsidP="00052689">
            <w:pPr>
              <w:pStyle w:val="ListBullet"/>
            </w:pPr>
            <w:r w:rsidRPr="00052689">
              <w:t xml:space="preserve">principles </w:t>
            </w:r>
          </w:p>
          <w:p w:rsidR="00000000" w:rsidRPr="00052689" w:rsidP="00052689">
            <w:pPr>
              <w:pStyle w:val="ListBullet"/>
            </w:pPr>
            <w:r w:rsidRPr="00052689">
              <w:t>component types and operation</w:t>
            </w:r>
          </w:p>
          <w:p w:rsidR="00000000" w:rsidRPr="00052689" w:rsidP="00052689">
            <w:pPr>
              <w:pStyle w:val="ListBullet"/>
            </w:pPr>
            <w:r w:rsidRPr="00052689">
              <w:t>installation</w:t>
            </w:r>
          </w:p>
          <w:p w:rsidR="00000000" w:rsidRPr="00052689" w:rsidP="00052689">
            <w:pPr>
              <w:pStyle w:val="BodyText"/>
            </w:pPr>
            <w:r w:rsidRPr="00052689">
              <w:t>T3. Gas filtering systems</w:t>
            </w:r>
          </w:p>
          <w:p w:rsidR="00000000" w:rsidRPr="00052689" w:rsidP="00052689">
            <w:pPr>
              <w:pStyle w:val="ListBullet"/>
            </w:pPr>
            <w:r w:rsidRPr="00052689">
              <w:t xml:space="preserve">system types </w:t>
            </w:r>
          </w:p>
          <w:p w:rsidR="00000000" w:rsidRPr="00052689" w:rsidP="00052689">
            <w:pPr>
              <w:pStyle w:val="ListBullet"/>
            </w:pPr>
            <w:r w:rsidRPr="00052689">
              <w:t>principles of operation</w:t>
            </w:r>
          </w:p>
          <w:p w:rsidR="00000000" w:rsidRPr="00052689" w:rsidP="00052689">
            <w:pPr>
              <w:pStyle w:val="ListBullet"/>
            </w:pPr>
            <w:r w:rsidRPr="00052689">
              <w:t>components including gas strainers, filters, differential pressure indicators</w:t>
            </w:r>
          </w:p>
          <w:p w:rsidR="00000000" w:rsidRPr="00052689" w:rsidP="00052689">
            <w:pPr>
              <w:pStyle w:val="ListBullet"/>
            </w:pPr>
            <w:r w:rsidRPr="00052689">
              <w:t>maintenance</w:t>
            </w:r>
          </w:p>
          <w:p w:rsidR="00000000" w:rsidRPr="00052689" w:rsidP="00052689">
            <w:pPr>
              <w:pStyle w:val="ListBullet"/>
            </w:pPr>
            <w:r w:rsidRPr="00052689">
              <w:t>fault finding, repair and replacement</w:t>
            </w:r>
          </w:p>
          <w:p w:rsidR="00000000" w:rsidRPr="00052689" w:rsidP="00052689">
            <w:pPr>
              <w:pStyle w:val="BodyText"/>
            </w:pPr>
            <w:r w:rsidRPr="00052689">
              <w:t>T4. Gas monitoring equipment</w:t>
            </w:r>
          </w:p>
          <w:p w:rsidR="00000000" w:rsidRPr="00052689" w:rsidP="00052689">
            <w:pPr>
              <w:pStyle w:val="ListBullet"/>
            </w:pPr>
            <w:r w:rsidRPr="00052689">
              <w:t xml:space="preserve">types </w:t>
            </w:r>
          </w:p>
          <w:p w:rsidR="00000000" w:rsidRPr="00052689" w:rsidP="00052689">
            <w:pPr>
              <w:pStyle w:val="ListBullet"/>
            </w:pPr>
            <w:r w:rsidRPr="00052689">
              <w:t>principles of operation</w:t>
            </w:r>
          </w:p>
          <w:p w:rsidR="00000000" w:rsidRPr="00052689" w:rsidP="00052689">
            <w:pPr>
              <w:pStyle w:val="ListBullet"/>
            </w:pPr>
            <w:r w:rsidRPr="00052689">
              <w:t xml:space="preserve">components </w:t>
            </w:r>
          </w:p>
          <w:p w:rsidR="00000000" w:rsidRPr="00052689" w:rsidP="00052689">
            <w:pPr>
              <w:pStyle w:val="ListBullet"/>
            </w:pPr>
            <w:r w:rsidRPr="00052689">
              <w:t>installation</w:t>
            </w:r>
          </w:p>
          <w:p w:rsidR="00000000" w:rsidRPr="00052689" w:rsidP="00052689">
            <w:pPr>
              <w:pStyle w:val="BodyText"/>
            </w:pPr>
            <w:r w:rsidRPr="00052689">
              <w:t xml:space="preserve">T5. Pressure control equipment </w:t>
            </w:r>
          </w:p>
          <w:p w:rsidR="00000000" w:rsidRPr="00052689" w:rsidP="00052689">
            <w:pPr>
              <w:pStyle w:val="ListBullet"/>
            </w:pPr>
            <w:r w:rsidRPr="00052689">
              <w:t xml:space="preserve">types </w:t>
            </w:r>
          </w:p>
          <w:p w:rsidR="00000000" w:rsidRPr="00052689" w:rsidP="00052689">
            <w:pPr>
              <w:pStyle w:val="ListBullet2"/>
            </w:pPr>
            <w:r w:rsidRPr="00052689">
              <w:t>Pilot loaded diaphragm and sleeve regulators</w:t>
            </w:r>
          </w:p>
          <w:p w:rsidR="00000000" w:rsidRPr="00052689" w:rsidP="00052689">
            <w:pPr>
              <w:pStyle w:val="ListBullet2"/>
            </w:pPr>
            <w:r w:rsidRPr="00052689">
              <w:t>Slam shuts</w:t>
            </w:r>
          </w:p>
          <w:p w:rsidR="00000000" w:rsidRPr="00052689" w:rsidP="00052689">
            <w:pPr>
              <w:pStyle w:val="ListBullet2"/>
            </w:pPr>
            <w:r w:rsidRPr="00052689">
              <w:t>PSVs</w:t>
            </w:r>
          </w:p>
          <w:p w:rsidR="00000000" w:rsidRPr="00052689" w:rsidP="00052689">
            <w:pPr>
              <w:pStyle w:val="ListBullet"/>
            </w:pPr>
            <w:r w:rsidRPr="00052689">
              <w:t>principles of operation</w:t>
            </w:r>
          </w:p>
          <w:p w:rsidR="00000000" w:rsidRPr="00052689" w:rsidP="00052689">
            <w:pPr>
              <w:pStyle w:val="ListBullet"/>
            </w:pPr>
            <w:r w:rsidRPr="00052689">
              <w:t>single run and single stage systems</w:t>
            </w:r>
          </w:p>
          <w:p w:rsidR="00000000" w:rsidRPr="00052689" w:rsidP="00052689">
            <w:pPr>
              <w:pStyle w:val="ListBullet"/>
            </w:pPr>
            <w:r w:rsidRPr="00052689">
              <w:t>multi-run and multi-stage systems, inter-stage, active/monitor, etc.</w:t>
            </w:r>
          </w:p>
          <w:p w:rsidR="00000000" w:rsidRPr="00052689" w:rsidP="00052689">
            <w:pPr>
              <w:pStyle w:val="ListBullet"/>
            </w:pPr>
            <w:r w:rsidRPr="00052689">
              <w:t>installation</w:t>
            </w:r>
          </w:p>
          <w:p w:rsidR="00000000" w:rsidRPr="00052689" w:rsidP="00052689">
            <w:pPr>
              <w:pStyle w:val="BodyText"/>
            </w:pPr>
            <w:r w:rsidRPr="00052689">
              <w:t>T6. Flow measurement equipment</w:t>
            </w:r>
          </w:p>
          <w:p w:rsidR="00000000" w:rsidRPr="00052689" w:rsidP="00052689">
            <w:pPr>
              <w:pStyle w:val="ListBullet"/>
            </w:pPr>
            <w:r w:rsidRPr="00052689">
              <w:t xml:space="preserve">types </w:t>
            </w:r>
          </w:p>
          <w:p w:rsidR="00000000" w:rsidRPr="00052689" w:rsidP="00052689">
            <w:pPr>
              <w:pStyle w:val="ListBullet2"/>
            </w:pPr>
            <w:r w:rsidRPr="00052689">
              <w:t>Small capacity union connected positive displacement meters</w:t>
            </w:r>
          </w:p>
          <w:p w:rsidR="00000000" w:rsidRPr="00052689" w:rsidP="00052689">
            <w:pPr>
              <w:pStyle w:val="ListBullet2"/>
            </w:pPr>
            <w:r w:rsidRPr="00052689">
              <w:t>Positive displacement meters</w:t>
            </w:r>
          </w:p>
          <w:p w:rsidR="00000000" w:rsidRPr="00052689" w:rsidP="00052689">
            <w:pPr>
              <w:pStyle w:val="ListBullet2"/>
            </w:pPr>
            <w:r w:rsidRPr="00052689">
              <w:t>Turbine meters</w:t>
            </w:r>
          </w:p>
          <w:p w:rsidR="00000000" w:rsidRPr="00052689" w:rsidP="00052689">
            <w:pPr>
              <w:pStyle w:val="ListBullet"/>
            </w:pPr>
            <w:r w:rsidRPr="00052689">
              <w:t>operation</w:t>
            </w:r>
          </w:p>
          <w:p w:rsidR="00000000" w:rsidRPr="00052689" w:rsidP="00052689">
            <w:pPr>
              <w:pStyle w:val="ListBullet"/>
            </w:pPr>
            <w:r w:rsidRPr="00052689">
              <w:t>installation</w:t>
            </w:r>
          </w:p>
          <w:p w:rsidR="00000000" w:rsidRPr="00052689" w:rsidP="00052689">
            <w:pPr>
              <w:pStyle w:val="BodyText"/>
            </w:pPr>
            <w:r w:rsidRPr="00052689">
              <w:t>T7. Gas station alarms and safety devices</w:t>
            </w:r>
          </w:p>
          <w:p w:rsidR="00000000" w:rsidRPr="00052689" w:rsidP="00052689">
            <w:pPr>
              <w:pStyle w:val="ListBullet"/>
            </w:pPr>
            <w:r w:rsidRPr="00052689">
              <w:t xml:space="preserve">types </w:t>
            </w:r>
          </w:p>
          <w:p w:rsidR="00000000" w:rsidRPr="00052689" w:rsidP="00052689">
            <w:pPr>
              <w:pStyle w:val="ListBullet"/>
            </w:pPr>
            <w:r w:rsidRPr="00052689">
              <w:t>operation</w:t>
            </w:r>
          </w:p>
          <w:p w:rsidR="00000000" w:rsidRPr="00052689" w:rsidP="00052689">
            <w:pPr>
              <w:pStyle w:val="ListBullet"/>
            </w:pPr>
            <w:r w:rsidRPr="00052689">
              <w:t>installation</w:t>
            </w:r>
          </w:p>
          <w:p w:rsidR="00000000" w:rsidRPr="00052689" w:rsidP="00052689">
            <w:pPr>
              <w:pStyle w:val="BodyText"/>
            </w:pPr>
            <w:r w:rsidRPr="00052689">
              <w:t xml:space="preserve">T8. Gas station valves </w:t>
            </w:r>
          </w:p>
          <w:p w:rsidR="00000000" w:rsidRPr="00052689" w:rsidP="00052689">
            <w:pPr>
              <w:pStyle w:val="ListBullet"/>
            </w:pPr>
            <w:r w:rsidRPr="00052689">
              <w:t xml:space="preserve">types </w:t>
            </w:r>
          </w:p>
          <w:p w:rsidR="00000000" w:rsidRPr="00052689" w:rsidP="00052689">
            <w:pPr>
              <w:pStyle w:val="ListBullet"/>
            </w:pPr>
            <w:r w:rsidRPr="00052689">
              <w:t>operation</w:t>
            </w:r>
          </w:p>
          <w:p w:rsidR="00000000" w:rsidRPr="00052689" w:rsidP="00052689">
            <w:pPr>
              <w:pStyle w:val="ListBullet"/>
            </w:pPr>
            <w:r w:rsidRPr="00052689">
              <w:t>installation</w:t>
            </w:r>
          </w:p>
          <w:p w:rsidR="00000000" w:rsidRPr="00052689" w:rsidP="00052689">
            <w:pPr>
              <w:pStyle w:val="BodyText"/>
            </w:pPr>
            <w:r w:rsidRPr="00052689">
              <w:t>T9. Gas station venting, purging, pressurising and soundness check operations</w:t>
            </w:r>
          </w:p>
          <w:p w:rsidR="00000000" w:rsidRPr="00052689" w:rsidP="00052689">
            <w:pPr>
              <w:pStyle w:val="BodyText"/>
            </w:pPr>
            <w:r w:rsidRPr="00052689">
              <w:t>T10. Manufactures specifications, manuals and procedures.</w:t>
            </w:r>
          </w:p>
          <w:p w:rsidR="00000000" w:rsidRPr="00052689" w:rsidP="00052689">
            <w:pPr>
              <w:pStyle w:val="BodyText"/>
            </w:pPr>
            <w:r w:rsidRPr="00052689">
              <w:t>T11. Organisations gas facility manuals, schematics, P+ID’s and p</w:t>
            </w:r>
            <w:r w:rsidRPr="00052689">
              <w:t>rocedures</w:t>
            </w:r>
          </w:p>
          <w:p w:rsidR="00000000" w:rsidRPr="00052689" w:rsidP="00052689">
            <w:pPr>
              <w:pStyle w:val="BodyText"/>
            </w:pPr>
            <w:r w:rsidRPr="00052689">
              <w:t>T12. Relevant Legislation, Standards, Codes and Regulations including:</w:t>
            </w:r>
          </w:p>
          <w:p w:rsidR="00000000" w:rsidRPr="00052689" w:rsidP="00052689">
            <w:pPr>
              <w:pStyle w:val="ListBullet"/>
            </w:pPr>
            <w:r w:rsidRPr="00052689">
              <w:t>AS2885.3 Pipelines - Gas and liquid petroleum</w:t>
            </w:r>
          </w:p>
          <w:p w:rsidR="00000000" w:rsidRPr="00052689" w:rsidP="00052689">
            <w:pPr>
              <w:pStyle w:val="ListBullet"/>
            </w:pPr>
            <w:r w:rsidRPr="00052689">
              <w:t>AS/NZS 4645 Gas distribution networks</w:t>
            </w:r>
          </w:p>
          <w:p w:rsidR="00000000" w:rsidRPr="00052689" w:rsidP="00052689">
            <w:pPr>
              <w:pStyle w:val="ListBullet"/>
            </w:pPr>
            <w:r w:rsidRPr="00052689">
              <w:t>AS/NZS 5601 Gas installations</w:t>
            </w:r>
          </w:p>
          <w:p w:rsidR="00000000" w:rsidRPr="00052689" w:rsidP="00052689">
            <w:pPr>
              <w:pStyle w:val="BodyText"/>
            </w:pPr>
            <w:r w:rsidRPr="00052689">
              <w:t>T13. Reporting and documentation requirements</w:t>
            </w:r>
          </w:p>
        </w:tc>
      </w:tr>
    </w:tbl>
    <w:p w:rsidR="00B34C84" w:rsidP="00052689">
      <w:pPr>
        <w:pStyle w:val="BodyText"/>
      </w:pPr>
    </w:p>
    <w:p w:rsidR="00B34C84" w:rsidP="00052689">
      <w:pPr>
        <w:pStyle w:val="BodyText"/>
      </w:pPr>
    </w:p>
    <w:p w:rsidR="00000000" w:rsidRPr="00052689" w:rsidP="00052689">
      <w:pPr>
        <w:pStyle w:val="Heading1"/>
      </w:pPr>
      <w:bookmarkStart w:id="10" w:name="O_621002"/>
      <w:bookmarkEnd w:id="10"/>
      <w:r w:rsidRPr="00052689">
        <w:t>Evidence Guide</w:t>
      </w:r>
    </w:p>
    <w:tbl>
      <w:tblPr>
        <w:tblW w:w="0" w:type="auto"/>
        <w:tblLayout w:type="fixed"/>
        <w:tblCellMar>
          <w:left w:w="62" w:type="dxa"/>
          <w:right w:w="62" w:type="dxa"/>
        </w:tblCellMar>
        <w:tblLook w:val="0000"/>
      </w:tblPr>
      <w:tblGrid>
        <w:gridCol w:w="1766"/>
        <w:gridCol w:w="6570"/>
      </w:tblGrid>
      <w:tr w:rsidTr="00052689">
        <w:tblPrEx>
          <w:tblW w:w="0" w:type="auto"/>
          <w:tblLayout w:type="fixed"/>
          <w:tblCellMar>
            <w:left w:w="62" w:type="dxa"/>
            <w:right w:w="62" w:type="dxa"/>
          </w:tblCellMar>
          <w:tblLook w:val="0000"/>
        </w:tblPrEx>
        <w:trPr>
          <w:tblHeader/>
        </w:trPr>
        <w:tc>
          <w:tcPr>
            <w:tcW w:w="8336"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EVIDENCE GUIDE</w:t>
            </w:r>
          </w:p>
        </w:tc>
      </w:tr>
      <w:tr w:rsidTr="00052689">
        <w:tblPrEx>
          <w:tblW w:w="0" w:type="auto"/>
          <w:tblLayout w:type="fixed"/>
          <w:tblCellMar>
            <w:left w:w="62" w:type="dxa"/>
            <w:right w:w="62" w:type="dxa"/>
          </w:tblCellMar>
          <w:tblLook w:val="0000"/>
        </w:tblPrEx>
        <w:tc>
          <w:tcPr>
            <w:tcW w:w="8336"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8)</w:t>
            </w:r>
            <w:r w:rsidRPr="00052689">
              <w:t xml:space="preserve"> The Evidence Guide forms an integral part of this Unit and shall be used in conjunction with all components parts of this unit and performed in accordance with the Assessment Guidelines of this Training Package.</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8.1)</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 xml:space="preserve">Longitudinal competency development approaches to assessment, such as Profiling, require data to be reliably gathered in a form that can be </w:t>
            </w:r>
            <w:r w:rsidRPr="00052689">
              <w:t>consistently interpreted over time. This approach is best utilised in Apprenticeship programs and reduces assessment intervention. It is the Industry’s preferred model for apprenticeships. However, where summative (or final) assessment is used it is to inc</w:t>
            </w:r>
            <w:r w:rsidRPr="00052689">
              <w:t>lude the application of the competency in the normal work environment or, at a minimum, the application of the competency in a realistically simulated work environment. It is recognised that, in some circumstances, assessment in part or full can occur outs</w:t>
            </w:r>
            <w:r w:rsidRPr="00052689">
              <w:t>ide the workplace. However, it must be in accord with Industry and Regulatory policy in this regard.</w:t>
            </w:r>
          </w:p>
          <w:p w:rsidR="00000000" w:rsidRPr="00052689" w:rsidP="00052689">
            <w:pPr>
              <w:pStyle w:val="BodyText"/>
            </w:pPr>
            <w:r w:rsidRPr="00052689">
              <w:t xml:space="preserve">Methods chosen for a particular assessment will be influenced by various factors. These include the extent of the assessment, the most effective locations </w:t>
            </w:r>
            <w:r w:rsidRPr="00052689">
              <w:t>for the assessment activities to take place, access to physical resources, additional safety measures that may be required and the critical nature of the competencies being assessed.</w:t>
            </w:r>
          </w:p>
          <w:p w:rsidR="00000000" w:rsidRPr="00052689" w:rsidP="00052689">
            <w:pPr>
              <w:pStyle w:val="BodyText"/>
            </w:pPr>
            <w:r w:rsidRPr="00052689">
              <w:t>The critical safety nature of working with electricity, electrical equipm</w:t>
            </w:r>
            <w:r w:rsidRPr="00052689">
              <w:t>ent, gas or any other hazardous substance/material carries risk in deeming a person competent. Hence, sources of evidence need to be ‘rich’ in nature so as to minimise error in judgment.</w:t>
            </w:r>
          </w:p>
          <w:p w:rsidR="00000000" w:rsidRPr="00052689" w:rsidP="00052689">
            <w:pPr>
              <w:pStyle w:val="BodyText"/>
            </w:pPr>
            <w:r w:rsidRPr="00052689">
              <w:t>Activities associated with normal every day work have a bearing on th</w:t>
            </w:r>
            <w:r w:rsidRPr="00052689">
              <w:t xml:space="preserve">e </w:t>
            </w:r>
            <w:r w:rsidRPr="00052689">
              <w:t>decision as to how much and how detailed the data gathered will contribute to its ‘richness’. Some skills are more critical to safety and operational requirements while the same skills may be more or less frequently practiced. These points are raised for</w:t>
            </w:r>
            <w:r w:rsidRPr="00052689">
              <w:t xml:space="preserve"> the assessors to consider when choosing an assessment method and developing assessment instruments. Sample instruments are included for Assessors in the Assessment Guidelines of this Training Package.</w:t>
            </w:r>
          </w:p>
        </w:tc>
      </w:tr>
    </w:tbl>
    <w:p w:rsidR="00000000" w:rsidRPr="00052689" w:rsidP="00052689">
      <w:pPr>
        <w:pStyle w:val="BodyText"/>
      </w:pPr>
    </w:p>
    <w:tbl>
      <w:tblPr>
        <w:tblW w:w="0" w:type="auto"/>
        <w:tblLayout w:type="fixed"/>
        <w:tblCellMar>
          <w:left w:w="62" w:type="dxa"/>
          <w:right w:w="62" w:type="dxa"/>
        </w:tblCellMar>
        <w:tblLook w:val="0000"/>
      </w:tblPr>
      <w:tblGrid>
        <w:gridCol w:w="1800"/>
        <w:gridCol w:w="810"/>
        <w:gridCol w:w="450"/>
        <w:gridCol w:w="5310"/>
      </w:tblGrid>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Critical aspects of evidence required to demonstrate</w:t>
            </w:r>
            <w:r w:rsidRPr="00052689">
              <w:rPr>
                <w:rStyle w:val="SpecialBold"/>
              </w:rPr>
              <w:t xml:space="preserv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8.2)</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Before the critical aspects of evidence are considered all prerequisites shall be met.</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052689">
            <w:pPr>
              <w:pStyle w:val="ListBullet"/>
              <w:rPr>
                <w:lang w:val="en-NZ"/>
              </w:rPr>
            </w:pPr>
            <w:r w:rsidRPr="00052689">
              <w:t>A representative body of work performance demonstrated within the timeframes typically expected of the discipline, work function and industrial environment. In particular this shall incorporate evidence that shows a candidate is able to:</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052689">
            <w:pPr>
              <w:pStyle w:val="ListBullet2"/>
              <w:rPr>
                <w:lang w:val="en-NZ"/>
              </w:rPr>
            </w:pPr>
            <w:r w:rsidRPr="00052689">
              <w:t xml:space="preserve">Implement </w:t>
            </w:r>
            <w:r w:rsidRPr="00052689">
              <w:t>Occupational Health and Safety workplace procedures and practices including the use of risk control measures as specified in the Performance Criteria and range</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052689">
            <w:pPr>
              <w:pStyle w:val="ListBullet2"/>
              <w:rPr>
                <w:lang w:val="en-NZ"/>
              </w:rPr>
            </w:pPr>
            <w:r w:rsidRPr="00052689">
              <w:t xml:space="preserve">Apply sustainable energy principles and practices as specified in the Performance Criteria </w:t>
            </w:r>
            <w:r w:rsidRPr="00052689">
              <w:t>and range</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052689">
            <w:pPr>
              <w:pStyle w:val="ListBullet2"/>
              <w:rPr>
                <w:lang w:val="en-NZ"/>
              </w:rPr>
            </w:pPr>
            <w:r w:rsidRPr="00052689">
              <w:t>Demonstrate an understanding of the essential knowledge and associated skills as described in this unit to such an extent that the learner’s performance outcome is reported in accordance with the preferred approach; namely a percentile grade</w:t>
            </w:r>
            <w:r w:rsidRPr="00052689">
              <w:t>d result, where required by the regulated environment</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052689">
            <w:pPr>
              <w:pStyle w:val="ListBullet2"/>
              <w:rPr>
                <w:lang w:val="en-NZ"/>
              </w:rPr>
            </w:pPr>
            <w:r w:rsidRPr="00052689">
              <w:t>Demonstrate an appropriate level of employability skills</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052689">
            <w:pPr>
              <w:pStyle w:val="ListBullet2"/>
              <w:rPr>
                <w:lang w:val="en-NZ"/>
              </w:rPr>
            </w:pPr>
            <w:r w:rsidRPr="00052689">
              <w:t>Conduct work observing the relevant Anti-Discrimination legislation, regulations, polices and workplace procedures</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052689" w:rsidP="00052689">
            <w:pPr>
              <w:pStyle w:val="ListBullet"/>
            </w:pPr>
            <w:r w:rsidRPr="00052689">
              <w:t>Demonstrate performance across a representative range of contexts from the prescribed items below.</w:t>
            </w:r>
          </w:p>
          <w:p w:rsidR="00000000" w:rsidP="00052689">
            <w:pPr>
              <w:pStyle w:val="ListBullet2"/>
              <w:rPr>
                <w:lang w:val="en-NZ"/>
              </w:rPr>
            </w:pPr>
            <w:r w:rsidRPr="00052689">
              <w:t>Carry out work on gas flow and pressure measuring and regulating devices in accordance with relevant legislation, code, regulations and procedures as</w:t>
            </w:r>
            <w:r w:rsidRPr="00052689">
              <w:t xml:space="preserve"> described in 9.) Range Statement and including:</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A.</w:t>
            </w:r>
          </w:p>
        </w:tc>
        <w:tc>
          <w:tcPr>
            <w:tcW w:w="531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Identifying and interpreting correctly drawings, diagrams, schedules, procedures and manuals relevant to the work to be undertaken.</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B.</w:t>
            </w:r>
          </w:p>
        </w:tc>
        <w:tc>
          <w:tcPr>
            <w:tcW w:w="531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Selecting correct materials, equipment, tools, personal protection equipment and measurement devices </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C.</w:t>
            </w:r>
          </w:p>
        </w:tc>
        <w:tc>
          <w:tcPr>
            <w:tcW w:w="531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Installing gas valves, filters, regulators and pressure relief devices</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D.</w:t>
            </w:r>
          </w:p>
        </w:tc>
        <w:tc>
          <w:tcPr>
            <w:tcW w:w="531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Installing pressure measurement, control, boosters and relief devices</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E.</w:t>
            </w:r>
          </w:p>
        </w:tc>
        <w:tc>
          <w:tcPr>
            <w:tcW w:w="531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Purging, pressurising, checking soundness and venting components </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F. </w:t>
            </w:r>
          </w:p>
        </w:tc>
        <w:tc>
          <w:tcPr>
            <w:tcW w:w="531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Completing required documentation and reporting.</w:t>
            </w:r>
          </w:p>
        </w:tc>
      </w:tr>
      <w:tr w:rsidTr="00B34C8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G.</w:t>
            </w:r>
          </w:p>
        </w:tc>
        <w:tc>
          <w:tcPr>
            <w:tcW w:w="531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Dealing with unplanned events by drawing on essential knowledge and skills, procedures/ protocols to provide appropriate solutions incorporated in the holistic assessment with the above listed items, for example encroachment and/or contact with assets</w:t>
            </w:r>
          </w:p>
        </w:tc>
      </w:tr>
    </w:tbl>
    <w:p w:rsidR="00000000" w:rsidRPr="00052689" w:rsidP="00052689">
      <w:pPr>
        <w:pStyle w:val="BodyText"/>
      </w:pPr>
    </w:p>
    <w:tbl>
      <w:tblPr>
        <w:tblW w:w="0" w:type="auto"/>
        <w:tblLayout w:type="fixed"/>
        <w:tblCellMar>
          <w:left w:w="62" w:type="dxa"/>
          <w:right w:w="62" w:type="dxa"/>
        </w:tblCellMar>
        <w:tblLook w:val="0000"/>
      </w:tblPr>
      <w:tblGrid>
        <w:gridCol w:w="1766"/>
        <w:gridCol w:w="6570"/>
      </w:tblGrid>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Co</w:t>
            </w:r>
            <w:r w:rsidRPr="00052689">
              <w:rPr>
                <w:rStyle w:val="SpecialBold"/>
              </w:rPr>
              <w:t>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8.3)</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This unit should be assessed as it relates to normal work practice using procedures, information and resources typical of a workplace. This should include:</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52689">
            <w:pPr>
              <w:pStyle w:val="ListBullet"/>
              <w:rPr>
                <w:lang w:val="en-NZ"/>
              </w:rPr>
            </w:pPr>
            <w:r w:rsidRPr="00052689">
              <w:t>OHS policy and work procedures and instructions.</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52689">
            <w:pPr>
              <w:pStyle w:val="ListBullet"/>
              <w:rPr>
                <w:lang w:val="en-NZ"/>
              </w:rPr>
            </w:pPr>
            <w:r w:rsidRPr="00052689">
              <w:t>Suitable work environment, facilities, equipment and materials to undertake actual work as prescribed by this Competency Standard Unit.</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52689">
            <w:pPr>
              <w:pStyle w:val="ListBullet"/>
              <w:rPr>
                <w:lang w:val="en-NZ"/>
              </w:rPr>
            </w:pPr>
            <w:r w:rsidRPr="00052689">
              <w:t>Appropriate environmental regulation and work practices.</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52689">
            <w:pPr>
              <w:pStyle w:val="ListBullet"/>
              <w:rPr>
                <w:lang w:val="en-NZ"/>
              </w:rPr>
            </w:pPr>
            <w:r w:rsidRPr="00052689">
              <w:t>Appro</w:t>
            </w:r>
            <w:r w:rsidRPr="00052689">
              <w:t>priate organisational requirements.</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These should be part of the formal learning/assessment environment.</w:t>
            </w:r>
          </w:p>
          <w:p w:rsidR="00000000" w:rsidRPr="00052689" w:rsidP="00052689">
            <w:pPr>
              <w:pStyle w:val="BodyText"/>
            </w:pPr>
          </w:p>
          <w:p w:rsidR="00000000" w:rsidRPr="00052689" w:rsidP="00052689">
            <w:pPr>
              <w:pStyle w:val="BodyText"/>
            </w:pPr>
            <w:r w:rsidRPr="00052689">
              <w:t>Assessment of this competency must also be undertaken in either an actual workplace or under a simulated work environment. Assessment must also integrate the employability skills.</w:t>
            </w:r>
          </w:p>
          <w:p w:rsidR="00000000" w:rsidRPr="00052689" w:rsidP="00052689">
            <w:pPr>
              <w:pStyle w:val="BodyText"/>
            </w:pPr>
            <w:r w:rsidRPr="00052689">
              <w:t>Note:</w:t>
            </w:r>
          </w:p>
          <w:p w:rsidR="00000000" w:rsidRPr="00052689" w:rsidP="00052689">
            <w:pPr>
              <w:pStyle w:val="BodyText"/>
            </w:pPr>
            <w:r w:rsidRPr="00052689">
              <w:t>Where simulation is considered a suitable strategy for assessment, con</w:t>
            </w:r>
            <w:r w:rsidRPr="00052689">
              <w:t>ditions must be authentic and as far as possible reproduce and replicate the workplace and be consistent with the approved industry simulation policy.</w:t>
            </w:r>
          </w:p>
          <w:p w:rsidR="00000000" w:rsidRPr="00052689" w:rsidP="00052689">
            <w:pPr>
              <w:pStyle w:val="BodyText"/>
            </w:pPr>
          </w:p>
          <w:p w:rsidR="00000000" w:rsidRPr="00052689" w:rsidP="00052689">
            <w:pPr>
              <w:pStyle w:val="BodyText"/>
            </w:pPr>
            <w:r w:rsidRPr="00052689">
              <w:t>The resources used for assessment should reflect current industry practices in relation to locating, pro</w:t>
            </w:r>
            <w:r w:rsidRPr="00052689">
              <w:t>ving and protecting utility assets.</w:t>
            </w:r>
          </w:p>
        </w:tc>
      </w:tr>
    </w:tbl>
    <w:p w:rsidR="00000000" w:rsidRPr="00052689" w:rsidP="00052689">
      <w:pPr>
        <w:pStyle w:val="BodyText"/>
      </w:pPr>
    </w:p>
    <w:tbl>
      <w:tblPr>
        <w:tblW w:w="0" w:type="auto"/>
        <w:tblLayout w:type="fixed"/>
        <w:tblCellMar>
          <w:left w:w="62" w:type="dxa"/>
          <w:right w:w="62" w:type="dxa"/>
        </w:tblCellMar>
        <w:tblLook w:val="0000"/>
      </w:tblPr>
      <w:tblGrid>
        <w:gridCol w:w="1766"/>
        <w:gridCol w:w="6570"/>
      </w:tblGrid>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8.4)</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This Competency Standard Unit shall be assessed by methods given in </w:t>
            </w:r>
            <w:r w:rsidRPr="00052689">
              <w:t>Volume 1, Part 3 "Assessment Guidelines".</w:t>
            </w:r>
          </w:p>
        </w:tc>
      </w:tr>
      <w:tr w:rsidTr="0005268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Note: Competent performance with inherent safe working practices is expected i</w:t>
            </w:r>
            <w:r w:rsidRPr="00052689">
              <w:t>n the Industry to which this Competency Standard Unit applies. This requires that the specified Required Skills and Knowledge are assessed in a structured environment which is primarily intended for learning/assessment and incorporates all necessary equipm</w:t>
            </w:r>
            <w:r w:rsidRPr="00052689">
              <w:t>ent and facilities for learners to develop and demonstrate the required skills and knowledge described in this unit.</w:t>
            </w:r>
          </w:p>
        </w:tc>
      </w:tr>
    </w:tbl>
    <w:p w:rsidR="00000000" w:rsidRPr="00052689" w:rsidP="00052689">
      <w:pPr>
        <w:pStyle w:val="BodyText"/>
      </w:pPr>
    </w:p>
    <w:tbl>
      <w:tblPr>
        <w:tblW w:w="0" w:type="auto"/>
        <w:tblLayout w:type="fixed"/>
        <w:tblCellMar>
          <w:left w:w="62" w:type="dxa"/>
          <w:right w:w="62" w:type="dxa"/>
        </w:tblCellMar>
        <w:tblLook w:val="0000"/>
      </w:tblPr>
      <w:tblGrid>
        <w:gridCol w:w="1743"/>
        <w:gridCol w:w="23"/>
        <w:gridCol w:w="1858"/>
        <w:gridCol w:w="4774"/>
        <w:gridCol w:w="62"/>
      </w:tblGrid>
      <w:tr w:rsidTr="00052689">
        <w:tblPrEx>
          <w:tblW w:w="0" w:type="auto"/>
          <w:tblLayout w:type="fixed"/>
          <w:tblCellMar>
            <w:left w:w="62" w:type="dxa"/>
            <w:right w:w="62" w:type="dxa"/>
          </w:tblCellMar>
          <w:tblLook w:val="0000"/>
        </w:tblPrEx>
        <w:tc>
          <w:tcPr>
            <w:tcW w:w="1766" w:type="dxa"/>
            <w:gridSpan w:val="2"/>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Concurrent assessment and relationship with other units</w:t>
            </w:r>
          </w:p>
        </w:tc>
        <w:tc>
          <w:tcPr>
            <w:tcW w:w="6694"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8.5)</w:t>
            </w:r>
          </w:p>
        </w:tc>
      </w:tr>
      <w:tr w:rsidTr="00052689">
        <w:tblPrEx>
          <w:tblW w:w="0" w:type="auto"/>
          <w:tblLayout w:type="fixed"/>
          <w:tblCellMar>
            <w:left w:w="62" w:type="dxa"/>
            <w:right w:w="62" w:type="dxa"/>
          </w:tblCellMar>
          <w:tblLook w:val="0000"/>
        </w:tblPrEx>
        <w:tc>
          <w:tcPr>
            <w:tcW w:w="176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94" w:type="dxa"/>
            <w:gridSpan w:val="3"/>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There are no recommended concurrent assessments with this unit, however in some cases efficiencies may be gained in terms of learning and assessment effort being concurrently managed with allied competency standard units where listed.</w:t>
            </w:r>
          </w:p>
        </w:tc>
      </w:tr>
      <w:tr w:rsidTr="00052689">
        <w:tblPrEx>
          <w:tblW w:w="0" w:type="auto"/>
          <w:tblLayout w:type="fixed"/>
          <w:tblCellMar>
            <w:left w:w="62" w:type="dxa"/>
            <w:right w:w="62" w:type="dxa"/>
          </w:tblCellMar>
          <w:tblLook w:val="0000"/>
        </w:tblPrEx>
        <w:trPr>
          <w:gridAfter w:val="1"/>
          <w:wAfter w:w="62" w:type="dxa"/>
        </w:trPr>
        <w:tc>
          <w:tcPr>
            <w:tcW w:w="176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UEGNSG132A</w:t>
            </w:r>
          </w:p>
        </w:tc>
        <w:tc>
          <w:tcPr>
            <w:tcW w:w="4774"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 xml:space="preserve">Carry </w:t>
            </w:r>
            <w:r w:rsidRPr="00052689">
              <w:t>out basic work activities in a gas industry work environment</w:t>
            </w:r>
          </w:p>
        </w:tc>
      </w:tr>
      <w:tr w:rsidTr="00052689">
        <w:tblPrEx>
          <w:tblW w:w="0" w:type="auto"/>
          <w:tblLayout w:type="fixed"/>
          <w:tblCellMar>
            <w:left w:w="62" w:type="dxa"/>
            <w:right w:w="62" w:type="dxa"/>
          </w:tblCellMar>
          <w:tblLook w:val="0000"/>
        </w:tblPrEx>
        <w:trPr>
          <w:gridAfter w:val="1"/>
          <w:wAfter w:w="62" w:type="dxa"/>
        </w:trPr>
        <w:tc>
          <w:tcPr>
            <w:tcW w:w="17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UEGNSG140A</w:t>
            </w:r>
          </w:p>
        </w:tc>
        <w:tc>
          <w:tcPr>
            <w:tcW w:w="4774"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Apply environmental policies and procedures in the utilities industry</w:t>
            </w:r>
          </w:p>
        </w:tc>
      </w:tr>
      <w:tr w:rsidTr="00052689">
        <w:tblPrEx>
          <w:tblW w:w="0" w:type="auto"/>
          <w:tblLayout w:type="fixed"/>
          <w:tblCellMar>
            <w:left w:w="62" w:type="dxa"/>
            <w:right w:w="62" w:type="dxa"/>
          </w:tblCellMar>
          <w:tblLook w:val="0000"/>
        </w:tblPrEx>
        <w:trPr>
          <w:gridAfter w:val="1"/>
          <w:wAfter w:w="62" w:type="dxa"/>
        </w:trPr>
        <w:tc>
          <w:tcPr>
            <w:tcW w:w="17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UEGNSG134A</w:t>
            </w:r>
          </w:p>
        </w:tc>
        <w:tc>
          <w:tcPr>
            <w:tcW w:w="4774"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Establish a utilities infrastructure work site</w:t>
            </w:r>
          </w:p>
        </w:tc>
      </w:tr>
      <w:tr w:rsidTr="00052689">
        <w:tblPrEx>
          <w:tblW w:w="0" w:type="auto"/>
          <w:tblLayout w:type="fixed"/>
          <w:tblCellMar>
            <w:left w:w="62" w:type="dxa"/>
            <w:right w:w="62" w:type="dxa"/>
          </w:tblCellMar>
          <w:tblLook w:val="0000"/>
        </w:tblPrEx>
        <w:trPr>
          <w:gridAfter w:val="1"/>
          <w:wAfter w:w="62" w:type="dxa"/>
        </w:trPr>
        <w:tc>
          <w:tcPr>
            <w:tcW w:w="17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UEGNSG804A</w:t>
            </w:r>
          </w:p>
        </w:tc>
        <w:tc>
          <w:tcPr>
            <w:tcW w:w="4774"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Maintain Single Stage and Single Run Gas Flow and Pressure Measuring and Regulating Devices</w:t>
            </w:r>
          </w:p>
        </w:tc>
      </w:tr>
      <w:tr w:rsidTr="00052689">
        <w:tblPrEx>
          <w:tblW w:w="0" w:type="auto"/>
          <w:tblLayout w:type="fixed"/>
          <w:tblCellMar>
            <w:left w:w="62" w:type="dxa"/>
            <w:right w:w="62" w:type="dxa"/>
          </w:tblCellMar>
          <w:tblLook w:val="0000"/>
        </w:tblPrEx>
        <w:trPr>
          <w:gridAfter w:val="1"/>
          <w:wAfter w:w="62" w:type="dxa"/>
        </w:trPr>
        <w:tc>
          <w:tcPr>
            <w:tcW w:w="17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BSBFLM312B</w:t>
            </w:r>
          </w:p>
        </w:tc>
        <w:tc>
          <w:tcPr>
            <w:tcW w:w="4774"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Contribute to team effectiveness</w:t>
            </w:r>
          </w:p>
        </w:tc>
      </w:tr>
      <w:tr w:rsidTr="00052689">
        <w:tblPrEx>
          <w:tblW w:w="0" w:type="auto"/>
          <w:tblLayout w:type="fixed"/>
          <w:tblCellMar>
            <w:left w:w="62" w:type="dxa"/>
            <w:right w:w="62" w:type="dxa"/>
          </w:tblCellMar>
          <w:tblLook w:val="0000"/>
        </w:tblPrEx>
        <w:trPr>
          <w:gridAfter w:val="1"/>
          <w:wAfter w:w="62" w:type="dxa"/>
        </w:trPr>
        <w:tc>
          <w:tcPr>
            <w:tcW w:w="17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t>BSBFLM303C</w:t>
            </w:r>
          </w:p>
        </w:tc>
        <w:tc>
          <w:tcPr>
            <w:tcW w:w="4774"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Contribute to effective workplace relationships</w:t>
            </w:r>
          </w:p>
        </w:tc>
      </w:tr>
    </w:tbl>
    <w:p w:rsidR="00B34C84" w:rsidP="00052689">
      <w:pPr>
        <w:pStyle w:val="BodyText"/>
      </w:pPr>
    </w:p>
    <w:p w:rsidR="00B34C84" w:rsidP="00052689">
      <w:pPr>
        <w:pStyle w:val="BodyText"/>
      </w:pPr>
    </w:p>
    <w:p w:rsidR="00000000" w:rsidRPr="00052689" w:rsidP="00052689">
      <w:pPr>
        <w:pStyle w:val="Heading1"/>
      </w:pPr>
      <w:bookmarkStart w:id="11" w:name="O_621003"/>
      <w:bookmarkEnd w:id="11"/>
      <w:r w:rsidRPr="00052689">
        <w:t>Range Statement</w:t>
      </w:r>
    </w:p>
    <w:tbl>
      <w:tblPr>
        <w:tblW w:w="0" w:type="auto"/>
        <w:tblLayout w:type="fixed"/>
        <w:tblCellMar>
          <w:left w:w="62" w:type="dxa"/>
          <w:right w:w="62" w:type="dxa"/>
        </w:tblCellMar>
        <w:tblLook w:val="0000"/>
      </w:tblPr>
      <w:tblGrid>
        <w:gridCol w:w="8336"/>
      </w:tblGrid>
      <w:tr w:rsidTr="00052689">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RANGE STATEMENT</w:t>
            </w:r>
          </w:p>
        </w:tc>
      </w:tr>
      <w:tr w:rsidTr="0005268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 xml:space="preserve">9) </w:t>
            </w:r>
            <w:r w:rsidRPr="00052689">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05268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This unit shall be demon</w:t>
            </w:r>
            <w:r w:rsidRPr="00052689">
              <w:t>strated in relation to the installation of gas flow, pressure control &amp; measurement equipment in at least 3 of the following types of gas facilities/stations:</w:t>
            </w:r>
          </w:p>
          <w:p w:rsidR="00000000" w:rsidRPr="00052689" w:rsidP="00052689">
            <w:pPr>
              <w:pStyle w:val="ListBullet"/>
            </w:pPr>
            <w:r w:rsidRPr="00052689">
              <w:t>District and customer metering and regulator sets</w:t>
            </w:r>
          </w:p>
          <w:p w:rsidR="00000000" w:rsidRPr="00052689" w:rsidP="00052689">
            <w:pPr>
              <w:pStyle w:val="ListBullet"/>
            </w:pPr>
            <w:r w:rsidRPr="00052689">
              <w:t>Distribution line and path valves</w:t>
            </w:r>
          </w:p>
          <w:p w:rsidR="00000000" w:rsidRPr="00052689" w:rsidP="00052689">
            <w:pPr>
              <w:pStyle w:val="ListBullet"/>
            </w:pPr>
            <w:r w:rsidRPr="00052689">
              <w:t>Pressure red</w:t>
            </w:r>
            <w:r w:rsidRPr="00052689">
              <w:t>uction stations, district and customer regulator sets</w:t>
            </w:r>
          </w:p>
          <w:p w:rsidR="00000000" w:rsidRPr="00052689" w:rsidP="00052689">
            <w:pPr>
              <w:pStyle w:val="ListBullet"/>
            </w:pPr>
            <w:r w:rsidRPr="00052689">
              <w:t>Compressor stations</w:t>
            </w:r>
          </w:p>
          <w:p w:rsidR="00000000" w:rsidRPr="00052689" w:rsidP="00052689">
            <w:pPr>
              <w:pStyle w:val="ListBullet"/>
            </w:pPr>
            <w:r w:rsidRPr="00052689">
              <w:t>Meter stations and customer meter sets</w:t>
            </w:r>
          </w:p>
          <w:p w:rsidR="00000000" w:rsidRPr="00052689" w:rsidP="00052689">
            <w:pPr>
              <w:pStyle w:val="ListBullet"/>
            </w:pPr>
            <w:r w:rsidRPr="00052689">
              <w:t>Custody transfer stations</w:t>
            </w:r>
          </w:p>
          <w:p w:rsidR="00000000" w:rsidRPr="00052689" w:rsidP="00052689">
            <w:pPr>
              <w:pStyle w:val="ListBullet"/>
            </w:pPr>
            <w:r w:rsidRPr="00052689">
              <w:t>Inlets and city gates</w:t>
            </w:r>
          </w:p>
          <w:p w:rsidR="00000000" w:rsidRPr="00052689" w:rsidP="00052689">
            <w:pPr>
              <w:pStyle w:val="ListBullet"/>
            </w:pPr>
            <w:r w:rsidRPr="00052689">
              <w:t>Scraper stations</w:t>
            </w:r>
          </w:p>
          <w:p w:rsidR="00000000" w:rsidRPr="00052689" w:rsidP="00052689">
            <w:pPr>
              <w:pStyle w:val="ListBullet"/>
            </w:pPr>
            <w:r w:rsidRPr="00052689">
              <w:t>Gas storage facilities</w:t>
            </w:r>
          </w:p>
          <w:p w:rsidR="00000000" w:rsidRPr="00052689" w:rsidP="00052689">
            <w:pPr>
              <w:pStyle w:val="ListBullet"/>
            </w:pPr>
            <w:r w:rsidRPr="00052689">
              <w:t>Non SCADA main line valves</w:t>
            </w:r>
          </w:p>
          <w:p w:rsidR="00000000" w:rsidRPr="00052689" w:rsidP="00052689">
            <w:pPr>
              <w:pStyle w:val="BodyText"/>
            </w:pPr>
          </w:p>
          <w:p w:rsidR="00000000" w:rsidRPr="00052689" w:rsidP="00052689">
            <w:pPr>
              <w:pStyle w:val="BodyText"/>
            </w:pPr>
            <w:r w:rsidRPr="00052689">
              <w:t>The equipment includes the following;</w:t>
            </w:r>
          </w:p>
          <w:p w:rsidR="00000000" w:rsidRPr="00052689" w:rsidP="00052689">
            <w:pPr>
              <w:pStyle w:val="ListBullet"/>
            </w:pPr>
            <w:r w:rsidRPr="00052689">
              <w:t>Valves, types: Manual, Ball, Plug, Double Black and Bleed</w:t>
            </w:r>
          </w:p>
          <w:p w:rsidR="00000000" w:rsidRPr="00052689" w:rsidP="00052689">
            <w:pPr>
              <w:pStyle w:val="ListBullet"/>
            </w:pPr>
            <w:r w:rsidRPr="00052689">
              <w:t>Pressure Controllers</w:t>
            </w:r>
          </w:p>
          <w:p w:rsidR="00000000" w:rsidRPr="00052689" w:rsidP="00052689">
            <w:pPr>
              <w:pStyle w:val="ListBullet"/>
            </w:pPr>
            <w:r w:rsidRPr="00052689">
              <w:t>Actuators</w:t>
            </w:r>
          </w:p>
          <w:p w:rsidR="00000000" w:rsidRPr="00052689" w:rsidP="00052689">
            <w:pPr>
              <w:pStyle w:val="ListBullet"/>
            </w:pPr>
            <w:r w:rsidRPr="00052689">
              <w:t>Regulators, at least 2 types: Diaphragm, Sleeve and Hydraulic Plug</w:t>
            </w:r>
          </w:p>
          <w:p w:rsidR="00000000" w:rsidRPr="00052689" w:rsidP="00052689">
            <w:pPr>
              <w:pStyle w:val="ListBullet"/>
            </w:pPr>
            <w:r w:rsidRPr="00052689">
              <w:t>Meters, at least 2 types: Small capacity union connected posi</w:t>
            </w:r>
            <w:r w:rsidRPr="00052689">
              <w:t>tive displacement meters, Diaphragm, Rotary and Turbine</w:t>
            </w:r>
          </w:p>
          <w:p w:rsidR="00000000" w:rsidRPr="00052689" w:rsidP="00052689">
            <w:pPr>
              <w:pStyle w:val="BodyText"/>
            </w:pPr>
          </w:p>
          <w:p w:rsidR="00000000" w:rsidRPr="00052689" w:rsidP="00052689">
            <w:pPr>
              <w:pStyle w:val="BodyText"/>
            </w:pPr>
            <w:r w:rsidRPr="00052689">
              <w:t>Note: Fault finding is limited to the component level.</w:t>
            </w:r>
          </w:p>
          <w:p w:rsidR="00000000" w:rsidRPr="00052689" w:rsidP="00052689">
            <w:pPr>
              <w:pStyle w:val="BodyText"/>
            </w:pPr>
            <w:r w:rsidRPr="00052689">
              <w:t>The following constants and variables included in the element/Performance Criteria in this unit are fully described in the Definitions Section o</w:t>
            </w:r>
            <w:r w:rsidRPr="00052689">
              <w:t>f this volume and form an integral part of the Range Statement of this unit:</w:t>
            </w:r>
          </w:p>
          <w:p w:rsidR="00000000" w:rsidRPr="00052689" w:rsidP="00052689">
            <w:pPr>
              <w:pStyle w:val="ListBullet"/>
            </w:pPr>
            <w:r w:rsidRPr="00052689">
              <w:t>Monitoring, adjusting  and controlling</w:t>
            </w:r>
          </w:p>
          <w:p w:rsidR="00000000" w:rsidRPr="00052689" w:rsidP="00052689">
            <w:pPr>
              <w:pStyle w:val="ListBullet"/>
            </w:pPr>
            <w:r w:rsidRPr="00052689">
              <w:t>Regulation of flow and pressure</w:t>
            </w:r>
          </w:p>
          <w:p w:rsidR="00000000" w:rsidRPr="00052689" w:rsidP="00052689">
            <w:pPr>
              <w:pStyle w:val="ListBullet"/>
            </w:pPr>
            <w:r w:rsidRPr="00052689">
              <w:t>Gas Measurement</w:t>
            </w:r>
          </w:p>
          <w:p w:rsidR="00000000" w:rsidRPr="00052689" w:rsidP="00052689">
            <w:pPr>
              <w:pStyle w:val="ListBullet"/>
            </w:pPr>
            <w:r w:rsidRPr="00052689">
              <w:t>Recording and reporting</w:t>
            </w:r>
          </w:p>
          <w:p w:rsidR="00000000" w:rsidRPr="00052689" w:rsidP="00052689">
            <w:pPr>
              <w:pStyle w:val="ListBullet"/>
            </w:pPr>
            <w:r w:rsidRPr="00052689">
              <w:t>Regulation of the system</w:t>
            </w:r>
          </w:p>
          <w:p w:rsidR="00000000" w:rsidRPr="00052689" w:rsidP="00052689">
            <w:pPr>
              <w:pStyle w:val="ListBullet"/>
            </w:pPr>
            <w:r w:rsidRPr="00052689">
              <w:t>Equipment</w:t>
            </w:r>
          </w:p>
          <w:p w:rsidR="00000000" w:rsidRPr="00052689" w:rsidP="00052689">
            <w:pPr>
              <w:pStyle w:val="ListBullet"/>
            </w:pPr>
            <w:r w:rsidRPr="00052689">
              <w:t>Organisational and statutory requirements</w:t>
            </w:r>
          </w:p>
        </w:tc>
      </w:tr>
    </w:tbl>
    <w:p w:rsidR="00B34C84" w:rsidP="00052689">
      <w:pPr>
        <w:pStyle w:val="BodyText"/>
      </w:pPr>
    </w:p>
    <w:p w:rsidR="00B34C84" w:rsidP="00052689">
      <w:pPr>
        <w:pStyle w:val="BodyText"/>
      </w:pPr>
    </w:p>
    <w:p w:rsidR="00000000" w:rsidRPr="00052689" w:rsidP="00052689">
      <w:pPr>
        <w:pStyle w:val="Heading1"/>
      </w:pPr>
      <w:bookmarkStart w:id="12" w:name="O_621004"/>
      <w:bookmarkEnd w:id="12"/>
      <w:r w:rsidRPr="00052689">
        <w:t>Unit Sector(s)</w:t>
      </w:r>
    </w:p>
    <w:p w:rsidR="00000000" w:rsidRPr="00052689" w:rsidP="00052689">
      <w:pPr>
        <w:pStyle w:val="BodyText"/>
      </w:pPr>
      <w:r w:rsidRPr="00052689">
        <w:t>Gas Industry</w:t>
      </w:r>
    </w:p>
    <w:p w:rsidR="00000000" w:rsidRPr="00052689" w:rsidP="00052689">
      <w:pPr>
        <w:pStyle w:val="AllowPageBreak"/>
      </w:pPr>
    </w:p>
    <w:p w:rsidR="00000000" w:rsidRPr="00052689" w:rsidP="00052689">
      <w:pPr>
        <w:pStyle w:val="Heading1"/>
      </w:pPr>
      <w:bookmarkStart w:id="13" w:name="O_621005"/>
      <w:bookmarkEnd w:id="13"/>
      <w:r w:rsidRPr="00052689">
        <w:t>11. Competency Field</w:t>
      </w:r>
    </w:p>
    <w:tbl>
      <w:tblPr>
        <w:tblW w:w="0" w:type="auto"/>
        <w:tblLayout w:type="fixed"/>
        <w:tblCellMar>
          <w:left w:w="62" w:type="dxa"/>
          <w:right w:w="62" w:type="dxa"/>
        </w:tblCellMar>
        <w:tblLook w:val="0000"/>
      </w:tblPr>
      <w:tblGrid>
        <w:gridCol w:w="2576"/>
        <w:gridCol w:w="5760"/>
      </w:tblGrid>
      <w:tr w:rsidTr="00052689">
        <w:tblPrEx>
          <w:tblW w:w="0" w:type="auto"/>
          <w:tblLayout w:type="fixed"/>
          <w:tblCellMar>
            <w:left w:w="62" w:type="dxa"/>
            <w:right w:w="62" w:type="dxa"/>
          </w:tblCellMar>
          <w:tblLook w:val="0000"/>
        </w:tblPrEx>
        <w:trPr>
          <w:trHeight w:val="188"/>
          <w:tblHeader/>
        </w:trPr>
        <w:tc>
          <w:tcPr>
            <w:tcW w:w="2576"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52689">
            <w:pPr>
              <w:pStyle w:val="BodyText"/>
              <w:rPr>
                <w:lang w:val="en-NZ"/>
              </w:rPr>
            </w:pPr>
            <w:r w:rsidRPr="00052689">
              <w:rPr>
                <w:rStyle w:val="SpecialBold"/>
              </w:rPr>
              <w:t xml:space="preserve">11) </w:t>
            </w:r>
          </w:p>
        </w:tc>
      </w:tr>
      <w:tr w:rsidTr="0005268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2689" w:rsidP="00052689">
            <w:pPr>
              <w:pStyle w:val="BodyText"/>
            </w:pPr>
            <w:r w:rsidRPr="00052689">
              <w:t>Gas Systems operations</w:t>
            </w:r>
          </w:p>
        </w:tc>
      </w:tr>
    </w:tbl>
    <w:p w:rsidR="00000000" w:rsidRPr="00052689" w:rsidP="00052689">
      <w:pPr>
        <w:pStyle w:val="BodyText"/>
      </w:pPr>
    </w:p>
    <w:p w:rsidR="00000000" w:rsidRPr="00052689" w:rsidP="00052689"/>
    <w:sectPr w:rsidSect="000526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89" w:rsidRPr="00B34C84" w:rsidP="00B34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84" w:rsidP="00052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34C84" w:rsidP="0005268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34C84" w:rsidP="000526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89" w:rsidRPr="00B34C84" w:rsidP="00B34C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84" w:rsidRPr="002D2AF8" w:rsidP="00052689">
    <w:pPr>
      <w:pStyle w:val="Header"/>
      <w:framePr w:wrap="around"/>
    </w:pPr>
    <w:r>
      <w:fldChar w:fldCharType="begin"/>
    </w:r>
    <w:r>
      <w:instrText xml:space="preserve"> TITLE   \* MERGEFORMAT </w:instrText>
    </w:r>
    <w:r>
      <w:fldChar w:fldCharType="separate"/>
    </w:r>
    <w:r>
      <w:t>UEGNSG807A Install Gas Flow, Measuring and Pressure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B34C84" w:rsidP="00052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7822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A91403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9504468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D2D02682"/>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B844F1A"/>
    <w:multiLevelType w:val="multilevel"/>
    <w:tmpl w:val="CAB4126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3">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6"/>
  </w:num>
  <w:num w:numId="10">
    <w:abstractNumId w:val="13"/>
  </w:num>
  <w:num w:numId="11">
    <w:abstractNumId w:val="17"/>
  </w:num>
  <w:num w:numId="12">
    <w:abstractNumId w:val="15"/>
  </w:num>
  <w:num w:numId="13">
    <w:abstractNumId w:val="10"/>
  </w:num>
  <w:num w:numId="14">
    <w:abstractNumId w:val="14"/>
  </w:num>
  <w:num w:numId="15">
    <w:abstractNumId w:val="12"/>
  </w:num>
  <w:num w:numId="16">
    <w:abstractNumId w:val="6"/>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689"/>
    <w:pPr>
      <w:spacing w:before="360" w:after="60"/>
      <w:outlineLvl w:val="0"/>
    </w:pPr>
    <w:rPr>
      <w:sz w:val="32"/>
    </w:rPr>
  </w:style>
  <w:style w:type="paragraph" w:styleId="Heading2">
    <w:name w:val="heading 2"/>
    <w:basedOn w:val="HeadingBase"/>
    <w:next w:val="BodyText"/>
    <w:link w:val="Heading2Char"/>
    <w:qFormat/>
    <w:rsid w:val="00052689"/>
    <w:pPr>
      <w:keepLines/>
      <w:spacing w:before="240" w:after="120"/>
      <w:outlineLvl w:val="1"/>
    </w:pPr>
    <w:rPr>
      <w:sz w:val="28"/>
      <w:szCs w:val="40"/>
    </w:rPr>
  </w:style>
  <w:style w:type="paragraph" w:styleId="Heading3">
    <w:name w:val="heading 3"/>
    <w:basedOn w:val="HeadingBase"/>
    <w:next w:val="BodyText"/>
    <w:link w:val="Heading3Char"/>
    <w:qFormat/>
    <w:rsid w:val="00052689"/>
    <w:pPr>
      <w:spacing w:before="180" w:after="120"/>
      <w:outlineLvl w:val="2"/>
    </w:pPr>
    <w:rPr>
      <w:spacing w:val="-10"/>
      <w:kern w:val="32"/>
    </w:rPr>
  </w:style>
  <w:style w:type="paragraph" w:styleId="Heading4">
    <w:name w:val="heading 4"/>
    <w:basedOn w:val="HeadingBase"/>
    <w:next w:val="BodyText"/>
    <w:link w:val="Heading4Char"/>
    <w:qFormat/>
    <w:rsid w:val="00052689"/>
    <w:pPr>
      <w:spacing w:before="160" w:after="120"/>
      <w:outlineLvl w:val="3"/>
    </w:pPr>
    <w:rPr>
      <w:sz w:val="22"/>
    </w:rPr>
  </w:style>
  <w:style w:type="paragraph" w:styleId="Heading5">
    <w:name w:val="heading 5"/>
    <w:basedOn w:val="HeadingBase"/>
    <w:next w:val="Normal"/>
    <w:link w:val="Heading5Char"/>
    <w:qFormat/>
    <w:rsid w:val="00052689"/>
    <w:pPr>
      <w:spacing w:before="80"/>
      <w:outlineLvl w:val="4"/>
    </w:pPr>
    <w:rPr>
      <w:color w:val="918585"/>
      <w:sz w:val="20"/>
    </w:rPr>
  </w:style>
  <w:style w:type="paragraph" w:styleId="Heading6">
    <w:name w:val="heading 6"/>
    <w:basedOn w:val="HeadingBase"/>
    <w:next w:val="Normal"/>
    <w:link w:val="Heading6Char"/>
    <w:qFormat/>
    <w:rsid w:val="00052689"/>
    <w:pPr>
      <w:spacing w:before="60"/>
      <w:outlineLvl w:val="5"/>
    </w:pPr>
    <w:rPr>
      <w:color w:val="918585"/>
      <w:sz w:val="20"/>
    </w:rPr>
  </w:style>
  <w:style w:type="paragraph" w:styleId="Heading7">
    <w:name w:val="heading 7"/>
    <w:basedOn w:val="Normal"/>
    <w:next w:val="Normal"/>
    <w:link w:val="Heading7Char"/>
    <w:qFormat/>
    <w:rsid w:val="00052689"/>
    <w:pPr>
      <w:ind w:left="720"/>
      <w:outlineLvl w:val="6"/>
    </w:pPr>
    <w:rPr>
      <w:i/>
    </w:rPr>
  </w:style>
  <w:style w:type="paragraph" w:styleId="Heading8">
    <w:name w:val="heading 8"/>
    <w:basedOn w:val="Normal"/>
    <w:next w:val="Normal"/>
    <w:link w:val="Heading8Char"/>
    <w:qFormat/>
    <w:rsid w:val="00052689"/>
    <w:pPr>
      <w:ind w:left="720"/>
      <w:outlineLvl w:val="7"/>
    </w:pPr>
    <w:rPr>
      <w:i/>
    </w:rPr>
  </w:style>
  <w:style w:type="paragraph" w:styleId="Heading9">
    <w:name w:val="heading 9"/>
    <w:basedOn w:val="Normal"/>
    <w:next w:val="Normal"/>
    <w:link w:val="Heading9Char"/>
    <w:qFormat/>
    <w:rsid w:val="00052689"/>
    <w:pPr>
      <w:ind w:left="720"/>
      <w:outlineLvl w:val="8"/>
    </w:pPr>
    <w:rPr>
      <w:i/>
    </w:rPr>
  </w:style>
  <w:style w:type="character" w:default="1" w:styleId="DefaultParagraphFont">
    <w:name w:val="Default Paragraph Font"/>
    <w:uiPriority w:val="1"/>
    <w:unhideWhenUsed/>
    <w:rsid w:val="00052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689"/>
  </w:style>
  <w:style w:type="character" w:customStyle="1" w:styleId="Heading1Char">
    <w:name w:val="Heading 1 Char"/>
    <w:basedOn w:val="DefaultParagraphFont"/>
    <w:link w:val="Heading1"/>
    <w:rsid w:val="00052689"/>
    <w:rPr>
      <w:rFonts w:ascii="Times New Roman" w:eastAsia="Times New Roman" w:hAnsi="Times New Roman" w:cs="Times New Roman"/>
      <w:b/>
      <w:sz w:val="32"/>
      <w:szCs w:val="20"/>
      <w:lang w:eastAsia="en-US"/>
    </w:rPr>
  </w:style>
  <w:style w:type="paragraph" w:styleId="BodyText">
    <w:name w:val="Body Text"/>
    <w:basedOn w:val="Normal"/>
    <w:link w:val="BodyTextChar"/>
    <w:rsid w:val="000526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2689"/>
    <w:rPr>
      <w:rFonts w:ascii="Times New Roman" w:eastAsia="Times New Roman" w:hAnsi="Times New Roman" w:cs="Times New Roman"/>
      <w:sz w:val="24"/>
      <w:lang w:eastAsia="en-US"/>
    </w:rPr>
  </w:style>
  <w:style w:type="paragraph" w:styleId="ListBullet">
    <w:name w:val="List Bullet"/>
    <w:basedOn w:val="List"/>
    <w:rsid w:val="00052689"/>
    <w:pPr>
      <w:numPr>
        <w:numId w:val="14"/>
      </w:numPr>
      <w:tabs>
        <w:tab w:val="clear" w:pos="340"/>
      </w:tabs>
      <w:spacing w:before="40" w:after="40"/>
    </w:pPr>
  </w:style>
  <w:style w:type="character" w:customStyle="1" w:styleId="SpecialBold">
    <w:name w:val="Special Bold"/>
    <w:basedOn w:val="DefaultParagraphFont"/>
    <w:rsid w:val="00052689"/>
    <w:rPr>
      <w:b/>
      <w:spacing w:val="0"/>
    </w:rPr>
  </w:style>
  <w:style w:type="paragraph" w:styleId="ListBullet2">
    <w:name w:val="List Bullet 2"/>
    <w:basedOn w:val="List2"/>
    <w:rsid w:val="00052689"/>
    <w:pPr>
      <w:numPr>
        <w:numId w:val="15"/>
      </w:numPr>
      <w:tabs>
        <w:tab w:val="clear" w:pos="680"/>
      </w:tabs>
    </w:pPr>
  </w:style>
  <w:style w:type="character" w:styleId="Emphasis">
    <w:name w:val="Emphasis"/>
    <w:basedOn w:val="DefaultParagraphFont"/>
    <w:qFormat/>
    <w:rsid w:val="00052689"/>
    <w:rPr>
      <w:i/>
    </w:rPr>
  </w:style>
  <w:style w:type="paragraph" w:customStyle="1" w:styleId="SuperHeading">
    <w:name w:val="SuperHeading"/>
    <w:basedOn w:val="Normal"/>
    <w:rsid w:val="00052689"/>
    <w:pPr>
      <w:spacing w:before="240" w:after="120"/>
      <w:outlineLvl w:val="0"/>
    </w:pPr>
    <w:rPr>
      <w:rFonts w:ascii="Times New Roman" w:hAnsi="Times New Roman"/>
      <w:b/>
      <w:sz w:val="32"/>
    </w:rPr>
  </w:style>
  <w:style w:type="paragraph" w:styleId="ListNumber2">
    <w:name w:val="List Number 2"/>
    <w:basedOn w:val="List2"/>
    <w:rsid w:val="00052689"/>
    <w:pPr>
      <w:numPr>
        <w:numId w:val="11"/>
      </w:numPr>
    </w:pPr>
  </w:style>
  <w:style w:type="paragraph" w:customStyle="1" w:styleId="AllowPageBreak">
    <w:name w:val="AllowPageBreak"/>
    <w:rsid w:val="00052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2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689"/>
    <w:rPr>
      <w:rFonts w:ascii="Courier New" w:eastAsia="Times New Roman" w:hAnsi="Courier New" w:cs="Times New Roman"/>
      <w:i/>
      <w:szCs w:val="20"/>
      <w:lang w:eastAsia="en-US"/>
    </w:rPr>
  </w:style>
  <w:style w:type="paragraph" w:customStyle="1" w:styleId="HeadingBase">
    <w:name w:val="Heading Base"/>
    <w:rsid w:val="00052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689"/>
    <w:pPr>
      <w:tabs>
        <w:tab w:val="right" w:leader="dot" w:pos="9072"/>
      </w:tabs>
      <w:ind w:left="567"/>
    </w:pPr>
    <w:rPr>
      <w:szCs w:val="22"/>
    </w:rPr>
  </w:style>
  <w:style w:type="paragraph" w:customStyle="1" w:styleId="TOCBase">
    <w:name w:val="TOC Base"/>
    <w:rsid w:val="00052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689"/>
    <w:pPr>
      <w:tabs>
        <w:tab w:val="right" w:leader="dot" w:pos="9072"/>
      </w:tabs>
      <w:spacing w:before="40" w:after="40"/>
      <w:ind w:left="284"/>
    </w:pPr>
    <w:rPr>
      <w:rFonts w:ascii="Times New Roman" w:hAnsi="Times New Roman"/>
    </w:rPr>
  </w:style>
  <w:style w:type="paragraph" w:styleId="TOC1">
    <w:name w:val="toc 1"/>
    <w:basedOn w:val="TOCBase"/>
    <w:next w:val="Normal"/>
    <w:rsid w:val="000526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689"/>
    <w:rPr>
      <w:rFonts w:ascii="Times New Roman" w:eastAsia="Times New Roman" w:hAnsi="Times New Roman" w:cs="Times New Roman"/>
      <w:sz w:val="16"/>
      <w:lang w:eastAsia="en-US"/>
    </w:rPr>
  </w:style>
  <w:style w:type="paragraph" w:styleId="Title">
    <w:name w:val="Title"/>
    <w:basedOn w:val="HeadingBase"/>
    <w:link w:val="TitleChar"/>
    <w:qFormat/>
    <w:rsid w:val="00052689"/>
    <w:pPr>
      <w:spacing w:before="5040"/>
      <w:jc w:val="center"/>
    </w:pPr>
    <w:rPr>
      <w:sz w:val="48"/>
      <w:szCs w:val="72"/>
      <w:lang w:val="en-US"/>
    </w:rPr>
  </w:style>
  <w:style w:type="character" w:customStyle="1" w:styleId="TitleChar">
    <w:name w:val="Title Char"/>
    <w:basedOn w:val="DefaultParagraphFont"/>
    <w:link w:val="Title"/>
    <w:rsid w:val="00052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689"/>
    <w:pPr>
      <w:tabs>
        <w:tab w:val="left" w:pos="3600"/>
        <w:tab w:val="left" w:pos="3958"/>
      </w:tabs>
    </w:pPr>
  </w:style>
  <w:style w:type="paragraph" w:styleId="List">
    <w:name w:val="List"/>
    <w:basedOn w:val="BodyText"/>
    <w:next w:val="BodyText"/>
    <w:rsid w:val="00052689"/>
    <w:pPr>
      <w:tabs>
        <w:tab w:val="left" w:pos="340"/>
      </w:tabs>
      <w:spacing w:before="60" w:after="60"/>
      <w:ind w:left="340" w:hanging="340"/>
    </w:pPr>
  </w:style>
  <w:style w:type="paragraph" w:customStyle="1" w:styleId="Note">
    <w:name w:val="Note"/>
    <w:basedOn w:val="BodyText"/>
    <w:rsid w:val="00052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689"/>
    <w:pPr>
      <w:framePr w:wrap="auto" w:hAnchor="text" w:y="6049"/>
    </w:pPr>
    <w:rPr>
      <w:color w:val="000000"/>
      <w:sz w:val="40"/>
    </w:rPr>
  </w:style>
  <w:style w:type="paragraph" w:customStyle="1" w:styleId="TOCTitle">
    <w:name w:val="TOCTitle"/>
    <w:basedOn w:val="Heading1"/>
    <w:rsid w:val="00052689"/>
    <w:pPr>
      <w:spacing w:after="240"/>
      <w:jc w:val="center"/>
      <w:outlineLvl w:val="9"/>
    </w:pPr>
    <w:rPr>
      <w:caps/>
    </w:rPr>
  </w:style>
  <w:style w:type="paragraph" w:customStyle="1" w:styleId="Version">
    <w:name w:val="Version"/>
    <w:rsid w:val="00052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689"/>
    <w:pPr>
      <w:keepNext w:val="0"/>
      <w:tabs>
        <w:tab w:val="right" w:pos="4176"/>
      </w:tabs>
      <w:ind w:left="198" w:hanging="198"/>
    </w:pPr>
    <w:rPr>
      <w:rFonts w:ascii="Garamond" w:hAnsi="Garamond"/>
    </w:rPr>
  </w:style>
  <w:style w:type="paragraph" w:styleId="IndexHeading">
    <w:name w:val="index heading"/>
    <w:basedOn w:val="Normal"/>
    <w:next w:val="Index1"/>
    <w:semiHidden/>
    <w:rsid w:val="00052689"/>
    <w:pPr>
      <w:spacing w:before="120" w:after="120"/>
    </w:pPr>
    <w:rPr>
      <w:rFonts w:ascii="Arial" w:hAnsi="Arial"/>
      <w:b/>
      <w:color w:val="918585"/>
      <w:sz w:val="24"/>
    </w:rPr>
  </w:style>
  <w:style w:type="paragraph" w:styleId="Header">
    <w:name w:val="header"/>
    <w:basedOn w:val="Normal"/>
    <w:link w:val="HeaderChar"/>
    <w:rsid w:val="00052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689"/>
    <w:rPr>
      <w:rFonts w:ascii="Times New Roman" w:eastAsia="Times New Roman" w:hAnsi="Times New Roman" w:cs="Times New Roman"/>
      <w:sz w:val="16"/>
      <w:szCs w:val="20"/>
      <w:lang w:val="en-GB" w:eastAsia="en-US"/>
    </w:rPr>
  </w:style>
  <w:style w:type="paragraph" w:customStyle="1" w:styleId="Chapter">
    <w:name w:val="Chapter"/>
    <w:basedOn w:val="Normal"/>
    <w:rsid w:val="00052689"/>
    <w:pPr>
      <w:spacing w:before="240"/>
    </w:pPr>
    <w:rPr>
      <w:rFonts w:ascii="Times New Roman" w:hAnsi="Times New Roman"/>
      <w:smallCaps/>
      <w:spacing w:val="80"/>
      <w:sz w:val="28"/>
    </w:rPr>
  </w:style>
  <w:style w:type="paragraph" w:customStyle="1" w:styleId="InChapter">
    <w:name w:val="InChapter"/>
    <w:basedOn w:val="Heading3"/>
    <w:rsid w:val="00052689"/>
    <w:pPr>
      <w:spacing w:after="240"/>
      <w:outlineLvl w:val="9"/>
    </w:pPr>
    <w:rPr>
      <w:noProof/>
    </w:rPr>
  </w:style>
  <w:style w:type="paragraph" w:styleId="Index2">
    <w:name w:val="index 2"/>
    <w:basedOn w:val="Normal"/>
    <w:next w:val="Normal"/>
    <w:semiHidden/>
    <w:rsid w:val="00052689"/>
    <w:pPr>
      <w:tabs>
        <w:tab w:val="right" w:pos="4176"/>
      </w:tabs>
      <w:ind w:left="568" w:hanging="284"/>
    </w:pPr>
    <w:rPr>
      <w:rFonts w:ascii="Garamond" w:hAnsi="Garamond"/>
    </w:rPr>
  </w:style>
  <w:style w:type="paragraph" w:customStyle="1" w:styleId="Byline">
    <w:name w:val="Byline"/>
    <w:rsid w:val="00052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689"/>
    <w:pPr>
      <w:tabs>
        <w:tab w:val="clear" w:pos="3600"/>
        <w:tab w:val="clear" w:pos="3958"/>
      </w:tabs>
      <w:jc w:val="right"/>
    </w:pPr>
  </w:style>
  <w:style w:type="paragraph" w:styleId="Caption">
    <w:name w:val="caption"/>
    <w:basedOn w:val="BodyText"/>
    <w:next w:val="Normal"/>
    <w:qFormat/>
    <w:rsid w:val="00052689"/>
    <w:pPr>
      <w:framePr w:w="2268" w:hSpace="181" w:vSpace="181" w:wrap="around" w:vAnchor="text" w:hAnchor="page" w:x="1135" w:y="285" w:anchorLock="1"/>
    </w:pPr>
    <w:rPr>
      <w:i/>
    </w:rPr>
  </w:style>
  <w:style w:type="paragraph" w:customStyle="1" w:styleId="MiniTOCTitle">
    <w:name w:val="MiniTOCTitle"/>
    <w:basedOn w:val="Heading4"/>
    <w:rsid w:val="00052689"/>
    <w:pPr>
      <w:spacing w:before="240"/>
      <w:outlineLvl w:val="9"/>
    </w:pPr>
    <w:rPr>
      <w:noProof/>
      <w:sz w:val="24"/>
    </w:rPr>
  </w:style>
  <w:style w:type="paragraph" w:customStyle="1" w:styleId="MiniTOCItem">
    <w:name w:val="MiniTOCItem"/>
    <w:basedOn w:val="ListBullet"/>
    <w:rsid w:val="00052689"/>
    <w:pPr>
      <w:numPr>
        <w:numId w:val="0"/>
      </w:numPr>
      <w:tabs>
        <w:tab w:val="right" w:leader="dot" w:pos="6521"/>
      </w:tabs>
      <w:spacing w:before="0" w:after="0"/>
    </w:pPr>
  </w:style>
  <w:style w:type="paragraph" w:customStyle="1" w:styleId="TOFTitle">
    <w:name w:val="TOFTitle"/>
    <w:basedOn w:val="TOCTitle"/>
    <w:rsid w:val="00052689"/>
  </w:style>
  <w:style w:type="paragraph" w:styleId="TableofFigures">
    <w:name w:val="table of figures"/>
    <w:basedOn w:val="Normal"/>
    <w:next w:val="Normal"/>
    <w:semiHidden/>
    <w:rsid w:val="00052689"/>
    <w:pPr>
      <w:tabs>
        <w:tab w:val="right" w:leader="dot" w:pos="9072"/>
      </w:tabs>
      <w:ind w:left="970" w:hanging="403"/>
    </w:pPr>
    <w:rPr>
      <w:rFonts w:ascii="Times New Roman" w:hAnsi="Times New Roman"/>
      <w:b/>
    </w:rPr>
  </w:style>
  <w:style w:type="paragraph" w:styleId="ListNumber">
    <w:name w:val="List Number"/>
    <w:basedOn w:val="List"/>
    <w:rsid w:val="00052689"/>
    <w:pPr>
      <w:numPr>
        <w:numId w:val="12"/>
      </w:numPr>
    </w:pPr>
  </w:style>
  <w:style w:type="character" w:customStyle="1" w:styleId="WingdingSymbols">
    <w:name w:val="Wingding Symbols"/>
    <w:rsid w:val="00052689"/>
    <w:rPr>
      <w:rFonts w:ascii="Wingdings" w:hAnsi="Wingdings"/>
    </w:rPr>
  </w:style>
  <w:style w:type="paragraph" w:customStyle="1" w:styleId="TableHeading">
    <w:name w:val="Table Heading"/>
    <w:basedOn w:val="HeadingBase"/>
    <w:rsid w:val="00052689"/>
    <w:pPr>
      <w:keepLines/>
      <w:pBdr>
        <w:bottom w:val="single" w:sz="6" w:space="1" w:color="918585"/>
      </w:pBdr>
      <w:spacing w:before="240"/>
    </w:pPr>
  </w:style>
  <w:style w:type="character" w:customStyle="1" w:styleId="HotSpot">
    <w:name w:val="HotSpot"/>
    <w:rsid w:val="00052689"/>
    <w:rPr>
      <w:color w:val="0033CC"/>
      <w:u w:val="none"/>
    </w:rPr>
  </w:style>
  <w:style w:type="paragraph" w:customStyle="1" w:styleId="BodyTextRight">
    <w:name w:val="Body Text Right"/>
    <w:basedOn w:val="BodyText"/>
    <w:rsid w:val="00052689"/>
    <w:pPr>
      <w:spacing w:before="0" w:after="0"/>
      <w:jc w:val="right"/>
    </w:pPr>
  </w:style>
  <w:style w:type="paragraph" w:styleId="Index3">
    <w:name w:val="index 3"/>
    <w:basedOn w:val="ListNumber2"/>
    <w:next w:val="Normal"/>
    <w:semiHidden/>
    <w:rsid w:val="00052689"/>
    <w:pPr>
      <w:numPr>
        <w:numId w:val="0"/>
      </w:numPr>
      <w:tabs>
        <w:tab w:val="right" w:leader="dot" w:pos="4176"/>
      </w:tabs>
    </w:pPr>
  </w:style>
  <w:style w:type="paragraph" w:customStyle="1" w:styleId="MarginNote">
    <w:name w:val="Margin Note"/>
    <w:basedOn w:val="BodyText"/>
    <w:rsid w:val="00052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689"/>
    <w:rPr>
      <w:sz w:val="32"/>
    </w:rPr>
  </w:style>
  <w:style w:type="paragraph" w:customStyle="1" w:styleId="HeadingProcedure">
    <w:name w:val="Heading Procedure"/>
    <w:basedOn w:val="HeadingBase"/>
    <w:next w:val="Normal"/>
    <w:rsid w:val="00052689"/>
    <w:pPr>
      <w:tabs>
        <w:tab w:val="left" w:pos="0"/>
      </w:tabs>
      <w:spacing w:before="120" w:after="60"/>
    </w:pPr>
    <w:rPr>
      <w:i/>
      <w:color w:val="918585"/>
      <w:sz w:val="22"/>
    </w:rPr>
  </w:style>
  <w:style w:type="paragraph" w:customStyle="1" w:styleId="TableBodyText">
    <w:name w:val="Table Body Text"/>
    <w:basedOn w:val="BodyText"/>
    <w:rsid w:val="00052689"/>
    <w:pPr>
      <w:spacing w:before="60" w:after="60"/>
    </w:pPr>
  </w:style>
  <w:style w:type="paragraph" w:styleId="ListContinue">
    <w:name w:val="List Continue"/>
    <w:basedOn w:val="List"/>
    <w:rsid w:val="00052689"/>
    <w:pPr>
      <w:ind w:firstLine="0"/>
    </w:pPr>
  </w:style>
  <w:style w:type="paragraph" w:customStyle="1" w:styleId="ListNote">
    <w:name w:val="List Note"/>
    <w:basedOn w:val="List"/>
    <w:rsid w:val="00052689"/>
    <w:pPr>
      <w:pBdr>
        <w:top w:val="single" w:sz="6" w:space="2" w:color="918585"/>
        <w:bottom w:val="single" w:sz="6" w:space="2" w:color="918585"/>
      </w:pBdr>
      <w:tabs>
        <w:tab w:val="left" w:pos="1021"/>
      </w:tabs>
      <w:ind w:firstLine="0"/>
    </w:pPr>
  </w:style>
  <w:style w:type="paragraph" w:customStyle="1" w:styleId="Warning">
    <w:name w:val="Warning"/>
    <w:basedOn w:val="BodyText"/>
    <w:rsid w:val="00052689"/>
    <w:pPr>
      <w:shd w:val="clear" w:color="auto" w:fill="D9D9D9"/>
      <w:tabs>
        <w:tab w:val="left" w:pos="992"/>
      </w:tabs>
      <w:ind w:left="119" w:right="119"/>
    </w:pPr>
    <w:rPr>
      <w:sz w:val="20"/>
    </w:rPr>
  </w:style>
  <w:style w:type="paragraph" w:customStyle="1" w:styleId="MarginIcons">
    <w:name w:val="Margin Icons"/>
    <w:basedOn w:val="BodyText"/>
    <w:rsid w:val="00052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689"/>
    <w:rPr>
      <w:rFonts w:ascii="Courier New" w:hAnsi="Courier New"/>
    </w:rPr>
  </w:style>
  <w:style w:type="paragraph" w:customStyle="1" w:styleId="NoteBullet">
    <w:name w:val="Note Bullet"/>
    <w:basedOn w:val="Note"/>
    <w:rsid w:val="00052689"/>
    <w:pPr>
      <w:tabs>
        <w:tab w:val="clear" w:pos="680"/>
      </w:tabs>
      <w:spacing w:before="60" w:after="60"/>
    </w:pPr>
  </w:style>
  <w:style w:type="paragraph" w:customStyle="1" w:styleId="SubHeading2">
    <w:name w:val="SubHeading2"/>
    <w:basedOn w:val="HeadingBase"/>
    <w:rsid w:val="00052689"/>
    <w:pPr>
      <w:spacing w:before="240" w:after="60"/>
    </w:pPr>
    <w:rPr>
      <w:sz w:val="20"/>
    </w:rPr>
  </w:style>
  <w:style w:type="paragraph" w:customStyle="1" w:styleId="SubHeading1">
    <w:name w:val="SubHeading1"/>
    <w:basedOn w:val="HeadingBase"/>
    <w:rsid w:val="00052689"/>
    <w:pPr>
      <w:spacing w:before="240" w:after="60"/>
    </w:pPr>
    <w:rPr>
      <w:color w:val="918585"/>
      <w:sz w:val="22"/>
    </w:rPr>
  </w:style>
  <w:style w:type="paragraph" w:customStyle="1" w:styleId="SideHeading">
    <w:name w:val="Side Heading"/>
    <w:basedOn w:val="HeadingBase"/>
    <w:rsid w:val="00052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689"/>
    <w:pPr>
      <w:numPr>
        <w:numId w:val="13"/>
      </w:numPr>
    </w:pPr>
  </w:style>
  <w:style w:type="paragraph" w:styleId="PlainText">
    <w:name w:val="Plain Text"/>
    <w:basedOn w:val="Normal"/>
    <w:link w:val="PlainTextChar"/>
    <w:rsid w:val="00052689"/>
    <w:rPr>
      <w:sz w:val="20"/>
    </w:rPr>
  </w:style>
  <w:style w:type="character" w:customStyle="1" w:styleId="PlainTextChar">
    <w:name w:val="Plain Text Char"/>
    <w:basedOn w:val="DefaultParagraphFont"/>
    <w:link w:val="PlainText"/>
    <w:rsid w:val="00052689"/>
    <w:rPr>
      <w:rFonts w:ascii="Courier New" w:eastAsia="Times New Roman" w:hAnsi="Courier New" w:cs="Times New Roman"/>
      <w:sz w:val="20"/>
      <w:szCs w:val="20"/>
      <w:lang w:eastAsia="en-US"/>
    </w:rPr>
  </w:style>
  <w:style w:type="character" w:customStyle="1" w:styleId="MenuOption">
    <w:name w:val="Menu Option"/>
    <w:basedOn w:val="DefaultParagraphFont"/>
    <w:rsid w:val="00052689"/>
    <w:rPr>
      <w:b/>
      <w:smallCaps/>
    </w:rPr>
  </w:style>
  <w:style w:type="paragraph" w:customStyle="1" w:styleId="TableListNumber">
    <w:name w:val="Table List Number"/>
    <w:basedOn w:val="ListNumber"/>
    <w:rsid w:val="00052689"/>
    <w:pPr>
      <w:numPr>
        <w:numId w:val="0"/>
      </w:numPr>
    </w:pPr>
  </w:style>
  <w:style w:type="paragraph" w:styleId="TOC4">
    <w:name w:val="toc 4"/>
    <w:basedOn w:val="TOCBase"/>
    <w:next w:val="Normal"/>
    <w:semiHidden/>
    <w:rsid w:val="00052689"/>
    <w:pPr>
      <w:tabs>
        <w:tab w:val="right" w:leader="dot" w:pos="9071"/>
      </w:tabs>
      <w:ind w:left="1701"/>
    </w:pPr>
  </w:style>
  <w:style w:type="paragraph" w:customStyle="1" w:styleId="ListAlpha">
    <w:name w:val="List Alpha"/>
    <w:basedOn w:val="List"/>
    <w:rsid w:val="00052689"/>
    <w:pPr>
      <w:numPr>
        <w:numId w:val="10"/>
      </w:numPr>
    </w:pPr>
  </w:style>
  <w:style w:type="paragraph" w:customStyle="1" w:styleId="ListAlpha2">
    <w:name w:val="List Alpha 2"/>
    <w:basedOn w:val="List2"/>
    <w:rsid w:val="00052689"/>
    <w:pPr>
      <w:numPr>
        <w:numId w:val="9"/>
      </w:numPr>
    </w:pPr>
  </w:style>
  <w:style w:type="paragraph" w:styleId="List2">
    <w:name w:val="List 2"/>
    <w:basedOn w:val="BodyText"/>
    <w:rsid w:val="00052689"/>
    <w:pPr>
      <w:tabs>
        <w:tab w:val="left" w:pos="680"/>
      </w:tabs>
      <w:spacing w:before="60" w:after="60"/>
      <w:ind w:left="680" w:hanging="340"/>
    </w:pPr>
  </w:style>
  <w:style w:type="paragraph" w:styleId="List3">
    <w:name w:val="List 3"/>
    <w:basedOn w:val="BodyText"/>
    <w:rsid w:val="00052689"/>
    <w:pPr>
      <w:tabs>
        <w:tab w:val="left" w:pos="1021"/>
      </w:tabs>
      <w:spacing w:before="60" w:after="60"/>
      <w:ind w:left="1020" w:hanging="340"/>
    </w:pPr>
  </w:style>
  <w:style w:type="paragraph" w:styleId="List4">
    <w:name w:val="List 4"/>
    <w:basedOn w:val="BodyText"/>
    <w:rsid w:val="00052689"/>
    <w:pPr>
      <w:tabs>
        <w:tab w:val="left" w:pos="1361"/>
      </w:tabs>
      <w:spacing w:before="60" w:after="60"/>
      <w:ind w:left="1361" w:hanging="340"/>
    </w:pPr>
  </w:style>
  <w:style w:type="paragraph" w:styleId="List5">
    <w:name w:val="List 5"/>
    <w:basedOn w:val="BodyText"/>
    <w:rsid w:val="00052689"/>
    <w:pPr>
      <w:tabs>
        <w:tab w:val="left" w:pos="1701"/>
      </w:tabs>
      <w:spacing w:before="60" w:after="60"/>
      <w:ind w:left="1701" w:hanging="340"/>
    </w:pPr>
  </w:style>
  <w:style w:type="paragraph" w:styleId="ListBullet3">
    <w:name w:val="List Bullet 3"/>
    <w:basedOn w:val="List3"/>
    <w:rsid w:val="00052689"/>
    <w:pPr>
      <w:numPr>
        <w:numId w:val="16"/>
      </w:numPr>
      <w:tabs>
        <w:tab w:val="clear" w:pos="1021"/>
      </w:tabs>
      <w:ind w:left="1037" w:hanging="357"/>
    </w:pPr>
  </w:style>
  <w:style w:type="paragraph" w:styleId="ListBullet4">
    <w:name w:val="List Bullet 4"/>
    <w:basedOn w:val="List4"/>
    <w:rsid w:val="00052689"/>
    <w:pPr>
      <w:numPr>
        <w:numId w:val="4"/>
      </w:numPr>
    </w:pPr>
  </w:style>
  <w:style w:type="paragraph" w:styleId="ListBullet5">
    <w:name w:val="List Bullet 5"/>
    <w:basedOn w:val="List5"/>
    <w:rsid w:val="00052689"/>
    <w:pPr>
      <w:numPr>
        <w:numId w:val="5"/>
      </w:numPr>
    </w:pPr>
  </w:style>
  <w:style w:type="paragraph" w:styleId="ListContinue2">
    <w:name w:val="List Continue 2"/>
    <w:basedOn w:val="List2"/>
    <w:rsid w:val="00052689"/>
    <w:pPr>
      <w:ind w:firstLine="0"/>
    </w:pPr>
  </w:style>
  <w:style w:type="paragraph" w:styleId="ListContinue3">
    <w:name w:val="List Continue 3"/>
    <w:basedOn w:val="List3"/>
    <w:rsid w:val="00052689"/>
    <w:pPr>
      <w:ind w:left="1021" w:firstLine="0"/>
    </w:pPr>
  </w:style>
  <w:style w:type="paragraph" w:styleId="ListContinue4">
    <w:name w:val="List Continue 4"/>
    <w:basedOn w:val="List4"/>
    <w:rsid w:val="00052689"/>
    <w:pPr>
      <w:ind w:firstLine="0"/>
    </w:pPr>
  </w:style>
  <w:style w:type="paragraph" w:styleId="ListContinue5">
    <w:name w:val="List Continue 5"/>
    <w:basedOn w:val="List5"/>
    <w:rsid w:val="00052689"/>
    <w:pPr>
      <w:ind w:firstLine="0"/>
    </w:pPr>
  </w:style>
  <w:style w:type="paragraph" w:styleId="ListNumber3">
    <w:name w:val="List Number 3"/>
    <w:basedOn w:val="List3"/>
    <w:rsid w:val="00052689"/>
    <w:pPr>
      <w:numPr>
        <w:numId w:val="6"/>
      </w:numPr>
    </w:pPr>
  </w:style>
  <w:style w:type="paragraph" w:styleId="ListNumber4">
    <w:name w:val="List Number 4"/>
    <w:basedOn w:val="List4"/>
    <w:rsid w:val="00052689"/>
    <w:pPr>
      <w:numPr>
        <w:numId w:val="7"/>
      </w:numPr>
    </w:pPr>
  </w:style>
  <w:style w:type="paragraph" w:styleId="ListNumber5">
    <w:name w:val="List Number 5"/>
    <w:basedOn w:val="List5"/>
    <w:rsid w:val="00052689"/>
    <w:pPr>
      <w:numPr>
        <w:numId w:val="8"/>
      </w:numPr>
    </w:pPr>
  </w:style>
  <w:style w:type="paragraph" w:styleId="BlockText">
    <w:name w:val="Block Text"/>
    <w:basedOn w:val="Normal"/>
    <w:rsid w:val="00052689"/>
    <w:pPr>
      <w:spacing w:after="120"/>
      <w:ind w:left="1440" w:right="1440"/>
    </w:pPr>
  </w:style>
  <w:style w:type="character" w:customStyle="1" w:styleId="Subscript">
    <w:name w:val="Subscript"/>
    <w:basedOn w:val="DefaultParagraphFont"/>
    <w:rsid w:val="00052689"/>
    <w:rPr>
      <w:sz w:val="16"/>
      <w:vertAlign w:val="subscript"/>
    </w:rPr>
  </w:style>
  <w:style w:type="character" w:customStyle="1" w:styleId="Superscript">
    <w:name w:val="Superscript"/>
    <w:basedOn w:val="DefaultParagraphFont"/>
    <w:rsid w:val="00052689"/>
    <w:rPr>
      <w:sz w:val="16"/>
      <w:vertAlign w:val="superscript"/>
    </w:rPr>
  </w:style>
  <w:style w:type="character" w:customStyle="1" w:styleId="Symbols">
    <w:name w:val="Symbols"/>
    <w:basedOn w:val="DefaultParagraphFont"/>
    <w:rsid w:val="00052689"/>
    <w:rPr>
      <w:rFonts w:ascii="Symbol" w:hAnsi="Symbol"/>
    </w:rPr>
  </w:style>
  <w:style w:type="character" w:customStyle="1" w:styleId="MenuOptions">
    <w:name w:val="Menu Options"/>
    <w:basedOn w:val="DefaultParagraphFont"/>
    <w:rsid w:val="00052689"/>
    <w:rPr>
      <w:rFonts w:ascii="Arial Narrow" w:hAnsi="Arial Narrow"/>
      <w:smallCaps/>
    </w:rPr>
  </w:style>
  <w:style w:type="character" w:customStyle="1" w:styleId="Buttons">
    <w:name w:val="Buttons"/>
    <w:basedOn w:val="DefaultParagraphFont"/>
    <w:rsid w:val="00052689"/>
    <w:rPr>
      <w:b/>
    </w:rPr>
  </w:style>
  <w:style w:type="character" w:customStyle="1" w:styleId="Underlined">
    <w:name w:val="Underlined"/>
    <w:basedOn w:val="DefaultParagraphFont"/>
    <w:rsid w:val="00052689"/>
    <w:rPr>
      <w:u w:val="single"/>
    </w:rPr>
  </w:style>
  <w:style w:type="paragraph" w:customStyle="1" w:styleId="TableBodyTextRight">
    <w:name w:val="Table Body Text Right"/>
    <w:basedOn w:val="TableBodyText"/>
    <w:rsid w:val="00052689"/>
    <w:pPr>
      <w:widowControl w:val="0"/>
      <w:autoSpaceDE w:val="0"/>
      <w:autoSpaceDN w:val="0"/>
      <w:adjustRightInd w:val="0"/>
      <w:jc w:val="right"/>
    </w:pPr>
    <w:rPr>
      <w:rFonts w:cs="Arial"/>
      <w:szCs w:val="18"/>
    </w:rPr>
  </w:style>
  <w:style w:type="paragraph" w:customStyle="1" w:styleId="CopyrightText">
    <w:name w:val="Copyright Text"/>
    <w:basedOn w:val="BodyText"/>
    <w:rsid w:val="00052689"/>
    <w:rPr>
      <w:sz w:val="18"/>
    </w:rPr>
  </w:style>
  <w:style w:type="paragraph" w:customStyle="1" w:styleId="BodySmallRight">
    <w:name w:val="Body Small Right"/>
    <w:basedOn w:val="BodyTextRight"/>
    <w:rsid w:val="00052689"/>
    <w:rPr>
      <w:sz w:val="18"/>
      <w:szCs w:val="18"/>
    </w:rPr>
  </w:style>
  <w:style w:type="paragraph" w:customStyle="1" w:styleId="MarginEdition">
    <w:name w:val="Margin Edition"/>
    <w:basedOn w:val="MarginNote"/>
    <w:rsid w:val="00052689"/>
    <w:pPr>
      <w:spacing w:before="0" w:after="0"/>
    </w:pPr>
    <w:rPr>
      <w:rFonts w:ascii="Times New Roman" w:hAnsi="Times New Roman"/>
      <w:color w:val="999999"/>
    </w:rPr>
  </w:style>
  <w:style w:type="paragraph" w:customStyle="1" w:styleId="Spacer">
    <w:name w:val="Spacer"/>
    <w:basedOn w:val="Normal"/>
    <w:rsid w:val="00052689"/>
    <w:rPr>
      <w:sz w:val="2"/>
      <w:szCs w:val="2"/>
    </w:rPr>
  </w:style>
  <w:style w:type="character" w:customStyle="1" w:styleId="Small">
    <w:name w:val="Small"/>
    <w:basedOn w:val="DefaultParagraphFont"/>
    <w:rsid w:val="00052689"/>
    <w:rPr>
      <w:sz w:val="16"/>
    </w:rPr>
  </w:style>
  <w:style w:type="paragraph" w:customStyle="1" w:styleId="WideTable">
    <w:name w:val="Wide Table"/>
    <w:basedOn w:val="Normal"/>
    <w:rsid w:val="00052689"/>
    <w:pPr>
      <w:ind w:left="-1418"/>
    </w:pPr>
    <w:rPr>
      <w:sz w:val="2"/>
      <w:szCs w:val="2"/>
    </w:rPr>
  </w:style>
  <w:style w:type="character" w:styleId="PageNumber">
    <w:name w:val="page number"/>
    <w:basedOn w:val="DefaultParagraphFont"/>
    <w:rsid w:val="00052689"/>
  </w:style>
  <w:style w:type="paragraph" w:styleId="Quote">
    <w:name w:val="Quote"/>
    <w:basedOn w:val="Heading1"/>
    <w:link w:val="QuoteChar"/>
    <w:qFormat/>
    <w:rsid w:val="00052689"/>
    <w:rPr>
      <w:b w:val="0"/>
      <w:sz w:val="72"/>
      <w:szCs w:val="72"/>
      <w:lang w:val="en-NZ"/>
    </w:rPr>
  </w:style>
  <w:style w:type="character" w:customStyle="1" w:styleId="QuoteChar">
    <w:name w:val="Quote Char"/>
    <w:basedOn w:val="DefaultParagraphFont"/>
    <w:link w:val="Quote"/>
    <w:rsid w:val="00052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689"/>
    <w:pPr>
      <w:pageBreakBefore/>
    </w:pPr>
  </w:style>
  <w:style w:type="paragraph" w:customStyle="1" w:styleId="Border">
    <w:name w:val="Border"/>
    <w:basedOn w:val="Normal"/>
    <w:qFormat/>
    <w:rsid w:val="00052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689"/>
    <w:rPr>
      <w:b/>
      <w:bCs/>
      <w:i/>
      <w:iCs/>
      <w:color w:val="auto"/>
    </w:rPr>
  </w:style>
  <w:style w:type="paragraph" w:styleId="IntenseQuote">
    <w:name w:val="Intense Quote"/>
    <w:basedOn w:val="Normal"/>
    <w:next w:val="Normal"/>
    <w:link w:val="IntenseQuoteChar"/>
    <w:uiPriority w:val="30"/>
    <w:qFormat/>
    <w:rsid w:val="00052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689"/>
    <w:rPr>
      <w:smallCaps/>
      <w:color w:val="auto"/>
      <w:u w:val="single"/>
    </w:rPr>
  </w:style>
  <w:style w:type="character" w:styleId="IntenseReference">
    <w:name w:val="Intense Reference"/>
    <w:basedOn w:val="DefaultParagraphFont"/>
    <w:uiPriority w:val="32"/>
    <w:qFormat/>
    <w:rsid w:val="00052689"/>
    <w:rPr>
      <w:b/>
      <w:bCs/>
      <w:smallCaps/>
      <w:color w:val="auto"/>
      <w:spacing w:val="5"/>
      <w:u w:val="single"/>
    </w:rPr>
  </w:style>
  <w:style w:type="paragraph" w:customStyle="1" w:styleId="2ColumnHeading">
    <w:name w:val="2Column Heading"/>
    <w:basedOn w:val="BodyText"/>
    <w:qFormat/>
    <w:rsid w:val="00052689"/>
    <w:pPr>
      <w:spacing w:after="60"/>
      <w:ind w:left="-2268"/>
    </w:pPr>
    <w:rPr>
      <w:b/>
    </w:rPr>
  </w:style>
  <w:style w:type="paragraph" w:customStyle="1" w:styleId="Heading1TOC">
    <w:name w:val="Heading1 TOC"/>
    <w:basedOn w:val="Normal"/>
    <w:qFormat/>
    <w:rsid w:val="00052689"/>
    <w:pPr>
      <w:spacing w:before="240" w:after="120"/>
    </w:pPr>
    <w:rPr>
      <w:rFonts w:ascii="Times New Roman" w:hAnsi="Times New Roman"/>
      <w:b/>
      <w:sz w:val="32"/>
    </w:rPr>
  </w:style>
  <w:style w:type="paragraph" w:customStyle="1" w:styleId="Heading2TOC">
    <w:name w:val="Heading2 TOC"/>
    <w:basedOn w:val="Normal"/>
    <w:qFormat/>
    <w:rsid w:val="00052689"/>
    <w:pPr>
      <w:spacing w:before="240" w:after="60"/>
    </w:pPr>
    <w:rPr>
      <w:rFonts w:ascii="Times New Roman" w:hAnsi="Times New Roman"/>
      <w:b/>
      <w:sz w:val="28"/>
    </w:rPr>
  </w:style>
  <w:style w:type="character" w:customStyle="1" w:styleId="Underline">
    <w:name w:val="Underline"/>
    <w:basedOn w:val="DefaultParagraphFont"/>
    <w:qFormat/>
    <w:rsid w:val="00052689"/>
    <w:rPr>
      <w:u w:val="single"/>
    </w:rPr>
  </w:style>
  <w:style w:type="character" w:customStyle="1" w:styleId="BoldandItalics">
    <w:name w:val="Bold and Italics"/>
    <w:qFormat/>
    <w:rsid w:val="00052689"/>
    <w:rPr>
      <w:b/>
      <w:i/>
      <w:u w:val="none"/>
    </w:rPr>
  </w:style>
  <w:style w:type="paragraph" w:styleId="BalloonText">
    <w:name w:val="Balloon Text"/>
    <w:basedOn w:val="Normal"/>
    <w:link w:val="BalloonTextChar"/>
    <w:rsid w:val="00052689"/>
    <w:rPr>
      <w:rFonts w:ascii="Tahoma" w:hAnsi="Tahoma" w:cs="Tahoma"/>
      <w:sz w:val="16"/>
      <w:szCs w:val="16"/>
    </w:rPr>
  </w:style>
  <w:style w:type="character" w:customStyle="1" w:styleId="BalloonTextChar">
    <w:name w:val="Balloon Text Char"/>
    <w:basedOn w:val="DefaultParagraphFont"/>
    <w:link w:val="BalloonText"/>
    <w:rsid w:val="00052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6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2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689"/>
    <w:rPr>
      <w:b/>
      <w:color w:val="660033"/>
      <w:spacing w:val="0"/>
    </w:rPr>
  </w:style>
  <w:style w:type="paragraph" w:customStyle="1" w:styleId="Nameditemlist">
    <w:name w:val="Named item list"/>
    <w:basedOn w:val="BodyText"/>
    <w:qFormat/>
    <w:rsid w:val="000526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2701</Words>
  <Characters>16651</Characters>
  <Application>Microsoft Office Word</Application>
  <DocSecurity>0</DocSecurity>
  <Lines>668</Lines>
  <Paragraphs>293</Paragraphs>
  <ScaleCrop>false</ScaleCrop>
  <Company>Author-it Software Corporation Ltd.</Company>
  <LinksUpToDate>false</LinksUpToDate>
  <CharactersWithSpaces>19181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UEGNSG807A Install Gas Flow, Measuring and Pressure Regulating Devices</dc:title>
  <dc:subject>Approved</dc:subject>
  <dc:creator>E-Oz Training Standards</dc:creator>
  <cp:keywords>Release 1</cp:keywords>
  <dc:description>Review Date: 12 April 2008</dc:description>
  <cp:lastModifiedBy>HSD_TPCMSd.prod</cp:lastModifiedBy>
  <cp:revision>3</cp:revision>
  <dcterms:created xsi:type="dcterms:W3CDTF">2014-03-13T15:19:02Z</dcterms:created>
  <dcterms:modified xsi:type="dcterms:W3CDTF">2014-03-13T03:47:00Z</dcterms:modified>
</cp:coreProperties>
</file>