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4CBF" w:rsidP="00974CBF">
      <w:pPr>
        <w:pStyle w:val="Title"/>
      </w:pPr>
      <w:r>
        <w:fldChar w:fldCharType="begin"/>
      </w:r>
      <w:r>
        <w:instrText xml:space="preserve"> TITLE   \* MERGEFORMAT </w:instrText>
      </w:r>
      <w:r>
        <w:fldChar w:fldCharType="separate"/>
      </w:r>
      <w:r>
        <w:t>UEGNSG804A Maintain Single Stage and Single Run Gas Flow and Pressure Control and Measuring Devices</w:t>
      </w:r>
      <w:r>
        <w:fldChar w:fldCharType="end"/>
      </w:r>
    </w:p>
    <w:p w:rsidR="00974CBF" w:rsidP="00974CBF">
      <w:pPr>
        <w:pStyle w:val="Version"/>
        <w:sectPr w:rsidSect="00B23F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3FF3" w:rsidP="00B23FF3">
      <w:pPr>
        <w:pStyle w:val="SuperHeading"/>
      </w:pPr>
      <w:r w:rsidRPr="00B23FF3">
        <w:t>UEGNSG804A Maintain Single Stage and Single Run Gas Flow and Pressure Control and Measuring Devices</w:t>
      </w:r>
    </w:p>
    <w:p w:rsidR="00000000" w:rsidRPr="00B23FF3" w:rsidP="00B23FF3">
      <w:pPr>
        <w:pStyle w:val="Heading1"/>
      </w:pPr>
      <w:bookmarkStart w:id="1" w:name="O_619429"/>
      <w:bookmarkEnd w:id="1"/>
      <w:r w:rsidRPr="00B23FF3">
        <w:t>Modification History</w:t>
      </w:r>
    </w:p>
    <w:p w:rsidR="00000000" w:rsidRPr="00B23FF3" w:rsidP="00B23FF3">
      <w:pPr>
        <w:pStyle w:val="BodyText"/>
      </w:pPr>
      <w:r w:rsidRPr="00B23FF3">
        <w:t>Not applicable.</w:t>
      </w:r>
    </w:p>
    <w:p w:rsidR="00000000" w:rsidRPr="00B23FF3" w:rsidP="00B23FF3">
      <w:pPr>
        <w:pStyle w:val="AllowPageBreak"/>
      </w:pPr>
    </w:p>
    <w:p w:rsidR="00000000" w:rsidRPr="00B23FF3" w:rsidP="00B23FF3">
      <w:pPr>
        <w:pStyle w:val="Heading1"/>
      </w:pPr>
      <w:bookmarkStart w:id="2" w:name="O_619431"/>
      <w:bookmarkEnd w:id="2"/>
      <w:r w:rsidRPr="00B23FF3">
        <w:t>Unit Descriptor</w:t>
      </w:r>
    </w:p>
    <w:tbl>
      <w:tblPr>
        <w:tblW w:w="0" w:type="auto"/>
        <w:tblLayout w:type="fixed"/>
        <w:tblCellMar>
          <w:left w:w="62" w:type="dxa"/>
          <w:right w:w="62" w:type="dxa"/>
        </w:tblCellMar>
        <w:tblLook w:val="0000"/>
      </w:tblPr>
      <w:tblGrid>
        <w:gridCol w:w="2576"/>
        <w:gridCol w:w="5760"/>
      </w:tblGrid>
      <w:tr w:rsidTr="00B23FF3">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RPr="00B23FF3" w:rsidP="00B23FF3">
            <w:pPr>
              <w:pStyle w:val="BodyText"/>
            </w:pPr>
            <w:r w:rsidRPr="00B23FF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rPr>
                <w:rStyle w:val="SpecialBold"/>
              </w:rPr>
              <w:t>1) Scope:</w:t>
            </w:r>
          </w:p>
        </w:tc>
      </w:tr>
      <w:tr w:rsidTr="00B23FF3">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RPr="00B23FF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rPr>
                <w:rStyle w:val="SpecialBold"/>
              </w:rPr>
              <w:t>1.1) Descriptor</w:t>
            </w:r>
          </w:p>
        </w:tc>
      </w:tr>
      <w:tr w:rsidTr="00B23FF3">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23FF3" w:rsidP="00B23FF3">
            <w:pPr>
              <w:pStyle w:val="BodyText"/>
            </w:pPr>
            <w:r w:rsidRPr="00B23FF3">
              <w:t xml:space="preserve">This </w:t>
            </w:r>
            <w:r w:rsidRPr="00B23FF3">
              <w:t>unit covers maintaining gas distribution flow and pressure regulating and measuring devices and associated equipment in accordance with relevant legislation, codes, regulations and procedures.</w:t>
            </w:r>
          </w:p>
          <w:p w:rsidR="00000000" w:rsidRPr="00B23FF3" w:rsidP="00B23FF3">
            <w:pPr>
              <w:pStyle w:val="BodyText"/>
            </w:pPr>
            <w:r w:rsidRPr="00B23FF3">
              <w:t>It encompasses single stage and single run regulator systems, m</w:t>
            </w:r>
            <w:r w:rsidRPr="00B23FF3">
              <w:t xml:space="preserve">anual control valves, diaphragm and sleeve regulators, small capacity union connected positive displacement meters. </w:t>
            </w:r>
          </w:p>
        </w:tc>
      </w:tr>
    </w:tbl>
    <w:p w:rsidR="00000000" w:rsidRPr="00B23FF3" w:rsidP="00B23FF3">
      <w:pPr>
        <w:pStyle w:val="BodyText"/>
      </w:pPr>
    </w:p>
    <w:p w:rsidR="00000000" w:rsidRPr="00B23FF3" w:rsidP="00B23FF3">
      <w:pPr>
        <w:pStyle w:val="AllowPageBreak"/>
      </w:pPr>
    </w:p>
    <w:p w:rsidR="00000000" w:rsidRPr="00B23FF3" w:rsidP="00B23FF3">
      <w:pPr>
        <w:pStyle w:val="Heading1"/>
      </w:pPr>
      <w:bookmarkStart w:id="3" w:name="O_619432"/>
      <w:bookmarkEnd w:id="3"/>
      <w:r w:rsidRPr="00B23FF3">
        <w:t>Application of the Unit</w:t>
      </w:r>
    </w:p>
    <w:tbl>
      <w:tblPr>
        <w:tblW w:w="0" w:type="auto"/>
        <w:tblLayout w:type="fixed"/>
        <w:tblCellMar>
          <w:left w:w="62" w:type="dxa"/>
          <w:right w:w="62" w:type="dxa"/>
        </w:tblCellMar>
        <w:tblLook w:val="0000"/>
      </w:tblPr>
      <w:tblGrid>
        <w:gridCol w:w="2548"/>
        <w:gridCol w:w="5699"/>
      </w:tblGrid>
      <w:tr w:rsidTr="00B23FF3">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RPr="00B23FF3" w:rsidP="00B23FF3">
            <w:pPr>
              <w:pStyle w:val="BodyText"/>
            </w:pPr>
            <w:r w:rsidRPr="00B23FF3">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rPr>
                <w:rStyle w:val="SpecialBold"/>
              </w:rPr>
              <w:t>2)</w:t>
            </w:r>
          </w:p>
        </w:tc>
      </w:tr>
      <w:tr w:rsidTr="00B23FF3">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B23FF3" w:rsidP="00B23FF3">
            <w:pPr>
              <w:pStyle w:val="BodyText"/>
            </w:pPr>
            <w:r w:rsidRPr="00B23FF3">
              <w:t>This competency standard shall apply to the foll</w:t>
            </w:r>
            <w:r w:rsidRPr="00B23FF3">
              <w:t>owing the types of gas facilities, subject to all Workplace Health and Safety (WHS)/Occupational Health and Safety (OHS)and duty of care requirements being met for the workplace:</w:t>
            </w:r>
          </w:p>
          <w:p w:rsidR="00000000" w:rsidRPr="00B23FF3" w:rsidP="00B23FF3">
            <w:pPr>
              <w:pStyle w:val="ListBullet"/>
            </w:pPr>
            <w:r w:rsidRPr="00B23FF3">
              <w:t>District and customer metering and regulator sets</w:t>
            </w:r>
          </w:p>
          <w:p w:rsidR="00000000" w:rsidRPr="00B23FF3" w:rsidP="00B23FF3">
            <w:pPr>
              <w:pStyle w:val="ListBullet"/>
            </w:pPr>
            <w:r w:rsidRPr="00B23FF3">
              <w:t>Distribution line and path</w:t>
            </w:r>
            <w:r w:rsidRPr="00B23FF3">
              <w:t xml:space="preserve"> valves</w:t>
            </w:r>
          </w:p>
          <w:p w:rsidR="00000000" w:rsidRPr="00B23FF3" w:rsidP="00B23FF3">
            <w:pPr>
              <w:pStyle w:val="BodyText"/>
            </w:pPr>
            <w:r w:rsidRPr="00B23FF3">
              <w:t>This unit is intended as an AQF 2 competency for new and existing workers in the gas industry. It is suitable for employment-based programs under an approved contract of training.</w:t>
            </w:r>
          </w:p>
        </w:tc>
      </w:tr>
    </w:tbl>
    <w:p w:rsidR="00000000" w:rsidRPr="00B23FF3" w:rsidP="00B23FF3">
      <w:pPr>
        <w:pStyle w:val="BodyText"/>
      </w:pPr>
    </w:p>
    <w:p w:rsidR="00000000" w:rsidRPr="00B23FF3" w:rsidP="00B23FF3">
      <w:pPr>
        <w:pStyle w:val="AllowPageBreak"/>
      </w:pPr>
    </w:p>
    <w:p w:rsidR="00000000" w:rsidRPr="00B23FF3" w:rsidP="00B23FF3">
      <w:pPr>
        <w:pStyle w:val="Heading1"/>
      </w:pPr>
      <w:bookmarkStart w:id="4" w:name="O_619433"/>
      <w:bookmarkEnd w:id="4"/>
      <w:r w:rsidRPr="00B23FF3">
        <w:t>Licensing/Regulatory Information</w:t>
      </w:r>
    </w:p>
    <w:tbl>
      <w:tblPr>
        <w:tblW w:w="0" w:type="auto"/>
        <w:tblLayout w:type="fixed"/>
        <w:tblCellMar>
          <w:left w:w="62" w:type="dxa"/>
          <w:right w:w="62" w:type="dxa"/>
        </w:tblCellMar>
        <w:tblLook w:val="0000"/>
      </w:tblPr>
      <w:tblGrid>
        <w:gridCol w:w="2576"/>
        <w:gridCol w:w="5760"/>
      </w:tblGrid>
      <w:tr w:rsidTr="00B23FF3">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RPr="00B23FF3" w:rsidP="00B23FF3">
            <w:pPr>
              <w:pStyle w:val="BodyText"/>
            </w:pPr>
            <w:r w:rsidRPr="00B23FF3">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rPr>
                <w:rStyle w:val="SpecialBold"/>
              </w:rPr>
              <w:t xml:space="preserve">3) </w:t>
            </w:r>
          </w:p>
        </w:tc>
      </w:tr>
      <w:tr w:rsidTr="00B23FF3">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RPr="00B23FF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RPr="00B23FF3" w:rsidP="00B23FF3">
            <w:pPr>
              <w:pStyle w:val="BodyText"/>
            </w:pPr>
            <w:r w:rsidRPr="00B23FF3">
              <w:rPr>
                <w:rStyle w:val="SpecialBold"/>
              </w:rPr>
              <w:t xml:space="preserve">During Training: </w:t>
            </w:r>
          </w:p>
          <w:p w:rsidR="00000000" w:rsidRPr="00B23FF3" w:rsidP="00B23FF3">
            <w:pPr>
              <w:pStyle w:val="BodyText"/>
            </w:pPr>
            <w:r w:rsidRPr="00B23FF3">
              <w:t>Competency development activities are subject to regulations directly related to licensing, workplace health and safety/occupational health and safety and where applicable contracts of training such as apprentice</w:t>
            </w:r>
            <w:r w:rsidRPr="00B23FF3">
              <w:t xml:space="preserve">ships. </w:t>
            </w:r>
          </w:p>
          <w:p w:rsidR="00000000" w:rsidRPr="00B23FF3" w:rsidP="00B23FF3">
            <w:pPr>
              <w:pStyle w:val="BodyText"/>
            </w:pPr>
            <w:r w:rsidRPr="00B23FF3">
              <w:rPr>
                <w:rStyle w:val="SpecialBold"/>
              </w:rPr>
              <w:t>In the workplace:</w:t>
            </w:r>
          </w:p>
          <w:p w:rsidR="00000000" w:rsidRPr="00B23FF3" w:rsidP="00B23FF3">
            <w:pPr>
              <w:pStyle w:val="BodyText"/>
            </w:pPr>
            <w:r w:rsidRPr="00B23FF3">
              <w:t>The application of the skills and knowledge described in this unit require a license to practice in the workplace where work is carried out on electrical equipment or installations which are designed to operate at voltages greater</w:t>
            </w:r>
            <w:r w:rsidRPr="00B23FF3">
              <w:t xml:space="preserve"> than 50 V a.c. or 120 V d.c.</w:t>
            </w:r>
          </w:p>
          <w:p w:rsidR="00000000" w:rsidRPr="00B23FF3" w:rsidP="00B23FF3">
            <w:pPr>
              <w:pStyle w:val="BodyText"/>
            </w:pPr>
            <w:r w:rsidRPr="00B23FF3">
              <w:t>The skills and knowledge described in this unit are also subject to licence regulation directly related to Workplace Health and Safety (WHS)/ Occupational Health and Safety (OHS), gas/electricity/water industry safety and comp</w:t>
            </w:r>
            <w:r w:rsidRPr="00B23FF3">
              <w:t>liance, industrial relations, environmental protection, telecommunications, anti- discrimination and training.</w:t>
            </w:r>
          </w:p>
          <w:p w:rsidR="00000000" w:rsidRPr="00B23FF3" w:rsidP="00B23FF3">
            <w:pPr>
              <w:pStyle w:val="BodyText"/>
            </w:pPr>
            <w:r w:rsidRPr="00B23FF3">
              <w:t xml:space="preserve">Note: </w:t>
            </w:r>
          </w:p>
          <w:p w:rsidR="00000000" w:rsidRPr="00B23FF3" w:rsidP="00B23FF3">
            <w:pPr>
              <w:pStyle w:val="BodyText"/>
            </w:pPr>
            <w:r w:rsidRPr="00B23FF3">
              <w:t>Other conditions may apply under State and Territory legislative and regulatory requirements, for example:</w:t>
            </w:r>
          </w:p>
          <w:p w:rsidR="00000000" w:rsidRPr="00B23FF3" w:rsidP="00B23FF3">
            <w:pPr>
              <w:pStyle w:val="BodyText"/>
            </w:pPr>
            <w:r w:rsidRPr="00B23FF3">
              <w:t xml:space="preserve">1. Compliance with permits may </w:t>
            </w:r>
            <w:r w:rsidRPr="00B23FF3">
              <w:t>be required in various jurisdictions and typically relates to the operation of plant, machinery and equipment such as elevating work platforms, powder operated fixing tools, power operated tools, vehicles, road signage and traffic control, lifting equipmen</w:t>
            </w:r>
            <w:r w:rsidRPr="00B23FF3">
              <w:t xml:space="preserve">t. </w:t>
            </w:r>
          </w:p>
          <w:p w:rsidR="00000000" w:rsidRPr="00B23FF3" w:rsidP="00B23FF3">
            <w:pPr>
              <w:pStyle w:val="BodyText"/>
            </w:pPr>
            <w:r w:rsidRPr="00B23FF3">
              <w:t>Permits may also be required for some work environments such as hazardous areas, confined spaces, working aloft, near live electrical devices, site rehabilitation.</w:t>
            </w:r>
          </w:p>
          <w:p w:rsidR="00000000" w:rsidRPr="00B23FF3" w:rsidP="00B23FF3">
            <w:pPr>
              <w:pStyle w:val="BodyText"/>
            </w:pPr>
            <w:r w:rsidRPr="00B23FF3">
              <w:t>2. Compliance may be required in various jurisdictions relating to currency in First Aid</w:t>
            </w:r>
            <w:r w:rsidRPr="00B23FF3">
              <w:t>, hazardous areas, confined space, lifting and risk safety measures</w:t>
            </w:r>
          </w:p>
          <w:p w:rsidR="00000000" w:rsidRPr="00B23FF3" w:rsidP="00B23FF3">
            <w:pPr>
              <w:pStyle w:val="BodyText"/>
            </w:pPr>
            <w:r w:rsidRPr="00B23FF3">
              <w:t xml:space="preserve">Commonwealth, State/Territory or Local Government legislation and regulations may exist that limits the age at which persons can operate certain equipment.  </w:t>
            </w:r>
          </w:p>
        </w:tc>
      </w:tr>
    </w:tbl>
    <w:p w:rsidR="00000000" w:rsidRPr="00B23FF3" w:rsidP="00B23FF3">
      <w:pPr>
        <w:pStyle w:val="BodyText"/>
      </w:pPr>
    </w:p>
    <w:p w:rsidR="00000000" w:rsidRPr="00B23FF3" w:rsidP="00B23FF3">
      <w:pPr>
        <w:pStyle w:val="AllowPageBreak"/>
      </w:pPr>
    </w:p>
    <w:p w:rsidR="00000000" w:rsidRPr="00B23FF3" w:rsidP="00B23FF3">
      <w:pPr>
        <w:pStyle w:val="Heading1"/>
      </w:pPr>
      <w:bookmarkStart w:id="5" w:name="O_619434"/>
      <w:bookmarkEnd w:id="5"/>
      <w:r w:rsidRPr="00B23FF3">
        <w:t>Pre-Requisites</w:t>
      </w:r>
    </w:p>
    <w:tbl>
      <w:tblPr>
        <w:tblW w:w="9258" w:type="dxa"/>
        <w:tblLayout w:type="fixed"/>
        <w:tblCellMar>
          <w:left w:w="62" w:type="dxa"/>
          <w:right w:w="62" w:type="dxa"/>
        </w:tblCellMar>
        <w:tblLook w:val="0000"/>
      </w:tblPr>
      <w:tblGrid>
        <w:gridCol w:w="2593"/>
        <w:gridCol w:w="18"/>
        <w:gridCol w:w="1699"/>
        <w:gridCol w:w="4948"/>
      </w:tblGrid>
      <w:tr w:rsidTr="00B23FF3">
        <w:tblPrEx>
          <w:tblW w:w="9258" w:type="dxa"/>
          <w:tblLayout w:type="fixed"/>
          <w:tblCellMar>
            <w:left w:w="62" w:type="dxa"/>
            <w:right w:w="62" w:type="dxa"/>
          </w:tblCellMar>
          <w:tblLook w:val="0000"/>
        </w:tblPrEx>
        <w:trPr>
          <w:tblHeader/>
        </w:trPr>
        <w:tc>
          <w:tcPr>
            <w:tcW w:w="2593" w:type="dxa"/>
            <w:tcBorders>
              <w:top w:val="nil"/>
              <w:left w:val="nil"/>
              <w:bottom w:val="nil"/>
              <w:right w:val="nil"/>
            </w:tcBorders>
            <w:tcMar>
              <w:top w:w="0" w:type="dxa"/>
              <w:left w:w="62" w:type="dxa"/>
              <w:bottom w:w="0" w:type="dxa"/>
              <w:right w:w="62" w:type="dxa"/>
            </w:tcMar>
          </w:tcPr>
          <w:p w:rsidR="00000000" w:rsidRPr="00B23FF3" w:rsidP="00B23FF3">
            <w:pPr>
              <w:pStyle w:val="BodyText"/>
            </w:pPr>
            <w:r w:rsidRPr="00B23FF3">
              <w:rPr>
                <w:rStyle w:val="SpecialBold"/>
              </w:rPr>
              <w:t>Prerequisite Unit(s)</w:t>
            </w:r>
          </w:p>
        </w:tc>
        <w:tc>
          <w:tcPr>
            <w:tcW w:w="6665" w:type="dxa"/>
            <w:gridSpan w:val="3"/>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rPr>
                <w:rStyle w:val="SpecialBold"/>
              </w:rPr>
              <w:t xml:space="preserve">4) </w:t>
            </w:r>
          </w:p>
        </w:tc>
      </w:tr>
      <w:tr w:rsidTr="00B23FF3">
        <w:tblPrEx>
          <w:tblW w:w="9258" w:type="dxa"/>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rsidRPr="00B23FF3" w:rsidP="00B23FF3">
            <w:pPr>
              <w:pStyle w:val="BodyText"/>
            </w:pPr>
            <w:r w:rsidRPr="00B23FF3">
              <w:rPr>
                <w:rStyle w:val="SpecialBold"/>
              </w:rPr>
              <w:t>Competencies</w:t>
            </w:r>
          </w:p>
        </w:tc>
        <w:tc>
          <w:tcPr>
            <w:tcW w:w="6665" w:type="dxa"/>
            <w:gridSpan w:val="3"/>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rPr>
                <w:rStyle w:val="SpecialBold"/>
              </w:rPr>
              <w:t>4.1)</w:t>
            </w:r>
          </w:p>
        </w:tc>
      </w:tr>
      <w:tr w:rsidTr="00B23FF3">
        <w:tblPrEx>
          <w:tblW w:w="9258" w:type="dxa"/>
          <w:tblLayout w:type="fixed"/>
          <w:tblCellMar>
            <w:left w:w="62" w:type="dxa"/>
            <w:right w:w="62" w:type="dxa"/>
          </w:tblCellMar>
          <w:tblLook w:val="0000"/>
        </w:tblPrEx>
        <w:trPr>
          <w:trHeight w:val="494"/>
        </w:trPr>
        <w:tc>
          <w:tcPr>
            <w:tcW w:w="25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5" w:type="dxa"/>
            <w:gridSpan w:val="3"/>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Granting of competency in this unit shall be made only after competency in the following unit(s) has/have been confirmed:</w:t>
            </w:r>
          </w:p>
        </w:tc>
      </w:tr>
      <w:tr w:rsidTr="00B23FF3">
        <w:tblPrEx>
          <w:tblW w:w="9258" w:type="dxa"/>
          <w:tblLayout w:type="fixed"/>
          <w:tblCellMar>
            <w:left w:w="62" w:type="dxa"/>
            <w:right w:w="62" w:type="dxa"/>
          </w:tblCellMar>
          <w:tblLook w:val="0000"/>
        </w:tblPrEx>
        <w:tc>
          <w:tcPr>
            <w:tcW w:w="261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9"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UEGNSG005A</w:t>
            </w:r>
          </w:p>
        </w:tc>
        <w:tc>
          <w:tcPr>
            <w:tcW w:w="4948"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Prepare to work in the Australian gas industry</w:t>
            </w:r>
          </w:p>
        </w:tc>
      </w:tr>
      <w:tr w:rsidTr="00B23FF3">
        <w:tblPrEx>
          <w:tblW w:w="9258" w:type="dxa"/>
          <w:tblLayout w:type="fixed"/>
          <w:tblCellMar>
            <w:left w:w="62" w:type="dxa"/>
            <w:right w:w="62" w:type="dxa"/>
          </w:tblCellMar>
          <w:tblLook w:val="0000"/>
        </w:tblPrEx>
        <w:tc>
          <w:tcPr>
            <w:tcW w:w="261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9"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UEGNSG006A</w:t>
            </w:r>
          </w:p>
        </w:tc>
        <w:tc>
          <w:tcPr>
            <w:tcW w:w="4948"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Use a portable gas detectors to locate escape</w:t>
            </w:r>
          </w:p>
        </w:tc>
      </w:tr>
      <w:tr w:rsidTr="00B23FF3">
        <w:tblPrEx>
          <w:tblW w:w="9258" w:type="dxa"/>
          <w:tblLayout w:type="fixed"/>
          <w:tblCellMar>
            <w:left w:w="62" w:type="dxa"/>
            <w:right w:w="62" w:type="dxa"/>
          </w:tblCellMar>
          <w:tblLook w:val="0000"/>
        </w:tblPrEx>
        <w:tc>
          <w:tcPr>
            <w:tcW w:w="261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9"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UEGNSG132A</w:t>
            </w:r>
          </w:p>
        </w:tc>
        <w:tc>
          <w:tcPr>
            <w:tcW w:w="4948"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Carry out basic work activities in a gas industry work environment</w:t>
            </w:r>
          </w:p>
        </w:tc>
      </w:tr>
      <w:tr w:rsidTr="00B23FF3">
        <w:tblPrEx>
          <w:tblW w:w="9258" w:type="dxa"/>
          <w:tblLayout w:type="fixed"/>
          <w:tblCellMar>
            <w:left w:w="62" w:type="dxa"/>
            <w:right w:w="62" w:type="dxa"/>
          </w:tblCellMar>
          <w:tblLook w:val="0000"/>
        </w:tblPrEx>
        <w:tc>
          <w:tcPr>
            <w:tcW w:w="261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9"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UEGNSG134A</w:t>
            </w:r>
          </w:p>
        </w:tc>
        <w:tc>
          <w:tcPr>
            <w:tcW w:w="4948"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Establish a utilities infrastructure work site</w:t>
            </w:r>
          </w:p>
        </w:tc>
      </w:tr>
      <w:tr w:rsidTr="00B23FF3">
        <w:tblPrEx>
          <w:tblW w:w="9258" w:type="dxa"/>
          <w:tblLayout w:type="fixed"/>
          <w:tblCellMar>
            <w:left w:w="62" w:type="dxa"/>
            <w:right w:w="62" w:type="dxa"/>
          </w:tblCellMar>
          <w:tblLook w:val="0000"/>
        </w:tblPrEx>
        <w:tc>
          <w:tcPr>
            <w:tcW w:w="261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9"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UEGNSG140A</w:t>
            </w:r>
          </w:p>
        </w:tc>
        <w:tc>
          <w:tcPr>
            <w:tcW w:w="4948"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Apply environmen</w:t>
            </w:r>
            <w:r w:rsidRPr="00B23FF3">
              <w:t>tal policies and procedures in the utilities industry</w:t>
            </w:r>
          </w:p>
        </w:tc>
      </w:tr>
      <w:tr w:rsidTr="00B23FF3">
        <w:tblPrEx>
          <w:tblW w:w="9258" w:type="dxa"/>
          <w:tblLayout w:type="fixed"/>
          <w:tblCellMar>
            <w:left w:w="62" w:type="dxa"/>
            <w:right w:w="62" w:type="dxa"/>
          </w:tblCellMar>
          <w:tblLook w:val="0000"/>
        </w:tblPrEx>
        <w:trPr>
          <w:trHeight w:val="649"/>
        </w:trPr>
        <w:tc>
          <w:tcPr>
            <w:tcW w:w="261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9"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 xml:space="preserve">UEGNSG141A </w:t>
            </w:r>
          </w:p>
        </w:tc>
        <w:tc>
          <w:tcPr>
            <w:tcW w:w="4948" w:type="dxa"/>
            <w:tcBorders>
              <w:top w:val="nil"/>
              <w:left w:val="nil"/>
              <w:bottom w:val="nil"/>
              <w:right w:val="nil"/>
            </w:tcBorders>
            <w:tcMar>
              <w:top w:w="0" w:type="dxa"/>
              <w:left w:w="62" w:type="dxa"/>
              <w:bottom w:w="0" w:type="dxa"/>
              <w:right w:w="62" w:type="dxa"/>
            </w:tcMar>
          </w:tcPr>
          <w:p w:rsidR="00000000" w:rsidRPr="00B23FF3" w:rsidP="00B23FF3">
            <w:pPr>
              <w:pStyle w:val="BodyText"/>
            </w:pPr>
            <w:r w:rsidRPr="00B23FF3">
              <w:t>Apply Occupational Health and Safety regulations, codes and practices in the gas industry</w:t>
            </w:r>
          </w:p>
        </w:tc>
      </w:tr>
    </w:tbl>
    <w:p w:rsidR="00000000" w:rsidRPr="00B23FF3" w:rsidP="00B23FF3">
      <w:pPr>
        <w:pStyle w:val="BodyText"/>
      </w:pPr>
    </w:p>
    <w:tbl>
      <w:tblPr>
        <w:tblW w:w="9270" w:type="dxa"/>
        <w:tblLayout w:type="fixed"/>
        <w:tblCellMar>
          <w:left w:w="62" w:type="dxa"/>
          <w:right w:w="62" w:type="dxa"/>
        </w:tblCellMar>
        <w:tblLook w:val="0000"/>
      </w:tblPr>
      <w:tblGrid>
        <w:gridCol w:w="2576"/>
        <w:gridCol w:w="1080"/>
        <w:gridCol w:w="810"/>
        <w:gridCol w:w="990"/>
        <w:gridCol w:w="900"/>
        <w:gridCol w:w="1260"/>
        <w:gridCol w:w="1654"/>
      </w:tblGrid>
      <w:tr w:rsidTr="00B23FF3">
        <w:tblPrEx>
          <w:tblW w:w="9270" w:type="dxa"/>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RPr="00B23FF3" w:rsidP="00B23FF3">
            <w:pPr>
              <w:pStyle w:val="BodyText"/>
            </w:pPr>
            <w:r w:rsidRPr="00B23FF3">
              <w:rPr>
                <w:rStyle w:val="SpecialBold"/>
              </w:rPr>
              <w:t>Literacy and numeracy skills</w:t>
            </w:r>
          </w:p>
        </w:tc>
        <w:tc>
          <w:tcPr>
            <w:tcW w:w="6694" w:type="dxa"/>
            <w:gridSpan w:val="6"/>
            <w:tcBorders>
              <w:top w:val="nil"/>
              <w:left w:val="nil"/>
              <w:bottom w:val="nil"/>
              <w:right w:val="nil"/>
            </w:tcBorders>
            <w:tcMar>
              <w:top w:w="0" w:type="dxa"/>
              <w:left w:w="62" w:type="dxa"/>
              <w:bottom w:w="0" w:type="dxa"/>
              <w:right w:w="62" w:type="dxa"/>
            </w:tcMar>
          </w:tcPr>
          <w:p w:rsidR="00000000" w:rsidRPr="00B23FF3" w:rsidP="00B23FF3">
            <w:pPr>
              <w:pStyle w:val="BodyText"/>
            </w:pPr>
            <w:r w:rsidRPr="00B23FF3">
              <w:rPr>
                <w:rStyle w:val="SpecialBold"/>
              </w:rPr>
              <w:t xml:space="preserve">4.2) </w:t>
            </w:r>
          </w:p>
          <w:p w:rsidR="00000000" w:rsidP="00B23FF3">
            <w:pPr>
              <w:pStyle w:val="BodyText"/>
              <w:rPr>
                <w:lang w:val="en-NZ"/>
              </w:rPr>
            </w:pPr>
            <w:r w:rsidRPr="00B23FF3">
              <w:t>Participants are best equipped to achieve this unit if they h</w:t>
            </w:r>
            <w:r w:rsidRPr="00B23FF3">
              <w:t>ave reading, writing and numeracy skills indicated by the following scales. Description of each scale is given in Volume 2, Part 3 'Literacy and Numeracy'</w:t>
            </w:r>
          </w:p>
        </w:tc>
      </w:tr>
      <w:tr w:rsidTr="00B23FF3">
        <w:tblPrEx>
          <w:tblW w:w="9270" w:type="dxa"/>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Reading</w:t>
            </w:r>
          </w:p>
        </w:tc>
        <w:tc>
          <w:tcPr>
            <w:tcW w:w="810"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3</w:t>
            </w:r>
          </w:p>
        </w:tc>
        <w:tc>
          <w:tcPr>
            <w:tcW w:w="990"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Writing</w:t>
            </w:r>
          </w:p>
        </w:tc>
        <w:tc>
          <w:tcPr>
            <w:tcW w:w="900"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3</w:t>
            </w:r>
          </w:p>
        </w:tc>
        <w:tc>
          <w:tcPr>
            <w:tcW w:w="1260"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Numeracy</w:t>
            </w:r>
          </w:p>
        </w:tc>
        <w:tc>
          <w:tcPr>
            <w:tcW w:w="1654" w:type="dxa"/>
            <w:tcBorders>
              <w:top w:val="nil"/>
              <w:left w:val="nil"/>
              <w:bottom w:val="nil"/>
              <w:right w:val="nil"/>
            </w:tcBorders>
            <w:tcMar>
              <w:top w:w="0" w:type="dxa"/>
              <w:left w:w="62" w:type="dxa"/>
              <w:bottom w:w="0" w:type="dxa"/>
              <w:right w:w="62" w:type="dxa"/>
            </w:tcMar>
          </w:tcPr>
          <w:p w:rsidR="00000000" w:rsidRPr="00B23FF3" w:rsidP="00B23FF3">
            <w:pPr>
              <w:pStyle w:val="BodyText"/>
            </w:pPr>
            <w:r w:rsidRPr="00B23FF3">
              <w:t>3</w:t>
            </w:r>
          </w:p>
        </w:tc>
      </w:tr>
    </w:tbl>
    <w:p w:rsidR="00000000" w:rsidRPr="00B23FF3" w:rsidP="00B23FF3">
      <w:pPr>
        <w:pStyle w:val="BodyText"/>
      </w:pPr>
    </w:p>
    <w:p w:rsidR="00000000" w:rsidRPr="00B23FF3" w:rsidP="00B23FF3">
      <w:pPr>
        <w:pStyle w:val="AllowPageBreak"/>
      </w:pPr>
    </w:p>
    <w:p w:rsidR="00000000" w:rsidRPr="00B23FF3" w:rsidP="00B23FF3">
      <w:pPr>
        <w:pStyle w:val="Heading1"/>
      </w:pPr>
      <w:bookmarkStart w:id="6" w:name="O_619435"/>
      <w:bookmarkEnd w:id="6"/>
      <w:r w:rsidRPr="00B23FF3">
        <w:t>Employability Skills Information</w:t>
      </w:r>
    </w:p>
    <w:tbl>
      <w:tblPr>
        <w:tblW w:w="0" w:type="auto"/>
        <w:tblLayout w:type="fixed"/>
        <w:tblCellMar>
          <w:left w:w="62" w:type="dxa"/>
          <w:right w:w="62" w:type="dxa"/>
        </w:tblCellMar>
        <w:tblLook w:val="0000"/>
      </w:tblPr>
      <w:tblGrid>
        <w:gridCol w:w="2576"/>
        <w:gridCol w:w="6293"/>
      </w:tblGrid>
      <w:tr w:rsidTr="00B23FF3">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RPr="00B23FF3" w:rsidP="00B23FF3">
            <w:pPr>
              <w:pStyle w:val="BodyText"/>
            </w:pPr>
            <w:r w:rsidRPr="00B23FF3">
              <w:rPr>
                <w:rStyle w:val="SpecialBold"/>
              </w:rPr>
              <w:t>Employability Skills</w:t>
            </w:r>
          </w:p>
        </w:tc>
        <w:tc>
          <w:tcPr>
            <w:tcW w:w="6293"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rPr>
                <w:rStyle w:val="SpecialBold"/>
              </w:rPr>
              <w:t xml:space="preserve">5) </w:t>
            </w:r>
          </w:p>
        </w:tc>
      </w:tr>
      <w:tr w:rsidTr="00B23FF3">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93" w:type="dxa"/>
            <w:tcBorders>
              <w:top w:val="nil"/>
              <w:left w:val="nil"/>
              <w:bottom w:val="nil"/>
              <w:right w:val="nil"/>
            </w:tcBorders>
            <w:tcMar>
              <w:top w:w="0" w:type="dxa"/>
              <w:left w:w="62" w:type="dxa"/>
              <w:bottom w:w="0" w:type="dxa"/>
              <w:right w:w="62" w:type="dxa"/>
            </w:tcMar>
          </w:tcPr>
          <w:p w:rsidR="00000000" w:rsidRPr="00B23FF3" w:rsidP="00B23FF3">
            <w:pPr>
              <w:pStyle w:val="BodyText"/>
            </w:pPr>
            <w:r w:rsidRPr="00B23FF3">
              <w:t>This unit contains Employability Skills</w:t>
            </w:r>
          </w:p>
          <w:p w:rsidR="00000000" w:rsidRPr="00B23FF3" w:rsidP="00B23FF3">
            <w:pPr>
              <w:pStyle w:val="BodyText"/>
            </w:pPr>
            <w:r w:rsidRPr="00B23FF3">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B23FF3">
              <w:t>requirements.</w:t>
            </w:r>
          </w:p>
        </w:tc>
      </w:tr>
    </w:tbl>
    <w:p w:rsidR="00000000" w:rsidRPr="00B23FF3" w:rsidP="00B23FF3">
      <w:pPr>
        <w:pStyle w:val="BodyText"/>
      </w:pPr>
    </w:p>
    <w:p w:rsidR="00000000" w:rsidRPr="00B23FF3" w:rsidP="00B23FF3">
      <w:pPr>
        <w:pStyle w:val="AllowPageBreak"/>
      </w:pPr>
    </w:p>
    <w:p w:rsidR="00000000" w:rsidRPr="00B23FF3" w:rsidP="00B23FF3">
      <w:pPr>
        <w:pStyle w:val="Heading1"/>
      </w:pPr>
      <w:bookmarkStart w:id="7" w:name="O_619436"/>
      <w:bookmarkEnd w:id="7"/>
      <w:r w:rsidRPr="00B23FF3">
        <w:t>Elements and Performance Criteria Pre-Content</w:t>
      </w:r>
    </w:p>
    <w:tbl>
      <w:tblPr>
        <w:tblW w:w="0" w:type="auto"/>
        <w:tblLayout w:type="fixed"/>
        <w:tblCellMar>
          <w:left w:w="62" w:type="dxa"/>
          <w:right w:w="62" w:type="dxa"/>
        </w:tblCellMar>
        <w:tblLook w:val="0000"/>
      </w:tblPr>
      <w:tblGrid>
        <w:gridCol w:w="2576"/>
        <w:gridCol w:w="6293"/>
      </w:tblGrid>
      <w:tr w:rsidTr="00B23FF3">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RPr="00B23FF3" w:rsidP="00B23FF3">
            <w:pPr>
              <w:pStyle w:val="BodyText"/>
            </w:pPr>
            <w:r w:rsidRPr="00B23FF3">
              <w:rPr>
                <w:rStyle w:val="SpecialBold"/>
              </w:rPr>
              <w:t xml:space="preserve">6) </w:t>
            </w:r>
            <w:r w:rsidRPr="00B23FF3">
              <w:rPr>
                <w:rStyle w:val="Emphasis"/>
              </w:rPr>
              <w:t>Elements describe the essential outcomes of a competency standard unit</w:t>
            </w:r>
          </w:p>
        </w:tc>
        <w:tc>
          <w:tcPr>
            <w:tcW w:w="6293" w:type="dxa"/>
            <w:tcBorders>
              <w:top w:val="nil"/>
              <w:left w:val="nil"/>
              <w:bottom w:val="nil"/>
              <w:right w:val="nil"/>
            </w:tcBorders>
            <w:tcMar>
              <w:top w:w="0" w:type="dxa"/>
              <w:left w:w="62" w:type="dxa"/>
              <w:bottom w:w="0" w:type="dxa"/>
              <w:right w:w="62" w:type="dxa"/>
            </w:tcMar>
          </w:tcPr>
          <w:p w:rsidR="00000000" w:rsidRPr="00B23FF3" w:rsidP="00B23FF3">
            <w:pPr>
              <w:pStyle w:val="BodyText"/>
            </w:pPr>
            <w:r w:rsidRPr="00B23FF3">
              <w:rPr>
                <w:rStyle w:val="Emphasis"/>
              </w:rPr>
              <w:t>Performance Criteria describe the required performance needed to demonstrate achievement of the element. Assessment of performance is to be consistent with the Evidence Guide.</w:t>
            </w:r>
          </w:p>
        </w:tc>
      </w:tr>
    </w:tbl>
    <w:p w:rsidR="00000000" w:rsidRPr="00B23FF3" w:rsidP="00B23FF3">
      <w:pPr>
        <w:pStyle w:val="BodyText"/>
      </w:pPr>
    </w:p>
    <w:p w:rsidR="00000000" w:rsidRPr="00B23FF3" w:rsidP="00B23FF3">
      <w:pPr>
        <w:pStyle w:val="AllowPageBreak"/>
      </w:pPr>
    </w:p>
    <w:p w:rsidR="00000000" w:rsidRPr="00B23FF3" w:rsidP="00B23FF3">
      <w:pPr>
        <w:pStyle w:val="Heading1"/>
      </w:pPr>
      <w:bookmarkStart w:id="8" w:name="O_619437"/>
      <w:bookmarkEnd w:id="8"/>
      <w:r w:rsidRPr="00B23FF3">
        <w:t>Elements and Performance Criteria</w:t>
      </w:r>
    </w:p>
    <w:tbl>
      <w:tblPr>
        <w:tblW w:w="0" w:type="auto"/>
        <w:tblLayout w:type="fixed"/>
        <w:tblCellMar>
          <w:left w:w="62" w:type="dxa"/>
          <w:right w:w="62" w:type="dxa"/>
        </w:tblCellMar>
        <w:tblLook w:val="0000"/>
      </w:tblPr>
      <w:tblGrid>
        <w:gridCol w:w="280"/>
        <w:gridCol w:w="2330"/>
        <w:gridCol w:w="804"/>
        <w:gridCol w:w="6"/>
        <w:gridCol w:w="5310"/>
      </w:tblGrid>
      <w:tr w:rsidTr="00B23FF3">
        <w:tblPrEx>
          <w:tblW w:w="0" w:type="auto"/>
          <w:tblLayout w:type="fixed"/>
          <w:tblCellMar>
            <w:left w:w="62" w:type="dxa"/>
            <w:right w:w="62" w:type="dxa"/>
          </w:tblCellMar>
          <w:tblLook w:val="0000"/>
        </w:tblPrEx>
        <w:trPr>
          <w:tblHeader/>
        </w:trPr>
        <w:tc>
          <w:tcPr>
            <w:tcW w:w="2610" w:type="dxa"/>
            <w:gridSpan w:val="2"/>
            <w:tcBorders>
              <w:top w:val="nil"/>
              <w:left w:val="nil"/>
              <w:bottom w:val="nil"/>
              <w:right w:val="nil"/>
            </w:tcBorders>
            <w:tcMar>
              <w:top w:w="0" w:type="dxa"/>
              <w:left w:w="62" w:type="dxa"/>
              <w:bottom w:w="0" w:type="dxa"/>
              <w:right w:w="62" w:type="dxa"/>
            </w:tcMar>
          </w:tcPr>
          <w:p w:rsidR="00000000" w:rsidRPr="00B23FF3" w:rsidP="00B23FF3">
            <w:pPr>
              <w:pStyle w:val="BodyText"/>
            </w:pPr>
            <w:r w:rsidRPr="00B23FF3">
              <w:rPr>
                <w:rStyle w:val="SpecialBold"/>
              </w:rPr>
              <w:t>ELEMENT</w:t>
            </w:r>
          </w:p>
        </w:tc>
        <w:tc>
          <w:tcPr>
            <w:tcW w:w="6120" w:type="dxa"/>
            <w:gridSpan w:val="3"/>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rPr>
                <w:rStyle w:val="SpecialBold"/>
              </w:rPr>
              <w:t>PERFORMANCE CRITERIA</w:t>
            </w:r>
          </w:p>
        </w:tc>
      </w:tr>
      <w:tr w:rsidTr="00B23FF3">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rsidRPr="00B23FF3" w:rsidP="00B23FF3">
            <w:pPr>
              <w:pStyle w:val="BodyText"/>
            </w:pPr>
            <w:r w:rsidRPr="00B23FF3">
              <w:rPr>
                <w:rStyle w:val="SpecialBold"/>
              </w:rPr>
              <w:t>1</w:t>
            </w:r>
          </w:p>
        </w:tc>
        <w:tc>
          <w:tcPr>
            <w:tcW w:w="2330" w:type="dxa"/>
            <w:vMerge w:val="restart"/>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rPr>
                <w:rStyle w:val="SpecialBold"/>
              </w:rPr>
              <w:t xml:space="preserve">Prepare maintain gas flow and pressure control and measuring devices  </w:t>
            </w:r>
          </w:p>
        </w:tc>
        <w:tc>
          <w:tcPr>
            <w:tcW w:w="810" w:type="dxa"/>
            <w:gridSpan w:val="2"/>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1.1</w:t>
            </w:r>
          </w:p>
        </w:tc>
        <w:tc>
          <w:tcPr>
            <w:tcW w:w="5310" w:type="dxa"/>
            <w:tcBorders>
              <w:top w:val="nil"/>
              <w:left w:val="nil"/>
              <w:bottom w:val="nil"/>
              <w:right w:val="nil"/>
            </w:tcBorders>
            <w:tcMar>
              <w:top w:w="0" w:type="dxa"/>
              <w:left w:w="62" w:type="dxa"/>
              <w:bottom w:w="0" w:type="dxa"/>
              <w:right w:w="62" w:type="dxa"/>
            </w:tcMar>
          </w:tcPr>
          <w:p w:rsidR="00000000" w:rsidRPr="00B23FF3" w:rsidP="00B23FF3">
            <w:pPr>
              <w:pStyle w:val="BodyText"/>
            </w:pPr>
            <w:r w:rsidRPr="00B23FF3">
              <w:t>WHS and environmental measures for the site are identified, obtained and understood.</w:t>
            </w:r>
          </w:p>
          <w:p w:rsidR="00000000" w:rsidP="00B23FF3">
            <w:pPr>
              <w:pStyle w:val="BodyText"/>
              <w:rPr>
                <w:lang w:val="en-NZ"/>
              </w:rPr>
            </w:pPr>
          </w:p>
        </w:tc>
      </w:tr>
      <w:tr w:rsidTr="00B23FF3">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1.2</w:t>
            </w:r>
          </w:p>
        </w:tc>
        <w:tc>
          <w:tcPr>
            <w:tcW w:w="5316" w:type="dxa"/>
            <w:gridSpan w:val="2"/>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Work requirements for the work are interpreted from plans, spec</w:t>
            </w:r>
            <w:r w:rsidRPr="00B23FF3">
              <w:t>ifications and instructions</w:t>
            </w:r>
          </w:p>
        </w:tc>
      </w:tr>
      <w:tr w:rsidTr="00B23FF3">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1.3</w:t>
            </w:r>
          </w:p>
        </w:tc>
        <w:tc>
          <w:tcPr>
            <w:tcW w:w="5316" w:type="dxa"/>
            <w:gridSpan w:val="2"/>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Relevant requirements and established procedures for the work are discussed with relevant persons to establish and confirm the work schedule and respective responsibilities.</w:t>
            </w:r>
          </w:p>
        </w:tc>
      </w:tr>
      <w:tr w:rsidTr="00B23FF3">
        <w:tblPrEx>
          <w:tblW w:w="0" w:type="auto"/>
          <w:tblLayout w:type="fixed"/>
          <w:tblCellMar>
            <w:left w:w="62" w:type="dxa"/>
            <w:right w:w="62" w:type="dxa"/>
          </w:tblCellMar>
          <w:tblLook w:val="0000"/>
        </w:tblPrEx>
        <w:trPr>
          <w:trHeight w:val="602"/>
        </w:trPr>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1.4</w:t>
            </w:r>
          </w:p>
        </w:tc>
        <w:tc>
          <w:tcPr>
            <w:tcW w:w="5316" w:type="dxa"/>
            <w:gridSpan w:val="2"/>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 xml:space="preserve">WHS, environmental and sustainable energy policies and procedures are received and confirmed. </w:t>
            </w:r>
          </w:p>
        </w:tc>
      </w:tr>
      <w:tr w:rsidTr="00B23FF3">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gridSpan w:val="2"/>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1.5</w:t>
            </w:r>
          </w:p>
        </w:tc>
        <w:tc>
          <w:tcPr>
            <w:tcW w:w="5310"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Hazards are identified, WHS risks are assessed and control measures are prioritised, implemented and monitored according to established procedures.</w:t>
            </w:r>
          </w:p>
        </w:tc>
      </w:tr>
      <w:tr w:rsidTr="00B23FF3">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gridSpan w:val="2"/>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1.6</w:t>
            </w:r>
          </w:p>
        </w:tc>
        <w:tc>
          <w:tcPr>
            <w:tcW w:w="5310"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Scope of the responsibility under the relevant work permit and/or relevant notification is received and confirmed to access, isolate/de-energise systems and perform work according to requirements and established procedures</w:t>
            </w:r>
          </w:p>
        </w:tc>
      </w:tr>
      <w:tr w:rsidTr="00B23FF3">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gridSpan w:val="2"/>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1.7</w:t>
            </w:r>
          </w:p>
        </w:tc>
        <w:tc>
          <w:tcPr>
            <w:tcW w:w="5310"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Equipment, tools and pers</w:t>
            </w:r>
            <w:r w:rsidRPr="00B23FF3">
              <w:t>onal protective equipment needed to carry out the work are identified, scheduled, obtained and checked for correct operation and safety.</w:t>
            </w:r>
          </w:p>
        </w:tc>
      </w:tr>
      <w:tr w:rsidTr="00B23FF3">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gridSpan w:val="2"/>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1.8</w:t>
            </w:r>
          </w:p>
        </w:tc>
        <w:tc>
          <w:tcPr>
            <w:tcW w:w="5310"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 xml:space="preserve">Appropriate persons are consulted to ensure the work is coordinated effectively with others involved </w:t>
            </w:r>
          </w:p>
        </w:tc>
      </w:tr>
      <w:tr w:rsidTr="00B23FF3">
        <w:tblPrEx>
          <w:tblW w:w="0" w:type="auto"/>
          <w:tblLayout w:type="fixed"/>
          <w:tblCellMar>
            <w:left w:w="62" w:type="dxa"/>
            <w:right w:w="62" w:type="dxa"/>
          </w:tblCellMar>
          <w:tblLook w:val="0000"/>
        </w:tblPrEx>
        <w:trPr>
          <w:trHeight w:val="963"/>
        </w:trPr>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gridSpan w:val="2"/>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1.9</w:t>
            </w:r>
          </w:p>
        </w:tc>
        <w:tc>
          <w:tcPr>
            <w:tcW w:w="5310"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Mat</w:t>
            </w:r>
            <w:r w:rsidRPr="00B23FF3">
              <w:t xml:space="preserve">erials, plans, diagrams, drawings and resources required for work are confirmed, scheduled and obtained in accordance with established procedures </w:t>
            </w:r>
          </w:p>
        </w:tc>
      </w:tr>
      <w:tr w:rsidTr="00B23FF3">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gridSpan w:val="2"/>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1.10</w:t>
            </w:r>
          </w:p>
        </w:tc>
        <w:tc>
          <w:tcPr>
            <w:tcW w:w="5310"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 xml:space="preserve">Relevant responsibilities associated with first aid and other related work safety procedures for an incident at the worksite are checked and confirmed.  </w:t>
            </w:r>
          </w:p>
        </w:tc>
      </w:tr>
      <w:tr w:rsidTr="00B23FF3">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gridSpan w:val="2"/>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1.11</w:t>
            </w:r>
          </w:p>
        </w:tc>
        <w:tc>
          <w:tcPr>
            <w:tcW w:w="5310"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Third party issues are referred to appropriate persons in accordance with established procedur</w:t>
            </w:r>
            <w:r w:rsidRPr="00B23FF3">
              <w:t xml:space="preserve">es, for example "low voltage electrical work" </w:t>
            </w:r>
          </w:p>
        </w:tc>
      </w:tr>
      <w:tr w:rsidTr="00B23FF3">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gridSpan w:val="2"/>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1.12</w:t>
            </w:r>
          </w:p>
        </w:tc>
        <w:tc>
          <w:tcPr>
            <w:tcW w:w="5310"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Site preparation, safety plan and the work schedule are confirmed in accordance with established procedures.</w:t>
            </w:r>
          </w:p>
        </w:tc>
      </w:tr>
      <w:tr w:rsidTr="00B23FF3">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rsidRPr="00B23FF3" w:rsidP="00B23FF3">
            <w:pPr>
              <w:pStyle w:val="BodyText"/>
            </w:pPr>
            <w:r w:rsidRPr="00B23FF3">
              <w:rPr>
                <w:rStyle w:val="SpecialBold"/>
              </w:rPr>
              <w:t>2</w:t>
            </w:r>
          </w:p>
        </w:tc>
        <w:tc>
          <w:tcPr>
            <w:tcW w:w="2330"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rPr>
                <w:rStyle w:val="SpecialBold"/>
              </w:rPr>
              <w:t xml:space="preserve">Maintain gas flow and pressure control and measuring devices  </w:t>
            </w:r>
          </w:p>
        </w:tc>
        <w:tc>
          <w:tcPr>
            <w:tcW w:w="810" w:type="dxa"/>
            <w:gridSpan w:val="2"/>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2.1</w:t>
            </w:r>
          </w:p>
        </w:tc>
        <w:tc>
          <w:tcPr>
            <w:tcW w:w="5310"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WHS risk control measures, schedule of work and standard operating procedures for carrying out the work are followed.</w:t>
            </w:r>
          </w:p>
        </w:tc>
      </w:tr>
      <w:tr w:rsidTr="00B23FF3">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gridSpan w:val="2"/>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2.2</w:t>
            </w:r>
          </w:p>
        </w:tc>
        <w:tc>
          <w:tcPr>
            <w:tcW w:w="5310"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Gas detectors are used to determine if gas concentration in worksite is safe and to locate and pinpoint any gas escapes and immedia</w:t>
            </w:r>
            <w:r w:rsidRPr="00B23FF3">
              <w:t xml:space="preserve">te supervisor is advised immediately if site is unsafe. </w:t>
            </w:r>
          </w:p>
        </w:tc>
      </w:tr>
      <w:tr w:rsidTr="00B23FF3">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gridSpan w:val="2"/>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2.3</w:t>
            </w:r>
          </w:p>
        </w:tc>
        <w:tc>
          <w:tcPr>
            <w:tcW w:w="5310"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Appropriate materials, tools, equipment PPE and measuring devices are selected and used correctly and safely.</w:t>
            </w:r>
          </w:p>
        </w:tc>
      </w:tr>
      <w:tr w:rsidTr="00B23FF3">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gridSpan w:val="2"/>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2.4</w:t>
            </w:r>
          </w:p>
        </w:tc>
        <w:tc>
          <w:tcPr>
            <w:tcW w:w="5310"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Hazardous activities such as lifting, climbing, working in confined spaces,</w:t>
            </w:r>
            <w:r w:rsidRPr="00B23FF3">
              <w:t xml:space="preserve"> excavations, trenches, or aloft, and use of power tools, techniques and practices are conducted safely in accordance with given instructions and to requirements </w:t>
            </w:r>
          </w:p>
        </w:tc>
      </w:tr>
      <w:tr w:rsidTr="00B23FF3">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gridSpan w:val="2"/>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2.5</w:t>
            </w:r>
          </w:p>
        </w:tc>
        <w:tc>
          <w:tcPr>
            <w:tcW w:w="5310"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Work is carried out efficiently, to the required standard without waste of materials or damage to apparatus, circuits, the surrounding environment or services and using sustainable energy principles.</w:t>
            </w:r>
          </w:p>
        </w:tc>
      </w:tr>
      <w:tr w:rsidTr="00B23FF3">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gridSpan w:val="2"/>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2.6</w:t>
            </w:r>
          </w:p>
        </w:tc>
        <w:tc>
          <w:tcPr>
            <w:tcW w:w="5310"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Hazard warnings and safety signs are recognised a</w:t>
            </w:r>
            <w:r w:rsidRPr="00B23FF3">
              <w:t xml:space="preserve">nd WHS risks and incidents are reported to the immediate </w:t>
            </w:r>
            <w:r w:rsidRPr="00B23FF3">
              <w:t xml:space="preserve">authorised persons for directions according to established procedures </w:t>
            </w:r>
          </w:p>
        </w:tc>
      </w:tr>
      <w:tr w:rsidTr="00B23FF3">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gridSpan w:val="2"/>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2.7</w:t>
            </w:r>
          </w:p>
        </w:tc>
        <w:tc>
          <w:tcPr>
            <w:tcW w:w="5310"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 xml:space="preserve">Information on gas flow and pressure measurement and control devices performance is collected and reported in accordance </w:t>
            </w:r>
            <w:r w:rsidRPr="00B23FF3">
              <w:t>with established procedures.</w:t>
            </w:r>
          </w:p>
        </w:tc>
      </w:tr>
      <w:tr w:rsidTr="00B23FF3">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gridSpan w:val="2"/>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2.8</w:t>
            </w:r>
          </w:p>
        </w:tc>
        <w:tc>
          <w:tcPr>
            <w:tcW w:w="5310"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Scheduled maintenance of components conducted in accordance with the work schedule and established procedures</w:t>
            </w:r>
          </w:p>
        </w:tc>
      </w:tr>
      <w:tr w:rsidTr="00B23FF3">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gridSpan w:val="2"/>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2.9</w:t>
            </w:r>
          </w:p>
        </w:tc>
        <w:tc>
          <w:tcPr>
            <w:tcW w:w="5310"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Regulator filter and meter components are setup and operated, system is purged and pressurised in accor</w:t>
            </w:r>
            <w:r w:rsidRPr="00B23FF3">
              <w:t>dance with established procedures</w:t>
            </w:r>
          </w:p>
        </w:tc>
      </w:tr>
      <w:tr w:rsidTr="00B23FF3">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gridSpan w:val="2"/>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2.10</w:t>
            </w:r>
          </w:p>
        </w:tc>
        <w:tc>
          <w:tcPr>
            <w:tcW w:w="5310"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 xml:space="preserve">Faults and operational conditions of the components are identified, repaired or replaced and reported in accordance with organisational requirements </w:t>
            </w:r>
          </w:p>
        </w:tc>
      </w:tr>
      <w:tr w:rsidTr="00B23FF3">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gridSpan w:val="2"/>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2.11</w:t>
            </w:r>
          </w:p>
        </w:tc>
        <w:tc>
          <w:tcPr>
            <w:tcW w:w="5310"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Procedures for referring non-routine events to the immediate authorised persons for directions are followed.</w:t>
            </w:r>
          </w:p>
        </w:tc>
      </w:tr>
      <w:tr w:rsidTr="00B23FF3">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gridSpan w:val="2"/>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2.12</w:t>
            </w:r>
          </w:p>
        </w:tc>
        <w:tc>
          <w:tcPr>
            <w:tcW w:w="5310"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Routine quality checks are carried out in accordance with work instructions</w:t>
            </w:r>
          </w:p>
        </w:tc>
      </w:tr>
      <w:tr w:rsidTr="00B23FF3">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rsidRPr="00B23FF3" w:rsidP="00B23FF3">
            <w:pPr>
              <w:pStyle w:val="BodyText"/>
            </w:pPr>
            <w:r w:rsidRPr="00B23FF3">
              <w:rPr>
                <w:rStyle w:val="SpecialBold"/>
              </w:rPr>
              <w:t>3</w:t>
            </w:r>
          </w:p>
        </w:tc>
        <w:tc>
          <w:tcPr>
            <w:tcW w:w="2330" w:type="dxa"/>
            <w:vMerge w:val="restart"/>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rPr>
                <w:rStyle w:val="SpecialBold"/>
              </w:rPr>
              <w:t xml:space="preserve">Complete work and relevant documentation </w:t>
            </w:r>
          </w:p>
        </w:tc>
        <w:tc>
          <w:tcPr>
            <w:tcW w:w="810" w:type="dxa"/>
            <w:gridSpan w:val="2"/>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3.1</w:t>
            </w:r>
          </w:p>
        </w:tc>
        <w:tc>
          <w:tcPr>
            <w:tcW w:w="5310"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WHS risk contr</w:t>
            </w:r>
            <w:r w:rsidRPr="00B23FF3">
              <w:t>ol work completion measures and procedures are followed.</w:t>
            </w:r>
          </w:p>
        </w:tc>
      </w:tr>
      <w:tr w:rsidTr="00B23FF3">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3.2</w:t>
            </w:r>
          </w:p>
        </w:tc>
        <w:tc>
          <w:tcPr>
            <w:tcW w:w="5316" w:type="dxa"/>
            <w:gridSpan w:val="2"/>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Work site is tidied and made safe in accordance with established procedures</w:t>
            </w:r>
          </w:p>
        </w:tc>
      </w:tr>
      <w:tr w:rsidTr="00B23FF3">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gridSpan w:val="2"/>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3.3</w:t>
            </w:r>
          </w:p>
        </w:tc>
        <w:tc>
          <w:tcPr>
            <w:tcW w:w="5310"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Tools, equipment and any surplus resources and materials are cleaned, checked and securely stored.</w:t>
            </w:r>
          </w:p>
        </w:tc>
      </w:tr>
      <w:tr w:rsidTr="00B23FF3">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gridSpan w:val="2"/>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3.4</w:t>
            </w:r>
          </w:p>
        </w:tc>
        <w:tc>
          <w:tcPr>
            <w:tcW w:w="5310"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Appropriate persons are notified of work completion according to established procedures</w:t>
            </w:r>
          </w:p>
        </w:tc>
      </w:tr>
      <w:tr w:rsidTr="00B23FF3">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gridSpan w:val="2"/>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3.5</w:t>
            </w:r>
          </w:p>
        </w:tc>
        <w:tc>
          <w:tcPr>
            <w:tcW w:w="5310" w:type="dxa"/>
            <w:tcBorders>
              <w:top w:val="nil"/>
              <w:left w:val="nil"/>
              <w:bottom w:val="nil"/>
              <w:right w:val="nil"/>
            </w:tcBorders>
            <w:tcMar>
              <w:top w:w="0" w:type="dxa"/>
              <w:left w:w="62" w:type="dxa"/>
              <w:bottom w:w="0" w:type="dxa"/>
              <w:right w:w="62" w:type="dxa"/>
            </w:tcMar>
          </w:tcPr>
          <w:p w:rsidR="00000000" w:rsidRPr="00B23FF3" w:rsidP="00B23FF3">
            <w:pPr>
              <w:pStyle w:val="BodyText"/>
            </w:pPr>
            <w:r w:rsidRPr="00B23FF3">
              <w:t>Work completion documentation is completed accurately and provided to appropriate persons in accordance with established procedures.</w:t>
            </w:r>
          </w:p>
        </w:tc>
      </w:tr>
    </w:tbl>
    <w:p w:rsidR="00000000" w:rsidRPr="00B23FF3" w:rsidP="00B23FF3">
      <w:pPr>
        <w:pStyle w:val="BodyText"/>
      </w:pPr>
    </w:p>
    <w:p w:rsidR="00000000" w:rsidRPr="00B23FF3" w:rsidP="00B23FF3">
      <w:pPr>
        <w:pStyle w:val="AllowPageBreak"/>
      </w:pPr>
    </w:p>
    <w:p w:rsidR="00000000" w:rsidRPr="00B23FF3" w:rsidP="00B23FF3">
      <w:pPr>
        <w:pStyle w:val="Heading1"/>
      </w:pPr>
      <w:bookmarkStart w:id="9" w:name="O_619438"/>
      <w:bookmarkEnd w:id="9"/>
      <w:r w:rsidRPr="00B23FF3">
        <w:t xml:space="preserve">Required </w:t>
      </w:r>
      <w:r w:rsidRPr="00B23FF3">
        <w:t>Skills and Knowledge</w:t>
      </w:r>
    </w:p>
    <w:tbl>
      <w:tblPr>
        <w:tblW w:w="0" w:type="auto"/>
        <w:tblLayout w:type="fixed"/>
        <w:tblCellMar>
          <w:left w:w="62" w:type="dxa"/>
          <w:right w:w="62" w:type="dxa"/>
        </w:tblCellMar>
        <w:tblLook w:val="0000"/>
      </w:tblPr>
      <w:tblGrid>
        <w:gridCol w:w="1890"/>
        <w:gridCol w:w="6930"/>
        <w:gridCol w:w="28"/>
      </w:tblGrid>
      <w:tr w:rsidTr="00974CBF">
        <w:tblPrEx>
          <w:tblW w:w="0" w:type="auto"/>
          <w:tblLayout w:type="fixed"/>
          <w:tblCellMar>
            <w:left w:w="62" w:type="dxa"/>
            <w:right w:w="62" w:type="dxa"/>
          </w:tblCellMar>
          <w:tblLook w:val="0000"/>
        </w:tblPrEx>
        <w:trPr>
          <w:gridAfter w:val="1"/>
          <w:wAfter w:w="28" w:type="dxa"/>
          <w:tblHeader/>
        </w:trPr>
        <w:tc>
          <w:tcPr>
            <w:tcW w:w="8820" w:type="dxa"/>
            <w:gridSpan w:val="2"/>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rPr>
                <w:rStyle w:val="SpecialBold"/>
              </w:rPr>
              <w:t>REQUIRED SKILLS AND KNOWLEDGE</w:t>
            </w:r>
          </w:p>
        </w:tc>
      </w:tr>
      <w:tr w:rsidTr="00974CBF">
        <w:tblPrEx>
          <w:tblW w:w="0" w:type="auto"/>
          <w:tblLayout w:type="fixed"/>
          <w:tblCellMar>
            <w:left w:w="62" w:type="dxa"/>
            <w:right w:w="62" w:type="dxa"/>
          </w:tblCellMar>
          <w:tblLook w:val="0000"/>
        </w:tblPrEx>
        <w:trPr>
          <w:gridAfter w:val="1"/>
          <w:wAfter w:w="28" w:type="dxa"/>
        </w:trPr>
        <w:tc>
          <w:tcPr>
            <w:tcW w:w="8820" w:type="dxa"/>
            <w:gridSpan w:val="2"/>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rPr>
                <w:rStyle w:val="SpecialBold"/>
              </w:rPr>
              <w:t xml:space="preserve">7) </w:t>
            </w:r>
            <w:r w:rsidRPr="00B23FF3">
              <w:rPr>
                <w:rStyle w:val="Emphasis"/>
              </w:rPr>
              <w:t>This describes the required skills and knowledge and their level, required for this unit.</w:t>
            </w:r>
          </w:p>
        </w:tc>
      </w:tr>
      <w:tr w:rsidTr="00974CBF">
        <w:tblPrEx>
          <w:tblW w:w="0" w:type="auto"/>
          <w:tblLayout w:type="fixed"/>
          <w:tblCellMar>
            <w:left w:w="62" w:type="dxa"/>
            <w:right w:w="62" w:type="dxa"/>
          </w:tblCellMar>
          <w:tblLook w:val="0000"/>
        </w:tblPrEx>
        <w:trPr>
          <w:gridAfter w:val="1"/>
          <w:wAfter w:w="28" w:type="dxa"/>
        </w:trPr>
        <w:tc>
          <w:tcPr>
            <w:tcW w:w="8820" w:type="dxa"/>
            <w:gridSpan w:val="2"/>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Evidence shall show that knowledge has been acquired of safe working practices for carrying out work in a gas industry environment.</w:t>
            </w:r>
          </w:p>
        </w:tc>
      </w:tr>
      <w:tr w:rsidTr="00974CBF">
        <w:tblPrEx>
          <w:tblW w:w="0" w:type="auto"/>
          <w:tblLayout w:type="fixed"/>
          <w:tblCellMar>
            <w:left w:w="62" w:type="dxa"/>
            <w:right w:w="62" w:type="dxa"/>
          </w:tblCellMar>
          <w:tblLook w:val="0000"/>
        </w:tblPrEx>
        <w:trPr>
          <w:gridAfter w:val="1"/>
          <w:wAfter w:w="28" w:type="dxa"/>
          <w:trHeight w:val="481"/>
        </w:trPr>
        <w:tc>
          <w:tcPr>
            <w:tcW w:w="8820" w:type="dxa"/>
            <w:gridSpan w:val="2"/>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All knowledge and skills detailed in this unit should be contextualised to current industry practices and technologies. Th</w:t>
            </w:r>
            <w:r w:rsidRPr="00B23FF3">
              <w:t>e extent of the required skills and knowledge required is provided below. It forms an integral part of this unit.</w:t>
            </w:r>
          </w:p>
        </w:tc>
      </w:tr>
      <w:tr w:rsidTr="00974CBF">
        <w:tblPrEx>
          <w:tblW w:w="0" w:type="auto"/>
          <w:tblLayout w:type="fixed"/>
          <w:tblCellMar>
            <w:left w:w="62" w:type="dxa"/>
            <w:right w:w="62" w:type="dxa"/>
          </w:tblCellMar>
          <w:tblLook w:val="0000"/>
        </w:tblPrEx>
        <w:trPr>
          <w:gridAfter w:val="1"/>
          <w:wAfter w:w="28" w:type="dxa"/>
        </w:trPr>
        <w:tc>
          <w:tcPr>
            <w:tcW w:w="1890" w:type="dxa"/>
            <w:tcBorders>
              <w:top w:val="nil"/>
              <w:left w:val="nil"/>
              <w:bottom w:val="nil"/>
              <w:right w:val="nil"/>
            </w:tcBorders>
            <w:tcMar>
              <w:top w:w="0" w:type="dxa"/>
              <w:left w:w="62" w:type="dxa"/>
              <w:bottom w:w="0" w:type="dxa"/>
              <w:right w:w="62" w:type="dxa"/>
            </w:tcMar>
          </w:tcPr>
          <w:p w:rsidR="00000000" w:rsidRPr="00B23FF3" w:rsidP="00B23FF3">
            <w:pPr>
              <w:pStyle w:val="BodyText"/>
            </w:pPr>
            <w:r w:rsidRPr="00B23FF3">
              <w:rPr>
                <w:rStyle w:val="SpecialBold"/>
              </w:rPr>
              <w:t>KS01-G804A</w:t>
            </w:r>
          </w:p>
        </w:tc>
        <w:tc>
          <w:tcPr>
            <w:tcW w:w="6930"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rPr>
                <w:rStyle w:val="SpecialBold"/>
              </w:rPr>
              <w:t xml:space="preserve"> Single Stage Gas Flow and Pressure Control &amp; Measurement Maintenance </w:t>
            </w:r>
          </w:p>
        </w:tc>
      </w:tr>
      <w:tr w:rsidTr="00974CBF">
        <w:tblPrEx>
          <w:tblW w:w="0" w:type="auto"/>
          <w:tblLayout w:type="fixed"/>
          <w:tblCellMar>
            <w:left w:w="62" w:type="dxa"/>
            <w:right w:w="62" w:type="dxa"/>
          </w:tblCellMar>
          <w:tblLook w:val="0000"/>
        </w:tblPrEx>
        <w:tc>
          <w:tcPr>
            <w:tcW w:w="8848" w:type="dxa"/>
            <w:gridSpan w:val="3"/>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Evidence shall show an understanding of operating and maintaining single stage and run gas flow and pressure measuring and regulating devices in accordance with relevant legislation, standards, codes and established procedures to an extent indicated by the</w:t>
            </w:r>
            <w:r w:rsidRPr="00B23FF3">
              <w:t xml:space="preserve"> following aspects:</w:t>
            </w:r>
          </w:p>
        </w:tc>
      </w:tr>
      <w:tr w:rsidTr="00974CBF">
        <w:tblPrEx>
          <w:tblW w:w="0" w:type="auto"/>
          <w:tblLayout w:type="fixed"/>
          <w:tblCellMar>
            <w:left w:w="62" w:type="dxa"/>
            <w:right w:w="62" w:type="dxa"/>
          </w:tblCellMar>
          <w:tblLook w:val="0000"/>
        </w:tblPrEx>
        <w:tc>
          <w:tcPr>
            <w:tcW w:w="8848" w:type="dxa"/>
            <w:gridSpan w:val="3"/>
            <w:tcBorders>
              <w:top w:val="nil"/>
              <w:left w:val="nil"/>
              <w:bottom w:val="nil"/>
              <w:right w:val="nil"/>
            </w:tcBorders>
            <w:tcMar>
              <w:top w:w="0" w:type="dxa"/>
              <w:left w:w="62" w:type="dxa"/>
              <w:bottom w:w="0" w:type="dxa"/>
              <w:right w:w="62" w:type="dxa"/>
            </w:tcMar>
          </w:tcPr>
          <w:p w:rsidR="00000000" w:rsidRPr="00B23FF3" w:rsidP="00B23FF3">
            <w:pPr>
              <w:pStyle w:val="BodyText"/>
            </w:pPr>
            <w:r w:rsidRPr="00B23FF3">
              <w:t>T1. Gas distribution regulator facilities</w:t>
            </w:r>
          </w:p>
          <w:p w:rsidR="00000000" w:rsidRPr="00B23FF3" w:rsidP="00B23FF3">
            <w:pPr>
              <w:pStyle w:val="ListBullet"/>
            </w:pPr>
            <w:r w:rsidRPr="00B23FF3">
              <w:t>types</w:t>
            </w:r>
          </w:p>
          <w:p w:rsidR="00000000" w:rsidRPr="00B23FF3" w:rsidP="00B23FF3">
            <w:pPr>
              <w:pStyle w:val="ListBullet"/>
            </w:pPr>
            <w:r w:rsidRPr="00B23FF3">
              <w:t>principles of operation</w:t>
            </w:r>
          </w:p>
          <w:p w:rsidR="00000000" w:rsidRPr="00B23FF3" w:rsidP="00B23FF3">
            <w:pPr>
              <w:pStyle w:val="ListBullet"/>
            </w:pPr>
            <w:r w:rsidRPr="00B23FF3">
              <w:t>components</w:t>
            </w:r>
          </w:p>
          <w:p w:rsidR="00000000" w:rsidRPr="00B23FF3" w:rsidP="00B23FF3">
            <w:pPr>
              <w:pStyle w:val="BodyText"/>
            </w:pPr>
            <w:r w:rsidRPr="00B23FF3">
              <w:t xml:space="preserve">T2. Manual gas flow control </w:t>
            </w:r>
          </w:p>
          <w:p w:rsidR="00000000" w:rsidRPr="00B23FF3" w:rsidP="00B23FF3">
            <w:pPr>
              <w:pStyle w:val="ListBullet"/>
            </w:pPr>
            <w:r w:rsidRPr="00B23FF3">
              <w:t>principles of operation</w:t>
            </w:r>
          </w:p>
          <w:p w:rsidR="00000000" w:rsidRPr="00B23FF3" w:rsidP="00B23FF3">
            <w:pPr>
              <w:pStyle w:val="ListBullet"/>
            </w:pPr>
            <w:r w:rsidRPr="00B23FF3">
              <w:t>components</w:t>
            </w:r>
          </w:p>
          <w:p w:rsidR="00000000" w:rsidRPr="00B23FF3" w:rsidP="00B23FF3">
            <w:pPr>
              <w:pStyle w:val="BodyText"/>
            </w:pPr>
            <w:r w:rsidRPr="00B23FF3">
              <w:t>T3. Gas filtering systems</w:t>
            </w:r>
          </w:p>
          <w:p w:rsidR="00000000" w:rsidRPr="00B23FF3" w:rsidP="00B23FF3">
            <w:pPr>
              <w:pStyle w:val="ListBullet"/>
            </w:pPr>
            <w:r w:rsidRPr="00B23FF3">
              <w:t xml:space="preserve">system types </w:t>
            </w:r>
          </w:p>
          <w:p w:rsidR="00000000" w:rsidRPr="00B23FF3" w:rsidP="00B23FF3">
            <w:pPr>
              <w:pStyle w:val="ListBullet"/>
            </w:pPr>
            <w:r w:rsidRPr="00B23FF3">
              <w:t>principles of operation</w:t>
            </w:r>
          </w:p>
          <w:p w:rsidR="00000000" w:rsidRPr="00B23FF3" w:rsidP="00B23FF3">
            <w:pPr>
              <w:pStyle w:val="ListBullet"/>
            </w:pPr>
            <w:r w:rsidRPr="00B23FF3">
              <w:t>components including gas strainers, filters, differential pressure indicators</w:t>
            </w:r>
          </w:p>
          <w:p w:rsidR="00000000" w:rsidRPr="00B23FF3" w:rsidP="00B23FF3">
            <w:pPr>
              <w:pStyle w:val="ListBullet"/>
            </w:pPr>
            <w:r w:rsidRPr="00B23FF3">
              <w:t>maintenance</w:t>
            </w:r>
          </w:p>
          <w:p w:rsidR="00000000" w:rsidRPr="00B23FF3" w:rsidP="00B23FF3">
            <w:pPr>
              <w:pStyle w:val="ListBullet"/>
            </w:pPr>
            <w:r w:rsidRPr="00B23FF3">
              <w:t xml:space="preserve">fault finding, repair and replacement </w:t>
            </w:r>
          </w:p>
          <w:p w:rsidR="00000000" w:rsidRPr="00B23FF3" w:rsidP="00B23FF3">
            <w:pPr>
              <w:pStyle w:val="BodyText"/>
            </w:pPr>
            <w:r w:rsidRPr="00B23FF3">
              <w:t xml:space="preserve">T4. Pressure control equipment </w:t>
            </w:r>
          </w:p>
          <w:p w:rsidR="00000000" w:rsidRPr="00B23FF3" w:rsidP="00B23FF3">
            <w:pPr>
              <w:pStyle w:val="ListBullet"/>
            </w:pPr>
            <w:r w:rsidRPr="00B23FF3">
              <w:t xml:space="preserve">types </w:t>
            </w:r>
          </w:p>
          <w:p w:rsidR="00000000" w:rsidRPr="00B23FF3" w:rsidP="00B23FF3">
            <w:pPr>
              <w:pStyle w:val="ListBullet2"/>
            </w:pPr>
            <w:r w:rsidRPr="00B23FF3">
              <w:t>Diaphragm and Sleeve Regulators</w:t>
            </w:r>
          </w:p>
          <w:p w:rsidR="00000000" w:rsidRPr="00B23FF3" w:rsidP="00B23FF3">
            <w:pPr>
              <w:pStyle w:val="ListBullet2"/>
            </w:pPr>
            <w:r w:rsidRPr="00B23FF3">
              <w:t>Slam shuts and OPSO’s</w:t>
            </w:r>
          </w:p>
          <w:p w:rsidR="00000000" w:rsidRPr="00B23FF3" w:rsidP="00B23FF3">
            <w:pPr>
              <w:pStyle w:val="ListBullet2"/>
            </w:pPr>
            <w:r w:rsidRPr="00B23FF3">
              <w:t>Pressure Relief Devices</w:t>
            </w:r>
          </w:p>
          <w:p w:rsidR="00000000" w:rsidRPr="00B23FF3" w:rsidP="00B23FF3">
            <w:pPr>
              <w:pStyle w:val="ListBullet"/>
            </w:pPr>
            <w:r w:rsidRPr="00B23FF3">
              <w:t>principles of operation</w:t>
            </w:r>
          </w:p>
          <w:p w:rsidR="00000000" w:rsidRPr="00B23FF3" w:rsidP="00B23FF3">
            <w:pPr>
              <w:pStyle w:val="ListBullet"/>
            </w:pPr>
            <w:r w:rsidRPr="00B23FF3">
              <w:t xml:space="preserve">fault finding, repair and replacement </w:t>
            </w:r>
          </w:p>
          <w:p w:rsidR="00000000" w:rsidRPr="00B23FF3" w:rsidP="00B23FF3">
            <w:pPr>
              <w:pStyle w:val="BodyText"/>
            </w:pPr>
            <w:r w:rsidRPr="00B23FF3">
              <w:t>T5. Flow measurement equipment</w:t>
            </w:r>
          </w:p>
          <w:p w:rsidR="00000000" w:rsidRPr="00B23FF3" w:rsidP="00B23FF3">
            <w:pPr>
              <w:pStyle w:val="ListBullet"/>
            </w:pPr>
            <w:r w:rsidRPr="00B23FF3">
              <w:t xml:space="preserve">types </w:t>
            </w:r>
          </w:p>
          <w:p w:rsidR="00000000" w:rsidRPr="00B23FF3" w:rsidP="00B23FF3">
            <w:pPr>
              <w:pStyle w:val="ListBullet2"/>
            </w:pPr>
            <w:r w:rsidRPr="00B23FF3">
              <w:t>Small capacity union connected positive displacement meters</w:t>
            </w:r>
          </w:p>
          <w:p w:rsidR="00000000" w:rsidRPr="00B23FF3" w:rsidP="00B23FF3">
            <w:pPr>
              <w:pStyle w:val="ListBullet2"/>
            </w:pPr>
            <w:r w:rsidRPr="00B23FF3">
              <w:t>operation</w:t>
            </w:r>
          </w:p>
          <w:p w:rsidR="00000000" w:rsidRPr="00B23FF3" w:rsidP="00B23FF3">
            <w:pPr>
              <w:pStyle w:val="ListBullet2"/>
            </w:pPr>
            <w:r w:rsidRPr="00B23FF3">
              <w:t>maintenance</w:t>
            </w:r>
          </w:p>
          <w:p w:rsidR="00000000" w:rsidRPr="00B23FF3" w:rsidP="00B23FF3">
            <w:pPr>
              <w:pStyle w:val="ListBullet2"/>
            </w:pPr>
            <w:r w:rsidRPr="00B23FF3">
              <w:t xml:space="preserve">fault finding, repair and replacement </w:t>
            </w:r>
          </w:p>
          <w:p w:rsidR="00000000" w:rsidRPr="00B23FF3" w:rsidP="00B23FF3">
            <w:pPr>
              <w:pStyle w:val="BodyText"/>
            </w:pPr>
            <w:r w:rsidRPr="00B23FF3">
              <w:t>T6. Component venting and purgin</w:t>
            </w:r>
            <w:r w:rsidRPr="00B23FF3">
              <w:t>g operations</w:t>
            </w:r>
          </w:p>
          <w:p w:rsidR="00000000" w:rsidRPr="00B23FF3" w:rsidP="00B23FF3">
            <w:pPr>
              <w:pStyle w:val="BodyText"/>
            </w:pPr>
            <w:r w:rsidRPr="00B23FF3">
              <w:t>T7. Manufactures specifications, manuals and procedures.</w:t>
            </w:r>
          </w:p>
          <w:p w:rsidR="00000000" w:rsidRPr="00B23FF3" w:rsidP="00B23FF3">
            <w:pPr>
              <w:pStyle w:val="BodyText"/>
            </w:pPr>
            <w:r w:rsidRPr="00B23FF3">
              <w:t>T8. Organisations manuals and procedures</w:t>
            </w:r>
          </w:p>
          <w:p w:rsidR="00000000" w:rsidRPr="00B23FF3" w:rsidP="00B23FF3">
            <w:pPr>
              <w:pStyle w:val="BodyText"/>
            </w:pPr>
            <w:r w:rsidRPr="00B23FF3">
              <w:t>T9. Relevant Legislation, Standards, Codes and Regulations including:</w:t>
            </w:r>
          </w:p>
          <w:p w:rsidR="00000000" w:rsidRPr="00B23FF3" w:rsidP="00B23FF3">
            <w:pPr>
              <w:pStyle w:val="ListBullet"/>
            </w:pPr>
            <w:r w:rsidRPr="00B23FF3">
              <w:t>AS2885.3 Pipelines - Gas and liquid petroleum</w:t>
            </w:r>
          </w:p>
          <w:p w:rsidR="00000000" w:rsidRPr="00B23FF3" w:rsidP="00B23FF3">
            <w:pPr>
              <w:pStyle w:val="ListBullet"/>
            </w:pPr>
            <w:r w:rsidRPr="00B23FF3">
              <w:t>AS/NZS 4645 Gas distribution networks</w:t>
            </w:r>
          </w:p>
          <w:p w:rsidR="00000000" w:rsidRPr="00B23FF3" w:rsidP="00B23FF3">
            <w:pPr>
              <w:pStyle w:val="ListBullet"/>
            </w:pPr>
            <w:r w:rsidRPr="00B23FF3">
              <w:t>AS/NZS 5601 Gas installations</w:t>
            </w:r>
          </w:p>
          <w:p w:rsidR="00000000" w:rsidRPr="00B23FF3" w:rsidP="00B23FF3">
            <w:pPr>
              <w:pStyle w:val="BodyText"/>
            </w:pPr>
            <w:r w:rsidRPr="00B23FF3">
              <w:t>T10. Reporting and documentation requirements</w:t>
            </w:r>
          </w:p>
          <w:p w:rsidR="00000000" w:rsidRPr="00B23FF3" w:rsidP="00B23FF3">
            <w:pPr>
              <w:pStyle w:val="BodyText"/>
            </w:pPr>
            <w:r w:rsidRPr="00B23FF3">
              <w:t>T11. PPE and Safety Equipment Bonding clamps and electrical protection</w:t>
            </w:r>
          </w:p>
        </w:tc>
      </w:tr>
    </w:tbl>
    <w:p w:rsidR="00974CBF" w:rsidP="00B23FF3">
      <w:pPr>
        <w:pStyle w:val="BodyText"/>
      </w:pPr>
    </w:p>
    <w:p w:rsidR="00974CBF" w:rsidP="00B23FF3">
      <w:pPr>
        <w:pStyle w:val="BodyText"/>
      </w:pPr>
    </w:p>
    <w:p w:rsidR="00000000" w:rsidRPr="00B23FF3" w:rsidP="00B23FF3">
      <w:pPr>
        <w:pStyle w:val="Heading1"/>
      </w:pPr>
      <w:bookmarkStart w:id="10" w:name="O_619439"/>
      <w:bookmarkEnd w:id="10"/>
      <w:r w:rsidRPr="00B23FF3">
        <w:t>Evidence Guide</w:t>
      </w:r>
    </w:p>
    <w:tbl>
      <w:tblPr>
        <w:tblW w:w="0" w:type="auto"/>
        <w:tblLayout w:type="fixed"/>
        <w:tblCellMar>
          <w:left w:w="62" w:type="dxa"/>
          <w:right w:w="62" w:type="dxa"/>
        </w:tblCellMar>
        <w:tblLook w:val="0000"/>
      </w:tblPr>
      <w:tblGrid>
        <w:gridCol w:w="8336"/>
      </w:tblGrid>
      <w:tr w:rsidTr="00B23FF3">
        <w:tblPrEx>
          <w:tblW w:w="0" w:type="auto"/>
          <w:tblLayout w:type="fixed"/>
          <w:tblCellMar>
            <w:left w:w="62" w:type="dxa"/>
            <w:right w:w="62" w:type="dxa"/>
          </w:tblCellMar>
          <w:tblLook w:val="0000"/>
        </w:tblPrEx>
        <w:trPr>
          <w:tblHeader/>
        </w:trPr>
        <w:tc>
          <w:tcPr>
            <w:tcW w:w="8336"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rPr>
                <w:rStyle w:val="SpecialBold"/>
              </w:rPr>
              <w:t>EVIDENCE GUIDE</w:t>
            </w:r>
          </w:p>
        </w:tc>
      </w:tr>
      <w:tr w:rsidTr="00B23FF3">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RPr="00B23FF3" w:rsidP="00B23FF3">
            <w:pPr>
              <w:pStyle w:val="BodyText"/>
            </w:pPr>
            <w:r w:rsidRPr="00B23FF3">
              <w:rPr>
                <w:rStyle w:val="SpecialBold"/>
              </w:rPr>
              <w:t>8)</w:t>
            </w:r>
            <w:r w:rsidRPr="00B23FF3">
              <w:t xml:space="preserve"> The Evidence Guide forms an integral part of this Unit and shall be used in conjunction with all components parts of this unit and performed in accordance with the Assessment Guidelines of this Training Package.</w:t>
            </w:r>
          </w:p>
        </w:tc>
      </w:tr>
    </w:tbl>
    <w:p w:rsidR="00000000" w:rsidRPr="00B23FF3" w:rsidP="00B23FF3">
      <w:pPr>
        <w:pStyle w:val="BodyText"/>
      </w:pPr>
    </w:p>
    <w:tbl>
      <w:tblPr>
        <w:tblW w:w="0" w:type="auto"/>
        <w:tblLayout w:type="fixed"/>
        <w:tblCellMar>
          <w:left w:w="62" w:type="dxa"/>
          <w:right w:w="62" w:type="dxa"/>
        </w:tblCellMar>
        <w:tblLook w:val="0000"/>
      </w:tblPr>
      <w:tblGrid>
        <w:gridCol w:w="1766"/>
        <w:gridCol w:w="6570"/>
      </w:tblGrid>
      <w:tr w:rsidTr="00B23FF3">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RPr="00B23FF3" w:rsidP="00B23FF3">
            <w:pPr>
              <w:pStyle w:val="BodyText"/>
            </w:pPr>
            <w:r w:rsidRPr="00B23FF3">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rPr>
                <w:rStyle w:val="SpecialBold"/>
              </w:rPr>
              <w:t>8.1)</w:t>
            </w:r>
          </w:p>
        </w:tc>
      </w:tr>
      <w:tr w:rsidTr="00B23FF3">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23FF3" w:rsidP="00B23FF3">
            <w:pPr>
              <w:pStyle w:val="BodyText"/>
            </w:pPr>
            <w:r w:rsidRPr="00B23FF3">
              <w:t>Longitudina</w:t>
            </w:r>
            <w:r w:rsidRPr="00B23FF3">
              <w:t>l competency development approaches to assessment, such as Profiling, require data to be reliably gathered in a form that can be consistently interpreted over time. This approach is best utilised in Apprenticeship programs and reduces assessment interventi</w:t>
            </w:r>
            <w:r w:rsidRPr="00B23FF3">
              <w:t xml:space="preserve">on. It is the Industry’s preferred model for apprenticeships. However, where summative (or final) assessment is used it is to include the application of the competency in the normal work environment or, at a minimum, the application of the competency in a </w:t>
            </w:r>
            <w:r w:rsidRPr="00B23FF3">
              <w:t>realistically simulated work environment. It is recognised that, in some circumstances, assessment in part or full can occur outside the workplace. However, it must be in accord with Industry and Regulatory policy in this regard.</w:t>
            </w:r>
          </w:p>
          <w:p w:rsidR="00000000" w:rsidRPr="00B23FF3" w:rsidP="00B23FF3">
            <w:pPr>
              <w:pStyle w:val="BodyText"/>
            </w:pPr>
            <w:r w:rsidRPr="00B23FF3">
              <w:t>Methods chosen for a parti</w:t>
            </w:r>
            <w:r w:rsidRPr="00B23FF3">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B23FF3">
              <w:t>the critical nature of the competencies being assessed.</w:t>
            </w:r>
          </w:p>
          <w:p w:rsidR="00000000" w:rsidRPr="00B23FF3" w:rsidP="00B23FF3">
            <w:pPr>
              <w:pStyle w:val="BodyText"/>
            </w:pPr>
            <w:r w:rsidRPr="00B23FF3">
              <w:t xml:space="preserve">The critical safety nature of working with electricity, electrical equipment, gas or any other hazardous substance/material carries risk in deeming a person competent. Hence, sources of evidence need </w:t>
            </w:r>
            <w:r w:rsidRPr="00B23FF3">
              <w:t>to be ‘rich’ in nature so as to minimise error in judgment.</w:t>
            </w:r>
          </w:p>
          <w:p w:rsidR="00000000" w:rsidRPr="00B23FF3" w:rsidP="00B23FF3">
            <w:pPr>
              <w:pStyle w:val="BodyText"/>
            </w:pPr>
            <w:r w:rsidRPr="00B23FF3">
              <w:t>Activities associated with normal every day work have a bearing on the decision as to how much and how detailed the data gathered will contribute to its ‘richness’. Some skills are mo</w:t>
            </w:r>
            <w:r w:rsidRPr="00B23FF3">
              <w:t>re critical to safety and operational requirements while the same skills may be more or less frequently practiced. These points are raised for the assessors to consider when choosing an assessment method and developing assessment instruments. Sample instru</w:t>
            </w:r>
            <w:r w:rsidRPr="00B23FF3">
              <w:t>ments are included for Assessors in the Assessment Guidelines of this Training Package.</w:t>
            </w:r>
          </w:p>
        </w:tc>
      </w:tr>
    </w:tbl>
    <w:p w:rsidR="00000000" w:rsidRPr="00B23FF3" w:rsidP="00B23FF3">
      <w:pPr>
        <w:pStyle w:val="BodyText"/>
      </w:pPr>
    </w:p>
    <w:tbl>
      <w:tblPr>
        <w:tblW w:w="0" w:type="auto"/>
        <w:tblLayout w:type="fixed"/>
        <w:tblCellMar>
          <w:left w:w="62" w:type="dxa"/>
          <w:right w:w="62" w:type="dxa"/>
        </w:tblCellMar>
        <w:tblLook w:val="0000"/>
      </w:tblPr>
      <w:tblGrid>
        <w:gridCol w:w="1766"/>
        <w:gridCol w:w="6722"/>
      </w:tblGrid>
      <w:tr w:rsidTr="00B23FF3">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RPr="00B23FF3" w:rsidP="00B23FF3">
            <w:pPr>
              <w:pStyle w:val="BodyText"/>
            </w:pPr>
            <w:r w:rsidRPr="00B23FF3">
              <w:rPr>
                <w:rStyle w:val="SpecialBold"/>
              </w:rPr>
              <w:t>Critical aspects of evidence required to demonstrate competency in this unit</w:t>
            </w:r>
          </w:p>
        </w:tc>
        <w:tc>
          <w:tcPr>
            <w:tcW w:w="6722"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rPr>
                <w:rStyle w:val="SpecialBold"/>
              </w:rPr>
              <w:t>8.2)</w:t>
            </w:r>
          </w:p>
        </w:tc>
      </w:tr>
      <w:tr w:rsidTr="00B23FF3">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22"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 xml:space="preserve">Before the critical aspects of evidence are considered all prerequisites shall be </w:t>
            </w:r>
            <w:r w:rsidRPr="00B23FF3">
              <w:t>met.</w:t>
            </w:r>
          </w:p>
        </w:tc>
      </w:tr>
      <w:tr w:rsidTr="00B23FF3">
        <w:tblPrEx>
          <w:tblW w:w="0" w:type="auto"/>
          <w:tblLayout w:type="fixed"/>
          <w:tblCellMar>
            <w:left w:w="62" w:type="dxa"/>
            <w:right w:w="62" w:type="dxa"/>
          </w:tblCellMar>
          <w:tblLook w:val="0000"/>
        </w:tblPrEx>
        <w:trPr>
          <w:trHeight w:val="1129"/>
        </w:trPr>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22"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Evidence for competence in this unit shall be considered holistically. Each element and associated Performance Criteria shall be demonstrated on at least two occasions in accordance with the "Assessment Guidelines — UEG11". Evidence shall also compr</w:t>
            </w:r>
            <w:r w:rsidRPr="00B23FF3">
              <w:t>ise:</w:t>
            </w:r>
          </w:p>
        </w:tc>
      </w:tr>
      <w:tr w:rsidTr="00B23FF3">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p>
        </w:tc>
        <w:tc>
          <w:tcPr>
            <w:tcW w:w="6722" w:type="dxa"/>
            <w:tcBorders>
              <w:top w:val="nil"/>
              <w:left w:val="nil"/>
              <w:bottom w:val="nil"/>
              <w:right w:val="nil"/>
            </w:tcBorders>
            <w:tcMar>
              <w:top w:w="0" w:type="dxa"/>
              <w:left w:w="62" w:type="dxa"/>
              <w:bottom w:w="0" w:type="dxa"/>
              <w:right w:w="62" w:type="dxa"/>
            </w:tcMar>
          </w:tcPr>
          <w:p w:rsidR="00000000" w:rsidP="00B23FF3">
            <w:pPr>
              <w:pStyle w:val="ListBullet"/>
              <w:rPr>
                <w:lang w:val="en-NZ"/>
              </w:rPr>
            </w:pPr>
            <w:r w:rsidRPr="00B23FF3">
              <w:t>A representative body of work performance demonstrated within the timeframes typically expected of the discipline, work function and industrial environment. In particular this shall incorporate evidence that shows a candidate is able to:</w:t>
            </w:r>
          </w:p>
        </w:tc>
      </w:tr>
      <w:tr w:rsidTr="00B23FF3">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p>
        </w:tc>
        <w:tc>
          <w:tcPr>
            <w:tcW w:w="6722" w:type="dxa"/>
            <w:tcBorders>
              <w:top w:val="nil"/>
              <w:left w:val="nil"/>
              <w:bottom w:val="nil"/>
              <w:right w:val="nil"/>
            </w:tcBorders>
            <w:tcMar>
              <w:top w:w="0" w:type="dxa"/>
              <w:left w:w="62" w:type="dxa"/>
              <w:bottom w:w="0" w:type="dxa"/>
              <w:right w:w="62" w:type="dxa"/>
            </w:tcMar>
          </w:tcPr>
          <w:p w:rsidR="00000000" w:rsidP="00B23FF3">
            <w:pPr>
              <w:pStyle w:val="ListBullet2"/>
              <w:rPr>
                <w:lang w:val="en-NZ"/>
              </w:rPr>
            </w:pPr>
            <w:r w:rsidRPr="00B23FF3">
              <w:t>Implement Occupational Health and Safety workplace procedures and practices including the use of risk control measures as specified in the Performance Criteria and range</w:t>
            </w:r>
          </w:p>
        </w:tc>
      </w:tr>
      <w:tr w:rsidTr="00B23FF3">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p>
        </w:tc>
        <w:tc>
          <w:tcPr>
            <w:tcW w:w="6722" w:type="dxa"/>
            <w:tcBorders>
              <w:top w:val="nil"/>
              <w:left w:val="nil"/>
              <w:bottom w:val="nil"/>
              <w:right w:val="nil"/>
            </w:tcBorders>
            <w:tcMar>
              <w:top w:w="0" w:type="dxa"/>
              <w:left w:w="62" w:type="dxa"/>
              <w:bottom w:w="0" w:type="dxa"/>
              <w:right w:w="62" w:type="dxa"/>
            </w:tcMar>
          </w:tcPr>
          <w:p w:rsidR="00000000" w:rsidP="00B23FF3">
            <w:pPr>
              <w:pStyle w:val="ListBullet2"/>
              <w:rPr>
                <w:lang w:val="en-NZ"/>
              </w:rPr>
            </w:pPr>
            <w:r w:rsidRPr="00B23FF3">
              <w:t>Apply sustainable energy principles and practices as specified in the Performance Criteria and range</w:t>
            </w:r>
          </w:p>
        </w:tc>
      </w:tr>
      <w:tr w:rsidTr="00B23FF3">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p>
        </w:tc>
        <w:tc>
          <w:tcPr>
            <w:tcW w:w="6722" w:type="dxa"/>
            <w:tcBorders>
              <w:top w:val="nil"/>
              <w:left w:val="nil"/>
              <w:bottom w:val="nil"/>
              <w:right w:val="nil"/>
            </w:tcBorders>
            <w:tcMar>
              <w:top w:w="0" w:type="dxa"/>
              <w:left w:w="62" w:type="dxa"/>
              <w:bottom w:w="0" w:type="dxa"/>
              <w:right w:w="62" w:type="dxa"/>
            </w:tcMar>
          </w:tcPr>
          <w:p w:rsidR="00000000" w:rsidP="00B23FF3">
            <w:pPr>
              <w:pStyle w:val="ListBullet2"/>
              <w:rPr>
                <w:lang w:val="en-NZ"/>
              </w:rPr>
            </w:pPr>
            <w:r w:rsidRPr="00B23FF3">
              <w:t>Demonstrate an understanding of the essential knowledge and associated skills as described in this unit to such an extent that the learner’s performance</w:t>
            </w:r>
            <w:r w:rsidRPr="00B23FF3">
              <w:t xml:space="preserve"> outcome is reported in accordance with the preferred approach; namely a percentile graded result, where required by the regulated environment</w:t>
            </w:r>
          </w:p>
        </w:tc>
      </w:tr>
      <w:tr w:rsidTr="00B23FF3">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p>
        </w:tc>
        <w:tc>
          <w:tcPr>
            <w:tcW w:w="6722" w:type="dxa"/>
            <w:tcBorders>
              <w:top w:val="nil"/>
              <w:left w:val="nil"/>
              <w:bottom w:val="nil"/>
              <w:right w:val="nil"/>
            </w:tcBorders>
            <w:tcMar>
              <w:top w:w="0" w:type="dxa"/>
              <w:left w:w="62" w:type="dxa"/>
              <w:bottom w:w="0" w:type="dxa"/>
              <w:right w:w="62" w:type="dxa"/>
            </w:tcMar>
          </w:tcPr>
          <w:p w:rsidR="00000000" w:rsidP="00B23FF3">
            <w:pPr>
              <w:pStyle w:val="ListBullet2"/>
              <w:rPr>
                <w:lang w:val="en-NZ"/>
              </w:rPr>
            </w:pPr>
            <w:r w:rsidRPr="00B23FF3">
              <w:t>Demonstrate an appropriate level of employability skills</w:t>
            </w:r>
          </w:p>
        </w:tc>
      </w:tr>
      <w:tr w:rsidTr="00B23FF3">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p>
        </w:tc>
        <w:tc>
          <w:tcPr>
            <w:tcW w:w="6722" w:type="dxa"/>
            <w:tcBorders>
              <w:top w:val="nil"/>
              <w:left w:val="nil"/>
              <w:bottom w:val="nil"/>
              <w:right w:val="nil"/>
            </w:tcBorders>
            <w:tcMar>
              <w:top w:w="0" w:type="dxa"/>
              <w:left w:w="62" w:type="dxa"/>
              <w:bottom w:w="0" w:type="dxa"/>
              <w:right w:w="62" w:type="dxa"/>
            </w:tcMar>
          </w:tcPr>
          <w:p w:rsidR="00000000" w:rsidP="00B23FF3">
            <w:pPr>
              <w:pStyle w:val="ListBullet2"/>
              <w:rPr>
                <w:lang w:val="en-NZ"/>
              </w:rPr>
            </w:pPr>
            <w:r w:rsidRPr="00B23FF3">
              <w:t>Conduct work observing the relevant Anti-Discrimin</w:t>
            </w:r>
            <w:r w:rsidRPr="00B23FF3">
              <w:t>ation legislation, regulations, polices and workplace procedures</w:t>
            </w:r>
          </w:p>
        </w:tc>
      </w:tr>
      <w:tr w:rsidTr="00B23FF3">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p>
        </w:tc>
        <w:tc>
          <w:tcPr>
            <w:tcW w:w="6722" w:type="dxa"/>
            <w:tcBorders>
              <w:top w:val="nil"/>
              <w:left w:val="nil"/>
              <w:bottom w:val="nil"/>
              <w:right w:val="nil"/>
            </w:tcBorders>
            <w:tcMar>
              <w:top w:w="0" w:type="dxa"/>
              <w:left w:w="62" w:type="dxa"/>
              <w:bottom w:w="0" w:type="dxa"/>
              <w:right w:w="62" w:type="dxa"/>
            </w:tcMar>
          </w:tcPr>
          <w:p w:rsidR="00000000" w:rsidRPr="00B23FF3" w:rsidP="00B23FF3">
            <w:pPr>
              <w:pStyle w:val="ListBullet"/>
            </w:pPr>
            <w:r w:rsidRPr="00B23FF3">
              <w:t>Demonstrate performance across a representative range of contexts from the prescribed items below.</w:t>
            </w:r>
          </w:p>
          <w:p w:rsidR="00000000" w:rsidRPr="00B23FF3" w:rsidP="00B23FF3">
            <w:pPr>
              <w:pStyle w:val="ListBullet2"/>
            </w:pPr>
            <w:r w:rsidRPr="00B23FF3">
              <w:t xml:space="preserve">Carry out work on single stage and run gas flow and pressure measuring and regulating </w:t>
            </w:r>
            <w:r w:rsidRPr="00B23FF3">
              <w:t>devices in accordance with relevant legislation, code, regulations and procedures as described in 9.) Range Statement and including:</w:t>
            </w:r>
          </w:p>
          <w:p w:rsidR="00000000" w:rsidRPr="00B23FF3" w:rsidP="00B23FF3">
            <w:pPr>
              <w:pStyle w:val="ListContinue2"/>
            </w:pPr>
            <w:r w:rsidRPr="00B23FF3">
              <w:t>A. Identifying and interpreting correctly drawings, diagrams, schedules, procedures and manuals relevant to the work to be</w:t>
            </w:r>
            <w:r w:rsidRPr="00B23FF3">
              <w:t xml:space="preserve"> undertaken.</w:t>
            </w:r>
          </w:p>
          <w:p w:rsidR="00000000" w:rsidRPr="00B23FF3" w:rsidP="00B23FF3">
            <w:pPr>
              <w:pStyle w:val="ListContinue2"/>
            </w:pPr>
            <w:r w:rsidRPr="00B23FF3">
              <w:t xml:space="preserve">B. Selecting correct materials, equipment, tools, personal protection equipment and measurement devices </w:t>
            </w:r>
          </w:p>
          <w:p w:rsidR="00000000" w:rsidRPr="00B23FF3" w:rsidP="00B23FF3">
            <w:pPr>
              <w:pStyle w:val="ListContinue2"/>
            </w:pPr>
            <w:r w:rsidRPr="00B23FF3">
              <w:t>C. Maintaining manual valves, filters and diaphragm and sleeve regulators and pressure relief devices</w:t>
            </w:r>
          </w:p>
          <w:p w:rsidR="00000000" w:rsidRPr="00B23FF3" w:rsidP="00B23FF3">
            <w:pPr>
              <w:pStyle w:val="ListContinue2"/>
            </w:pPr>
            <w:r w:rsidRPr="00B23FF3">
              <w:t>D. Operating, adjusting/testing, fault finding and maintaining pressure measurement, control and relief devices</w:t>
            </w:r>
          </w:p>
          <w:p w:rsidR="00000000" w:rsidRPr="00B23FF3" w:rsidP="00B23FF3">
            <w:pPr>
              <w:pStyle w:val="ListContinue2"/>
            </w:pPr>
            <w:r w:rsidRPr="00B23FF3">
              <w:t xml:space="preserve">E. Purging and venting components </w:t>
            </w:r>
          </w:p>
          <w:p w:rsidR="00000000" w:rsidRPr="00B23FF3" w:rsidP="00B23FF3">
            <w:pPr>
              <w:pStyle w:val="ListContinue2"/>
            </w:pPr>
            <w:r w:rsidRPr="00B23FF3">
              <w:t>F. Completing required documentation and reporting.</w:t>
            </w:r>
          </w:p>
          <w:p w:rsidR="00000000" w:rsidRPr="00B23FF3" w:rsidP="00B23FF3">
            <w:pPr>
              <w:pStyle w:val="ListContinue2"/>
            </w:pPr>
            <w:r w:rsidRPr="00B23FF3">
              <w:t xml:space="preserve">G. Dealing with unplanned events by drawing on essential </w:t>
            </w:r>
            <w:r w:rsidRPr="00B23FF3">
              <w:t>knowledge and skills, procedures/ protocols to provide appropriate solutions incorporated in the holistic assessment with the above listed items, for example encroachment and/or contact with assets</w:t>
            </w:r>
          </w:p>
        </w:tc>
      </w:tr>
    </w:tbl>
    <w:p w:rsidR="00000000" w:rsidRPr="00B23FF3" w:rsidP="00B23FF3">
      <w:pPr>
        <w:pStyle w:val="BodyText"/>
      </w:pPr>
    </w:p>
    <w:tbl>
      <w:tblPr>
        <w:tblW w:w="0" w:type="auto"/>
        <w:tblLayout w:type="fixed"/>
        <w:tblCellMar>
          <w:left w:w="62" w:type="dxa"/>
          <w:right w:w="62" w:type="dxa"/>
        </w:tblCellMar>
        <w:tblLook w:val="0000"/>
      </w:tblPr>
      <w:tblGrid>
        <w:gridCol w:w="1766"/>
        <w:gridCol w:w="6694"/>
      </w:tblGrid>
      <w:tr w:rsidTr="00B23FF3">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RPr="00B23FF3" w:rsidP="00B23FF3">
            <w:pPr>
              <w:pStyle w:val="BodyText"/>
            </w:pPr>
            <w:r w:rsidRPr="00B23FF3">
              <w:rPr>
                <w:rStyle w:val="SpecialBold"/>
              </w:rPr>
              <w:t>Context of and specific resources for assessment</w:t>
            </w:r>
          </w:p>
        </w:tc>
        <w:tc>
          <w:tcPr>
            <w:tcW w:w="6694"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rPr>
                <w:rStyle w:val="SpecialBold"/>
              </w:rPr>
              <w:t>8.3)</w:t>
            </w:r>
          </w:p>
        </w:tc>
      </w:tr>
      <w:tr w:rsidTr="00B23FF3">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94"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This unit should be assessed as it relates to normal work practice using procedures, information and resources typical of a workplace. This should include:</w:t>
            </w:r>
          </w:p>
        </w:tc>
      </w:tr>
      <w:tr w:rsidTr="00B23FF3">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p>
        </w:tc>
        <w:tc>
          <w:tcPr>
            <w:tcW w:w="6694" w:type="dxa"/>
            <w:tcBorders>
              <w:top w:val="nil"/>
              <w:left w:val="nil"/>
              <w:bottom w:val="nil"/>
              <w:right w:val="nil"/>
            </w:tcBorders>
            <w:tcMar>
              <w:top w:w="0" w:type="dxa"/>
              <w:left w:w="62" w:type="dxa"/>
              <w:bottom w:w="0" w:type="dxa"/>
              <w:right w:w="62" w:type="dxa"/>
            </w:tcMar>
          </w:tcPr>
          <w:p w:rsidR="00000000" w:rsidP="00B23FF3">
            <w:pPr>
              <w:pStyle w:val="ListBullet"/>
              <w:rPr>
                <w:lang w:val="en-NZ"/>
              </w:rPr>
            </w:pPr>
            <w:r w:rsidRPr="00B23FF3">
              <w:t>OHS policy and work procedures and instructions.</w:t>
            </w:r>
          </w:p>
        </w:tc>
      </w:tr>
      <w:tr w:rsidTr="00B23FF3">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p>
        </w:tc>
        <w:tc>
          <w:tcPr>
            <w:tcW w:w="6694" w:type="dxa"/>
            <w:tcBorders>
              <w:top w:val="nil"/>
              <w:left w:val="nil"/>
              <w:bottom w:val="nil"/>
              <w:right w:val="nil"/>
            </w:tcBorders>
            <w:tcMar>
              <w:top w:w="0" w:type="dxa"/>
              <w:left w:w="62" w:type="dxa"/>
              <w:bottom w:w="0" w:type="dxa"/>
              <w:right w:w="62" w:type="dxa"/>
            </w:tcMar>
          </w:tcPr>
          <w:p w:rsidR="00000000" w:rsidP="00B23FF3">
            <w:pPr>
              <w:pStyle w:val="ListBullet"/>
              <w:rPr>
                <w:lang w:val="en-NZ"/>
              </w:rPr>
            </w:pPr>
            <w:r w:rsidRPr="00B23FF3">
              <w:t>Suitable work environment, facilities, equipm</w:t>
            </w:r>
            <w:r w:rsidRPr="00B23FF3">
              <w:t>ent and materials to undertake actual work as prescribed by this Competency Standard Unit.</w:t>
            </w:r>
          </w:p>
        </w:tc>
      </w:tr>
      <w:tr w:rsidTr="00B23FF3">
        <w:tblPrEx>
          <w:tblW w:w="0" w:type="auto"/>
          <w:tblLayout w:type="fixed"/>
          <w:tblCellMar>
            <w:left w:w="62" w:type="dxa"/>
            <w:right w:w="62" w:type="dxa"/>
          </w:tblCellMar>
          <w:tblLook w:val="0000"/>
        </w:tblPrEx>
        <w:trPr>
          <w:trHeight w:val="481"/>
        </w:trPr>
        <w:tc>
          <w:tcPr>
            <w:tcW w:w="1766"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p>
        </w:tc>
        <w:tc>
          <w:tcPr>
            <w:tcW w:w="6694" w:type="dxa"/>
            <w:tcBorders>
              <w:top w:val="nil"/>
              <w:left w:val="nil"/>
              <w:bottom w:val="nil"/>
              <w:right w:val="nil"/>
            </w:tcBorders>
            <w:tcMar>
              <w:top w:w="0" w:type="dxa"/>
              <w:left w:w="62" w:type="dxa"/>
              <w:bottom w:w="0" w:type="dxa"/>
              <w:right w:w="62" w:type="dxa"/>
            </w:tcMar>
          </w:tcPr>
          <w:p w:rsidR="00000000" w:rsidP="00B23FF3">
            <w:pPr>
              <w:pStyle w:val="ListBullet"/>
              <w:rPr>
                <w:lang w:val="en-NZ"/>
              </w:rPr>
            </w:pPr>
            <w:r w:rsidRPr="00B23FF3">
              <w:t>Appropriate environmental regulation and work practices.</w:t>
            </w:r>
          </w:p>
        </w:tc>
      </w:tr>
      <w:tr w:rsidTr="00B23FF3">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p>
        </w:tc>
        <w:tc>
          <w:tcPr>
            <w:tcW w:w="6694" w:type="dxa"/>
            <w:tcBorders>
              <w:top w:val="nil"/>
              <w:left w:val="nil"/>
              <w:bottom w:val="nil"/>
              <w:right w:val="nil"/>
            </w:tcBorders>
            <w:tcMar>
              <w:top w:w="0" w:type="dxa"/>
              <w:left w:w="62" w:type="dxa"/>
              <w:bottom w:w="0" w:type="dxa"/>
              <w:right w:w="62" w:type="dxa"/>
            </w:tcMar>
          </w:tcPr>
          <w:p w:rsidR="00000000" w:rsidP="00B23FF3">
            <w:pPr>
              <w:pStyle w:val="ListBullet"/>
              <w:rPr>
                <w:lang w:val="en-NZ"/>
              </w:rPr>
            </w:pPr>
            <w:r w:rsidRPr="00B23FF3">
              <w:t>Appropriate organisational requirements.</w:t>
            </w:r>
          </w:p>
        </w:tc>
      </w:tr>
      <w:tr w:rsidTr="00B23FF3">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94" w:type="dxa"/>
            <w:tcBorders>
              <w:top w:val="nil"/>
              <w:left w:val="nil"/>
              <w:bottom w:val="nil"/>
              <w:right w:val="nil"/>
            </w:tcBorders>
            <w:tcMar>
              <w:top w:w="0" w:type="dxa"/>
              <w:left w:w="62" w:type="dxa"/>
              <w:bottom w:w="0" w:type="dxa"/>
              <w:right w:w="62" w:type="dxa"/>
            </w:tcMar>
          </w:tcPr>
          <w:p w:rsidR="00000000" w:rsidRPr="00B23FF3" w:rsidP="00B23FF3">
            <w:pPr>
              <w:pStyle w:val="BodyText"/>
            </w:pPr>
            <w:r w:rsidRPr="00B23FF3">
              <w:t>These should be part of the formal learning/as</w:t>
            </w:r>
            <w:r w:rsidRPr="00B23FF3">
              <w:t>sessment environment.</w:t>
            </w:r>
          </w:p>
          <w:p w:rsidR="00000000" w:rsidRPr="00B23FF3" w:rsidP="00B23FF3">
            <w:pPr>
              <w:pStyle w:val="BodyText"/>
            </w:pPr>
            <w:r w:rsidRPr="00B23FF3">
              <w:t>Assessment of this competency must also be undertaken in either an actual workplace or under a simulated work environment. Assessment must also integrate the employability skills.</w:t>
            </w:r>
          </w:p>
          <w:p w:rsidR="00000000" w:rsidRPr="00B23FF3" w:rsidP="00B23FF3">
            <w:pPr>
              <w:pStyle w:val="BodyText"/>
            </w:pPr>
            <w:r w:rsidRPr="00B23FF3">
              <w:t>Note:</w:t>
            </w:r>
          </w:p>
          <w:p w:rsidR="00000000" w:rsidRPr="00B23FF3" w:rsidP="00B23FF3">
            <w:pPr>
              <w:pStyle w:val="BodyText"/>
            </w:pPr>
            <w:r w:rsidRPr="00B23FF3">
              <w:t>Where simulation is considered a suitable strate</w:t>
            </w:r>
            <w:r w:rsidRPr="00B23FF3">
              <w:t>gy for assessment, conditions must be authentic and as far as possible reproduce and replicate the workplace and be consistent with the approved industry simulation policy.</w:t>
            </w:r>
          </w:p>
          <w:p w:rsidR="00000000" w:rsidRPr="00B23FF3" w:rsidP="00B23FF3">
            <w:pPr>
              <w:pStyle w:val="BodyText"/>
            </w:pPr>
            <w:r w:rsidRPr="00B23FF3">
              <w:t>The resources used for assessment should reflect current industry practices in rela</w:t>
            </w:r>
            <w:r w:rsidRPr="00B23FF3">
              <w:t>tion to locating, proving and protecting utility assets.</w:t>
            </w:r>
          </w:p>
        </w:tc>
      </w:tr>
    </w:tbl>
    <w:p w:rsidR="00000000" w:rsidRPr="00B23FF3" w:rsidP="00B23FF3">
      <w:pPr>
        <w:pStyle w:val="BodyText"/>
      </w:pPr>
    </w:p>
    <w:tbl>
      <w:tblPr>
        <w:tblW w:w="0" w:type="auto"/>
        <w:tblLayout w:type="fixed"/>
        <w:tblCellMar>
          <w:left w:w="62" w:type="dxa"/>
          <w:right w:w="62" w:type="dxa"/>
        </w:tblCellMar>
        <w:tblLook w:val="0000"/>
      </w:tblPr>
      <w:tblGrid>
        <w:gridCol w:w="1766"/>
        <w:gridCol w:w="6570"/>
      </w:tblGrid>
      <w:tr w:rsidTr="00B23FF3">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RPr="00B23FF3" w:rsidP="00B23FF3">
            <w:pPr>
              <w:pStyle w:val="BodyText"/>
            </w:pPr>
            <w:r w:rsidRPr="00B23FF3">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rPr>
                <w:rStyle w:val="SpecialBold"/>
              </w:rPr>
              <w:t>8.4)</w:t>
            </w:r>
          </w:p>
        </w:tc>
      </w:tr>
      <w:tr w:rsidTr="00B23FF3">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This Competency Standard Unit shall be assessed by methods given in Volume 1, Part 3 "Assessment Guidelines".</w:t>
            </w:r>
          </w:p>
        </w:tc>
      </w:tr>
      <w:tr w:rsidTr="00B23FF3">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23FF3" w:rsidP="00B23FF3">
            <w:pPr>
              <w:pStyle w:val="BodyText"/>
            </w:pPr>
            <w:r w:rsidRPr="00B23FF3">
              <w:t>Note: Competent performance with inherent safe working practices is expected in the Industry to which this Competency Standard Unit applies. This requires that the specified Required Skills and Knowledge are assessed in a structured environment which is pr</w:t>
            </w:r>
            <w:r w:rsidRPr="00B23FF3">
              <w:t>imarily intended for learning/assessment and incorporates all necessary equipment and facilities for learners to develop and demonstrate the required skills and knowledge described in this unit.</w:t>
            </w:r>
          </w:p>
        </w:tc>
      </w:tr>
    </w:tbl>
    <w:p w:rsidR="00000000" w:rsidRPr="00B23FF3" w:rsidP="00B23FF3">
      <w:pPr>
        <w:pStyle w:val="BodyText"/>
      </w:pPr>
    </w:p>
    <w:tbl>
      <w:tblPr>
        <w:tblW w:w="0" w:type="auto"/>
        <w:tblLayout w:type="fixed"/>
        <w:tblCellMar>
          <w:left w:w="62" w:type="dxa"/>
          <w:right w:w="62" w:type="dxa"/>
        </w:tblCellMar>
        <w:tblLook w:val="0000"/>
      </w:tblPr>
      <w:tblGrid>
        <w:gridCol w:w="1710"/>
        <w:gridCol w:w="1914"/>
        <w:gridCol w:w="4746"/>
      </w:tblGrid>
      <w:tr w:rsidTr="00B23FF3">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RPr="00B23FF3" w:rsidP="00B23FF3">
            <w:pPr>
              <w:pStyle w:val="BodyText"/>
            </w:pPr>
            <w:r w:rsidRPr="00B23FF3">
              <w:rPr>
                <w:rStyle w:val="SpecialBold"/>
              </w:rPr>
              <w:t>Concurrent assessment and relationship with other units</w:t>
            </w:r>
          </w:p>
        </w:tc>
        <w:tc>
          <w:tcPr>
            <w:tcW w:w="6660" w:type="dxa"/>
            <w:gridSpan w:val="2"/>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rPr>
                <w:rStyle w:val="SpecialBold"/>
              </w:rPr>
              <w:t>8.5</w:t>
            </w:r>
            <w:r w:rsidRPr="00B23FF3">
              <w:rPr>
                <w:rStyle w:val="SpecialBold"/>
              </w:rPr>
              <w:t>)</w:t>
            </w:r>
          </w:p>
        </w:tc>
      </w:tr>
      <w:tr w:rsidTr="00B23FF3">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0" w:type="dxa"/>
            <w:gridSpan w:val="2"/>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There are no recommended concurrent assessments with this unit, however in some cases efficiencies may be gained in terms of learning and assessment effort being concurrently managed with allied competency standard units where listed.</w:t>
            </w:r>
          </w:p>
        </w:tc>
      </w:tr>
      <w:tr w:rsidTr="00B23FF3">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UEGNSG132A</w:t>
            </w:r>
          </w:p>
        </w:tc>
        <w:tc>
          <w:tcPr>
            <w:tcW w:w="4746"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Carry out basic work activities in a utilities industry work environment</w:t>
            </w:r>
          </w:p>
        </w:tc>
      </w:tr>
      <w:tr w:rsidTr="00B23FF3">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UEGNSG140A</w:t>
            </w:r>
          </w:p>
        </w:tc>
        <w:tc>
          <w:tcPr>
            <w:tcW w:w="4746"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Apply environmental policies and procedures in the utilities industry</w:t>
            </w:r>
          </w:p>
        </w:tc>
      </w:tr>
      <w:tr w:rsidTr="00B23FF3">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UEGNSG134A</w:t>
            </w:r>
          </w:p>
        </w:tc>
        <w:tc>
          <w:tcPr>
            <w:tcW w:w="4746"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Establish a utilities infrastructure work site</w:t>
            </w:r>
          </w:p>
        </w:tc>
      </w:tr>
      <w:tr w:rsidTr="00B23FF3">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BSBFLM312B</w:t>
            </w:r>
          </w:p>
        </w:tc>
        <w:tc>
          <w:tcPr>
            <w:tcW w:w="4746"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Contribute to team effectiveness</w:t>
            </w:r>
          </w:p>
        </w:tc>
      </w:tr>
      <w:tr w:rsidTr="00B23FF3">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t>BSBFLM303C</w:t>
            </w:r>
          </w:p>
        </w:tc>
        <w:tc>
          <w:tcPr>
            <w:tcW w:w="4746" w:type="dxa"/>
            <w:tcBorders>
              <w:top w:val="nil"/>
              <w:left w:val="nil"/>
              <w:bottom w:val="nil"/>
              <w:right w:val="nil"/>
            </w:tcBorders>
            <w:tcMar>
              <w:top w:w="0" w:type="dxa"/>
              <w:left w:w="62" w:type="dxa"/>
              <w:bottom w:w="0" w:type="dxa"/>
              <w:right w:w="62" w:type="dxa"/>
            </w:tcMar>
          </w:tcPr>
          <w:p w:rsidR="00000000" w:rsidRPr="00B23FF3" w:rsidP="00B23FF3">
            <w:pPr>
              <w:pStyle w:val="BodyText"/>
            </w:pPr>
            <w:r w:rsidRPr="00B23FF3">
              <w:t>Contribute to effective workplace relationships</w:t>
            </w:r>
          </w:p>
        </w:tc>
      </w:tr>
    </w:tbl>
    <w:p w:rsidR="00000000" w:rsidRPr="00B23FF3" w:rsidP="00B23FF3">
      <w:pPr>
        <w:pStyle w:val="BodyText"/>
      </w:pPr>
    </w:p>
    <w:p w:rsidR="00000000" w:rsidRPr="00B23FF3" w:rsidP="00B23FF3">
      <w:pPr>
        <w:pStyle w:val="AllowPageBreak"/>
      </w:pPr>
    </w:p>
    <w:p w:rsidR="00000000" w:rsidRPr="00B23FF3" w:rsidP="00B23FF3">
      <w:pPr>
        <w:pStyle w:val="Heading1"/>
      </w:pPr>
      <w:bookmarkStart w:id="11" w:name="O_619440"/>
      <w:bookmarkEnd w:id="11"/>
      <w:r w:rsidRPr="00B23FF3">
        <w:t>Range Statement</w:t>
      </w:r>
    </w:p>
    <w:tbl>
      <w:tblPr>
        <w:tblW w:w="0" w:type="auto"/>
        <w:tblLayout w:type="fixed"/>
        <w:tblCellMar>
          <w:left w:w="62" w:type="dxa"/>
          <w:right w:w="62" w:type="dxa"/>
        </w:tblCellMar>
        <w:tblLook w:val="0000"/>
      </w:tblPr>
      <w:tblGrid>
        <w:gridCol w:w="8336"/>
      </w:tblGrid>
      <w:tr w:rsidTr="00B23FF3">
        <w:tblPrEx>
          <w:tblW w:w="0" w:type="auto"/>
          <w:tblLayout w:type="fixed"/>
          <w:tblCellMar>
            <w:left w:w="62" w:type="dxa"/>
            <w:right w:w="62" w:type="dxa"/>
          </w:tblCellMar>
          <w:tblLook w:val="0000"/>
        </w:tblPrEx>
        <w:trPr>
          <w:tblHeader/>
        </w:trPr>
        <w:tc>
          <w:tcPr>
            <w:tcW w:w="8336"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rPr>
                <w:rStyle w:val="SpecialBold"/>
              </w:rPr>
              <w:t>RANGE STATEMENT</w:t>
            </w:r>
          </w:p>
        </w:tc>
      </w:tr>
      <w:tr w:rsidTr="00B23FF3">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rPr>
                <w:rStyle w:val="SpecialBold"/>
              </w:rPr>
              <w:t xml:space="preserve">9) </w:t>
            </w:r>
            <w:r w:rsidRPr="00B23FF3">
              <w:rPr>
                <w:rStyle w:val="Emphasis"/>
              </w:rPr>
              <w:t>This relates to the competency standard unit as a whole providing the range of contexts and conditions to w</w:t>
            </w:r>
            <w:r w:rsidRPr="00B23FF3">
              <w:rPr>
                <w:rStyle w:val="Emphasis"/>
              </w:rPr>
              <w:t>hich the Performance Criteria apply. It allows for different work environments and situations that will affect performance.</w:t>
            </w:r>
          </w:p>
        </w:tc>
      </w:tr>
      <w:tr w:rsidTr="00B23FF3">
        <w:tblPrEx>
          <w:tblW w:w="0" w:type="auto"/>
          <w:tblLayout w:type="fixed"/>
          <w:tblCellMar>
            <w:left w:w="62" w:type="dxa"/>
            <w:right w:w="62" w:type="dxa"/>
          </w:tblCellMar>
          <w:tblLook w:val="0000"/>
        </w:tblPrEx>
        <w:trPr>
          <w:trHeight w:val="4977"/>
        </w:trPr>
        <w:tc>
          <w:tcPr>
            <w:tcW w:w="8336" w:type="dxa"/>
            <w:tcBorders>
              <w:top w:val="nil"/>
              <w:left w:val="nil"/>
              <w:bottom w:val="nil"/>
              <w:right w:val="nil"/>
            </w:tcBorders>
            <w:tcMar>
              <w:top w:w="0" w:type="dxa"/>
              <w:left w:w="62" w:type="dxa"/>
              <w:bottom w:w="0" w:type="dxa"/>
              <w:right w:w="62" w:type="dxa"/>
            </w:tcMar>
          </w:tcPr>
          <w:p w:rsidR="00000000" w:rsidRPr="00B23FF3" w:rsidP="00B23FF3">
            <w:pPr>
              <w:pStyle w:val="BodyText"/>
            </w:pPr>
            <w:r w:rsidRPr="00B23FF3">
              <w:t>This unit shall be demonstrated in relation to operating, fault finding, repair, replacement and maintenance of gas flow and pressure control &amp; measurement equipment in the following gas facilities: .</w:t>
            </w:r>
          </w:p>
          <w:p w:rsidR="00000000" w:rsidRPr="00B23FF3" w:rsidP="00B23FF3">
            <w:pPr>
              <w:pStyle w:val="ListBullet"/>
            </w:pPr>
            <w:r w:rsidRPr="00B23FF3">
              <w:t>District and customer metering and regulator sets</w:t>
            </w:r>
          </w:p>
          <w:p w:rsidR="00000000" w:rsidRPr="00B23FF3" w:rsidP="00B23FF3">
            <w:pPr>
              <w:pStyle w:val="ListBullet"/>
            </w:pPr>
            <w:r w:rsidRPr="00B23FF3">
              <w:t>Dist</w:t>
            </w:r>
            <w:r w:rsidRPr="00B23FF3">
              <w:t>ribution line and path valves</w:t>
            </w:r>
          </w:p>
          <w:p w:rsidR="00000000" w:rsidRPr="00B23FF3" w:rsidP="00B23FF3">
            <w:pPr>
              <w:pStyle w:val="ListBullet"/>
            </w:pPr>
            <w:r w:rsidRPr="00B23FF3">
              <w:t>Note: Fault finding is limited to the component level.</w:t>
            </w:r>
          </w:p>
          <w:p w:rsidR="00000000" w:rsidRPr="00B23FF3" w:rsidP="00B23FF3">
            <w:pPr>
              <w:pStyle w:val="BodyText"/>
            </w:pPr>
          </w:p>
          <w:p w:rsidR="00000000" w:rsidRPr="00B23FF3" w:rsidP="00B23FF3">
            <w:pPr>
              <w:pStyle w:val="BodyText"/>
            </w:pPr>
            <w:r w:rsidRPr="00B23FF3">
              <w:t xml:space="preserve">The following constants and variables included in the element/Performance Criteria in this unit are fully described in the Definitions Section of this volume and form an </w:t>
            </w:r>
            <w:r w:rsidRPr="00B23FF3">
              <w:t>integral part of the Range Statement of this unit:</w:t>
            </w:r>
          </w:p>
          <w:p w:rsidR="00000000" w:rsidRPr="00B23FF3" w:rsidP="00B23FF3">
            <w:pPr>
              <w:pStyle w:val="ListBullet"/>
            </w:pPr>
            <w:r w:rsidRPr="00B23FF3">
              <w:t>Monitoring, adjusting  and controlling</w:t>
            </w:r>
          </w:p>
          <w:p w:rsidR="00000000" w:rsidRPr="00B23FF3" w:rsidP="00B23FF3">
            <w:pPr>
              <w:pStyle w:val="ListBullet"/>
            </w:pPr>
            <w:r w:rsidRPr="00B23FF3">
              <w:t>Regulation of flow and pressure</w:t>
            </w:r>
          </w:p>
          <w:p w:rsidR="00000000" w:rsidRPr="00B23FF3" w:rsidP="00B23FF3">
            <w:pPr>
              <w:pStyle w:val="ListBullet"/>
            </w:pPr>
            <w:r w:rsidRPr="00B23FF3">
              <w:t>Gas Measurement</w:t>
            </w:r>
          </w:p>
          <w:p w:rsidR="00000000" w:rsidRPr="00B23FF3" w:rsidP="00B23FF3">
            <w:pPr>
              <w:pStyle w:val="ListBullet"/>
            </w:pPr>
            <w:r w:rsidRPr="00B23FF3">
              <w:t>Recording and reporting</w:t>
            </w:r>
          </w:p>
          <w:p w:rsidR="00000000" w:rsidRPr="00B23FF3" w:rsidP="00B23FF3">
            <w:pPr>
              <w:pStyle w:val="ListBullet"/>
            </w:pPr>
            <w:r w:rsidRPr="00B23FF3">
              <w:t>Regulation of the system</w:t>
            </w:r>
          </w:p>
          <w:p w:rsidR="00000000" w:rsidRPr="00B23FF3" w:rsidP="00B23FF3">
            <w:pPr>
              <w:pStyle w:val="ListBullet"/>
            </w:pPr>
            <w:r w:rsidRPr="00B23FF3">
              <w:t>Equipment</w:t>
            </w:r>
          </w:p>
          <w:p w:rsidR="00000000" w:rsidRPr="00B23FF3" w:rsidP="00B23FF3">
            <w:pPr>
              <w:pStyle w:val="ListBullet"/>
            </w:pPr>
            <w:r w:rsidRPr="00B23FF3">
              <w:t>Organisational and statutory requirements</w:t>
            </w:r>
          </w:p>
        </w:tc>
      </w:tr>
    </w:tbl>
    <w:p w:rsidR="00000000" w:rsidRPr="00B23FF3" w:rsidP="00B23FF3">
      <w:pPr>
        <w:pStyle w:val="BodyText"/>
      </w:pPr>
    </w:p>
    <w:p w:rsidR="00000000" w:rsidRPr="00B23FF3" w:rsidP="00B23FF3">
      <w:pPr>
        <w:pStyle w:val="AllowPageBreak"/>
      </w:pPr>
    </w:p>
    <w:p w:rsidR="00000000" w:rsidRPr="00B23FF3" w:rsidP="00B23FF3">
      <w:pPr>
        <w:pStyle w:val="Heading1"/>
      </w:pPr>
      <w:bookmarkStart w:id="12" w:name="O_619441"/>
      <w:bookmarkEnd w:id="12"/>
      <w:r w:rsidRPr="00B23FF3">
        <w:t>Unit Sector(s)</w:t>
      </w:r>
    </w:p>
    <w:p w:rsidR="00000000" w:rsidRPr="00B23FF3" w:rsidP="00B23FF3">
      <w:pPr>
        <w:pStyle w:val="BodyText"/>
      </w:pPr>
      <w:r w:rsidRPr="00B23FF3">
        <w:t>Gas Industry</w:t>
      </w:r>
    </w:p>
    <w:p w:rsidR="00000000" w:rsidRPr="00B23FF3" w:rsidP="00B23FF3">
      <w:pPr>
        <w:pStyle w:val="AllowPageBreak"/>
      </w:pPr>
    </w:p>
    <w:p w:rsidR="00000000" w:rsidRPr="00B23FF3" w:rsidP="00B23FF3">
      <w:pPr>
        <w:pStyle w:val="Heading1"/>
      </w:pPr>
      <w:bookmarkStart w:id="13" w:name="O_619442"/>
      <w:bookmarkEnd w:id="13"/>
      <w:r w:rsidRPr="00B23FF3">
        <w:t>11. Competency Field</w:t>
      </w:r>
    </w:p>
    <w:tbl>
      <w:tblPr>
        <w:tblW w:w="0" w:type="auto"/>
        <w:tblLayout w:type="fixed"/>
        <w:tblCellMar>
          <w:left w:w="62" w:type="dxa"/>
          <w:right w:w="62" w:type="dxa"/>
        </w:tblCellMar>
        <w:tblLook w:val="0000"/>
      </w:tblPr>
      <w:tblGrid>
        <w:gridCol w:w="2576"/>
        <w:gridCol w:w="5760"/>
      </w:tblGrid>
      <w:tr w:rsidTr="00B23FF3">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RPr="00B23FF3" w:rsidP="00B23FF3">
            <w:pPr>
              <w:pStyle w:val="BodyText"/>
            </w:pPr>
            <w:r w:rsidRPr="00B23FF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23FF3">
            <w:pPr>
              <w:pStyle w:val="BodyText"/>
              <w:rPr>
                <w:lang w:val="en-NZ"/>
              </w:rPr>
            </w:pPr>
            <w:r w:rsidRPr="00B23FF3">
              <w:rPr>
                <w:rStyle w:val="SpecialBold"/>
              </w:rPr>
              <w:t xml:space="preserve">10) </w:t>
            </w:r>
          </w:p>
        </w:tc>
      </w:tr>
      <w:tr w:rsidTr="00B23FF3">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23FF3" w:rsidP="00B23FF3">
            <w:pPr>
              <w:pStyle w:val="BodyText"/>
            </w:pPr>
            <w:r w:rsidRPr="00B23FF3">
              <w:t>Gas systems operations</w:t>
            </w:r>
          </w:p>
        </w:tc>
      </w:tr>
    </w:tbl>
    <w:p w:rsidR="00000000" w:rsidRPr="00B23FF3" w:rsidP="00B23FF3">
      <w:pPr>
        <w:pStyle w:val="BodyText"/>
      </w:pPr>
    </w:p>
    <w:p w:rsidR="00000000" w:rsidRPr="00B23FF3" w:rsidP="00B23FF3"/>
    <w:sectPr w:rsidSect="00B23F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F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FF3" w:rsidRPr="00974CBF" w:rsidP="00974C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F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CBF" w:rsidP="00B23F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15</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974CBF" w:rsidP="00B23FF3">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974CBF" w:rsidP="00B23F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F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FF3" w:rsidRPr="00974CBF" w:rsidP="00974CB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F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CBF" w:rsidRPr="002D2AF8" w:rsidP="00B23FF3">
    <w:pPr>
      <w:pStyle w:val="Header"/>
      <w:framePr w:wrap="around"/>
    </w:pPr>
    <w:r>
      <w:fldChar w:fldCharType="begin"/>
    </w:r>
    <w:r>
      <w:instrText xml:space="preserve"> TITLE   \* MERGEFORMAT </w:instrText>
    </w:r>
    <w:r>
      <w:fldChar w:fldCharType="separate"/>
    </w:r>
    <w:r>
      <w:t>UEGNSG804A Maintain Single Stage and Single Run Gas Flow and Pressure Control and Measuring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974CBF" w:rsidP="00B23F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1A58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66F4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F840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unhideWhenUsed="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3F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3FF3"/>
    <w:pPr>
      <w:spacing w:before="360" w:after="60"/>
      <w:outlineLvl w:val="0"/>
    </w:pPr>
    <w:rPr>
      <w:sz w:val="32"/>
    </w:rPr>
  </w:style>
  <w:style w:type="paragraph" w:styleId="Heading2">
    <w:name w:val="heading 2"/>
    <w:basedOn w:val="HeadingBase"/>
    <w:next w:val="BodyText"/>
    <w:link w:val="Heading2Char"/>
    <w:qFormat/>
    <w:rsid w:val="00B23FF3"/>
    <w:pPr>
      <w:keepLines/>
      <w:spacing w:before="240" w:after="120"/>
      <w:outlineLvl w:val="1"/>
    </w:pPr>
    <w:rPr>
      <w:sz w:val="28"/>
      <w:szCs w:val="40"/>
    </w:rPr>
  </w:style>
  <w:style w:type="paragraph" w:styleId="Heading3">
    <w:name w:val="heading 3"/>
    <w:basedOn w:val="HeadingBase"/>
    <w:next w:val="BodyText"/>
    <w:link w:val="Heading3Char"/>
    <w:qFormat/>
    <w:rsid w:val="00B23FF3"/>
    <w:pPr>
      <w:spacing w:before="180" w:after="120"/>
      <w:outlineLvl w:val="2"/>
    </w:pPr>
    <w:rPr>
      <w:spacing w:val="-10"/>
      <w:kern w:val="32"/>
    </w:rPr>
  </w:style>
  <w:style w:type="paragraph" w:styleId="Heading4">
    <w:name w:val="heading 4"/>
    <w:basedOn w:val="HeadingBase"/>
    <w:next w:val="BodyText"/>
    <w:link w:val="Heading4Char"/>
    <w:qFormat/>
    <w:rsid w:val="00B23FF3"/>
    <w:pPr>
      <w:spacing w:before="160" w:after="120"/>
      <w:outlineLvl w:val="3"/>
    </w:pPr>
    <w:rPr>
      <w:sz w:val="22"/>
    </w:rPr>
  </w:style>
  <w:style w:type="paragraph" w:styleId="Heading5">
    <w:name w:val="heading 5"/>
    <w:basedOn w:val="HeadingBase"/>
    <w:next w:val="Normal"/>
    <w:link w:val="Heading5Char"/>
    <w:qFormat/>
    <w:rsid w:val="00B23FF3"/>
    <w:pPr>
      <w:spacing w:before="80"/>
      <w:outlineLvl w:val="4"/>
    </w:pPr>
    <w:rPr>
      <w:color w:val="918585"/>
      <w:sz w:val="20"/>
    </w:rPr>
  </w:style>
  <w:style w:type="paragraph" w:styleId="Heading6">
    <w:name w:val="heading 6"/>
    <w:basedOn w:val="HeadingBase"/>
    <w:next w:val="Normal"/>
    <w:link w:val="Heading6Char"/>
    <w:qFormat/>
    <w:rsid w:val="00B23FF3"/>
    <w:pPr>
      <w:spacing w:before="60"/>
      <w:outlineLvl w:val="5"/>
    </w:pPr>
    <w:rPr>
      <w:color w:val="918585"/>
      <w:sz w:val="20"/>
    </w:rPr>
  </w:style>
  <w:style w:type="paragraph" w:styleId="Heading7">
    <w:name w:val="heading 7"/>
    <w:basedOn w:val="Normal"/>
    <w:next w:val="Normal"/>
    <w:link w:val="Heading7Char"/>
    <w:qFormat/>
    <w:rsid w:val="00B23FF3"/>
    <w:pPr>
      <w:ind w:left="720"/>
      <w:outlineLvl w:val="6"/>
    </w:pPr>
    <w:rPr>
      <w:i/>
    </w:rPr>
  </w:style>
  <w:style w:type="paragraph" w:styleId="Heading8">
    <w:name w:val="heading 8"/>
    <w:basedOn w:val="Normal"/>
    <w:next w:val="Normal"/>
    <w:link w:val="Heading8Char"/>
    <w:qFormat/>
    <w:rsid w:val="00B23FF3"/>
    <w:pPr>
      <w:ind w:left="720"/>
      <w:outlineLvl w:val="7"/>
    </w:pPr>
    <w:rPr>
      <w:i/>
    </w:rPr>
  </w:style>
  <w:style w:type="paragraph" w:styleId="Heading9">
    <w:name w:val="heading 9"/>
    <w:basedOn w:val="Normal"/>
    <w:next w:val="Normal"/>
    <w:link w:val="Heading9Char"/>
    <w:qFormat/>
    <w:rsid w:val="00B23FF3"/>
    <w:pPr>
      <w:ind w:left="720"/>
      <w:outlineLvl w:val="8"/>
    </w:pPr>
    <w:rPr>
      <w:i/>
    </w:rPr>
  </w:style>
  <w:style w:type="character" w:default="1" w:styleId="DefaultParagraphFont">
    <w:name w:val="Default Paragraph Font"/>
    <w:uiPriority w:val="1"/>
    <w:unhideWhenUsed/>
    <w:rsid w:val="00B23F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3FF3"/>
  </w:style>
  <w:style w:type="character" w:customStyle="1" w:styleId="Heading1Char">
    <w:name w:val="Heading 1 Char"/>
    <w:basedOn w:val="DefaultParagraphFont"/>
    <w:link w:val="Heading1"/>
    <w:rsid w:val="00B23FF3"/>
    <w:rPr>
      <w:rFonts w:ascii="Times New Roman" w:eastAsia="Times New Roman" w:hAnsi="Times New Roman" w:cs="Times New Roman"/>
      <w:b/>
      <w:sz w:val="32"/>
      <w:szCs w:val="20"/>
      <w:lang w:eastAsia="en-US"/>
    </w:rPr>
  </w:style>
  <w:style w:type="paragraph" w:styleId="BodyText">
    <w:name w:val="Body Text"/>
    <w:basedOn w:val="Normal"/>
    <w:link w:val="BodyTextChar"/>
    <w:rsid w:val="00B23FF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3FF3"/>
    <w:rPr>
      <w:rFonts w:ascii="Times New Roman" w:eastAsia="Times New Roman" w:hAnsi="Times New Roman" w:cs="Times New Roman"/>
      <w:sz w:val="24"/>
      <w:lang w:eastAsia="en-US"/>
    </w:rPr>
  </w:style>
  <w:style w:type="paragraph" w:styleId="ListBullet">
    <w:name w:val="List Bullet"/>
    <w:basedOn w:val="List"/>
    <w:rsid w:val="00B23FF3"/>
    <w:pPr>
      <w:numPr>
        <w:numId w:val="13"/>
      </w:numPr>
      <w:tabs>
        <w:tab w:val="clear" w:pos="340"/>
      </w:tabs>
      <w:spacing w:before="40" w:after="40"/>
    </w:pPr>
  </w:style>
  <w:style w:type="character" w:customStyle="1" w:styleId="SpecialBold">
    <w:name w:val="Special Bold"/>
    <w:basedOn w:val="DefaultParagraphFont"/>
    <w:rsid w:val="00B23FF3"/>
    <w:rPr>
      <w:b/>
      <w:spacing w:val="0"/>
    </w:rPr>
  </w:style>
  <w:style w:type="paragraph" w:styleId="ListBullet2">
    <w:name w:val="List Bullet 2"/>
    <w:basedOn w:val="List2"/>
    <w:rsid w:val="00B23FF3"/>
    <w:pPr>
      <w:numPr>
        <w:numId w:val="14"/>
      </w:numPr>
      <w:tabs>
        <w:tab w:val="clear" w:pos="680"/>
      </w:tabs>
    </w:pPr>
  </w:style>
  <w:style w:type="character" w:styleId="Emphasis">
    <w:name w:val="Emphasis"/>
    <w:basedOn w:val="DefaultParagraphFont"/>
    <w:qFormat/>
    <w:rsid w:val="00B23FF3"/>
    <w:rPr>
      <w:i/>
    </w:rPr>
  </w:style>
  <w:style w:type="paragraph" w:customStyle="1" w:styleId="SuperHeading">
    <w:name w:val="SuperHeading"/>
    <w:basedOn w:val="Normal"/>
    <w:rsid w:val="00B23FF3"/>
    <w:pPr>
      <w:spacing w:before="240" w:after="120"/>
      <w:outlineLvl w:val="0"/>
    </w:pPr>
    <w:rPr>
      <w:rFonts w:ascii="Times New Roman" w:hAnsi="Times New Roman"/>
      <w:b/>
      <w:sz w:val="32"/>
    </w:rPr>
  </w:style>
  <w:style w:type="paragraph" w:customStyle="1" w:styleId="AllowPageBreak">
    <w:name w:val="AllowPageBreak"/>
    <w:rsid w:val="00B23FF3"/>
    <w:pPr>
      <w:widowControl w:val="0"/>
      <w:spacing w:after="0" w:line="240" w:lineRule="auto"/>
    </w:pPr>
    <w:rPr>
      <w:rFonts w:ascii="Times New Roman" w:eastAsia="Times New Roman" w:hAnsi="Times New Roman" w:cs="Times New Roman"/>
      <w:noProof/>
      <w:sz w:val="2"/>
      <w:szCs w:val="20"/>
      <w:lang w:eastAsia="en-US"/>
    </w:rPr>
  </w:style>
  <w:style w:type="paragraph" w:styleId="ListContinue2">
    <w:name w:val="List Continue 2"/>
    <w:basedOn w:val="List2"/>
    <w:rsid w:val="00B23FF3"/>
    <w:pPr>
      <w:ind w:firstLine="0"/>
    </w:pPr>
  </w:style>
  <w:style w:type="character" w:customStyle="1" w:styleId="Heading2Char">
    <w:name w:val="Heading 2 Char"/>
    <w:basedOn w:val="DefaultParagraphFont"/>
    <w:link w:val="Heading2"/>
    <w:rsid w:val="00B23F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3F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3F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3F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3F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3F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3F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3FF3"/>
    <w:rPr>
      <w:rFonts w:ascii="Courier New" w:eastAsia="Times New Roman" w:hAnsi="Courier New" w:cs="Times New Roman"/>
      <w:i/>
      <w:szCs w:val="20"/>
      <w:lang w:eastAsia="en-US"/>
    </w:rPr>
  </w:style>
  <w:style w:type="paragraph" w:customStyle="1" w:styleId="HeadingBase">
    <w:name w:val="Heading Base"/>
    <w:rsid w:val="00B23F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3FF3"/>
    <w:pPr>
      <w:tabs>
        <w:tab w:val="right" w:leader="dot" w:pos="9072"/>
      </w:tabs>
      <w:ind w:left="567"/>
    </w:pPr>
    <w:rPr>
      <w:szCs w:val="22"/>
    </w:rPr>
  </w:style>
  <w:style w:type="paragraph" w:customStyle="1" w:styleId="TOCBase">
    <w:name w:val="TOC Base"/>
    <w:rsid w:val="00B23F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3FF3"/>
    <w:pPr>
      <w:tabs>
        <w:tab w:val="right" w:leader="dot" w:pos="9072"/>
      </w:tabs>
      <w:spacing w:before="40" w:after="40"/>
      <w:ind w:left="284"/>
    </w:pPr>
    <w:rPr>
      <w:rFonts w:ascii="Times New Roman" w:hAnsi="Times New Roman"/>
    </w:rPr>
  </w:style>
  <w:style w:type="paragraph" w:styleId="TOC1">
    <w:name w:val="toc 1"/>
    <w:basedOn w:val="TOCBase"/>
    <w:next w:val="Normal"/>
    <w:rsid w:val="00B23F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3F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3FF3"/>
    <w:rPr>
      <w:rFonts w:ascii="Times New Roman" w:eastAsia="Times New Roman" w:hAnsi="Times New Roman" w:cs="Times New Roman"/>
      <w:sz w:val="16"/>
      <w:lang w:eastAsia="en-US"/>
    </w:rPr>
  </w:style>
  <w:style w:type="paragraph" w:styleId="Title">
    <w:name w:val="Title"/>
    <w:basedOn w:val="HeadingBase"/>
    <w:link w:val="TitleChar"/>
    <w:qFormat/>
    <w:rsid w:val="00B23FF3"/>
    <w:pPr>
      <w:spacing w:before="5040"/>
      <w:jc w:val="center"/>
    </w:pPr>
    <w:rPr>
      <w:sz w:val="48"/>
      <w:szCs w:val="72"/>
      <w:lang w:val="en-US"/>
    </w:rPr>
  </w:style>
  <w:style w:type="character" w:customStyle="1" w:styleId="TitleChar">
    <w:name w:val="Title Char"/>
    <w:basedOn w:val="DefaultParagraphFont"/>
    <w:link w:val="Title"/>
    <w:rsid w:val="00B23F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3FF3"/>
    <w:pPr>
      <w:tabs>
        <w:tab w:val="left" w:pos="3600"/>
        <w:tab w:val="left" w:pos="3958"/>
      </w:tabs>
    </w:pPr>
  </w:style>
  <w:style w:type="paragraph" w:styleId="List">
    <w:name w:val="List"/>
    <w:basedOn w:val="BodyText"/>
    <w:next w:val="BodyText"/>
    <w:rsid w:val="00B23FF3"/>
    <w:pPr>
      <w:tabs>
        <w:tab w:val="left" w:pos="340"/>
      </w:tabs>
      <w:spacing w:before="60" w:after="60"/>
      <w:ind w:left="340" w:hanging="340"/>
    </w:pPr>
  </w:style>
  <w:style w:type="paragraph" w:customStyle="1" w:styleId="Note">
    <w:name w:val="Note"/>
    <w:basedOn w:val="BodyText"/>
    <w:rsid w:val="00B23F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3FF3"/>
    <w:pPr>
      <w:framePr w:wrap="auto" w:hAnchor="text" w:y="6049"/>
    </w:pPr>
    <w:rPr>
      <w:color w:val="000000"/>
      <w:sz w:val="40"/>
    </w:rPr>
  </w:style>
  <w:style w:type="paragraph" w:customStyle="1" w:styleId="TOCTitle">
    <w:name w:val="TOCTitle"/>
    <w:basedOn w:val="Heading1"/>
    <w:rsid w:val="00B23FF3"/>
    <w:pPr>
      <w:spacing w:after="240"/>
      <w:jc w:val="center"/>
      <w:outlineLvl w:val="9"/>
    </w:pPr>
    <w:rPr>
      <w:caps/>
    </w:rPr>
  </w:style>
  <w:style w:type="paragraph" w:customStyle="1" w:styleId="Version">
    <w:name w:val="Version"/>
    <w:rsid w:val="00B23F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3FF3"/>
    <w:pPr>
      <w:keepNext w:val="0"/>
      <w:tabs>
        <w:tab w:val="right" w:pos="4176"/>
      </w:tabs>
      <w:ind w:left="198" w:hanging="198"/>
    </w:pPr>
    <w:rPr>
      <w:rFonts w:ascii="Garamond" w:hAnsi="Garamond"/>
    </w:rPr>
  </w:style>
  <w:style w:type="paragraph" w:styleId="IndexHeading">
    <w:name w:val="index heading"/>
    <w:basedOn w:val="Normal"/>
    <w:next w:val="Index1"/>
    <w:semiHidden/>
    <w:rsid w:val="00B23FF3"/>
    <w:pPr>
      <w:spacing w:before="120" w:after="120"/>
    </w:pPr>
    <w:rPr>
      <w:rFonts w:ascii="Arial" w:hAnsi="Arial"/>
      <w:b/>
      <w:color w:val="918585"/>
      <w:sz w:val="24"/>
    </w:rPr>
  </w:style>
  <w:style w:type="paragraph" w:styleId="Header">
    <w:name w:val="header"/>
    <w:basedOn w:val="Normal"/>
    <w:link w:val="HeaderChar"/>
    <w:rsid w:val="00B23F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3FF3"/>
    <w:rPr>
      <w:rFonts w:ascii="Times New Roman" w:eastAsia="Times New Roman" w:hAnsi="Times New Roman" w:cs="Times New Roman"/>
      <w:sz w:val="16"/>
      <w:szCs w:val="20"/>
      <w:lang w:val="en-GB" w:eastAsia="en-US"/>
    </w:rPr>
  </w:style>
  <w:style w:type="paragraph" w:customStyle="1" w:styleId="Chapter">
    <w:name w:val="Chapter"/>
    <w:basedOn w:val="Normal"/>
    <w:rsid w:val="00B23FF3"/>
    <w:pPr>
      <w:spacing w:before="240"/>
    </w:pPr>
    <w:rPr>
      <w:rFonts w:ascii="Times New Roman" w:hAnsi="Times New Roman"/>
      <w:smallCaps/>
      <w:spacing w:val="80"/>
      <w:sz w:val="28"/>
    </w:rPr>
  </w:style>
  <w:style w:type="paragraph" w:customStyle="1" w:styleId="InChapter">
    <w:name w:val="InChapter"/>
    <w:basedOn w:val="Heading3"/>
    <w:rsid w:val="00B23FF3"/>
    <w:pPr>
      <w:spacing w:after="240"/>
      <w:outlineLvl w:val="9"/>
    </w:pPr>
    <w:rPr>
      <w:noProof/>
    </w:rPr>
  </w:style>
  <w:style w:type="paragraph" w:styleId="Index2">
    <w:name w:val="index 2"/>
    <w:basedOn w:val="Normal"/>
    <w:next w:val="Normal"/>
    <w:semiHidden/>
    <w:rsid w:val="00B23FF3"/>
    <w:pPr>
      <w:tabs>
        <w:tab w:val="right" w:pos="4176"/>
      </w:tabs>
      <w:ind w:left="568" w:hanging="284"/>
    </w:pPr>
    <w:rPr>
      <w:rFonts w:ascii="Garamond" w:hAnsi="Garamond"/>
    </w:rPr>
  </w:style>
  <w:style w:type="paragraph" w:customStyle="1" w:styleId="Byline">
    <w:name w:val="Byline"/>
    <w:rsid w:val="00B23F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3FF3"/>
    <w:pPr>
      <w:tabs>
        <w:tab w:val="clear" w:pos="3600"/>
        <w:tab w:val="clear" w:pos="3958"/>
      </w:tabs>
      <w:jc w:val="right"/>
    </w:pPr>
  </w:style>
  <w:style w:type="paragraph" w:styleId="Caption">
    <w:name w:val="caption"/>
    <w:basedOn w:val="BodyText"/>
    <w:next w:val="Normal"/>
    <w:qFormat/>
    <w:rsid w:val="00B23FF3"/>
    <w:pPr>
      <w:framePr w:w="2268" w:hSpace="181" w:vSpace="181" w:wrap="around" w:vAnchor="text" w:hAnchor="page" w:x="1135" w:y="285" w:anchorLock="1"/>
    </w:pPr>
    <w:rPr>
      <w:i/>
    </w:rPr>
  </w:style>
  <w:style w:type="paragraph" w:customStyle="1" w:styleId="MiniTOCTitle">
    <w:name w:val="MiniTOCTitle"/>
    <w:basedOn w:val="Heading4"/>
    <w:rsid w:val="00B23FF3"/>
    <w:pPr>
      <w:spacing w:before="240"/>
      <w:outlineLvl w:val="9"/>
    </w:pPr>
    <w:rPr>
      <w:noProof/>
      <w:sz w:val="24"/>
    </w:rPr>
  </w:style>
  <w:style w:type="paragraph" w:customStyle="1" w:styleId="MiniTOCItem">
    <w:name w:val="MiniTOCItem"/>
    <w:basedOn w:val="ListBullet"/>
    <w:rsid w:val="00B23FF3"/>
    <w:pPr>
      <w:numPr>
        <w:numId w:val="0"/>
      </w:numPr>
      <w:tabs>
        <w:tab w:val="right" w:leader="dot" w:pos="6521"/>
      </w:tabs>
      <w:spacing w:before="0" w:after="0"/>
    </w:pPr>
  </w:style>
  <w:style w:type="paragraph" w:customStyle="1" w:styleId="TOFTitle">
    <w:name w:val="TOFTitle"/>
    <w:basedOn w:val="TOCTitle"/>
    <w:rsid w:val="00B23FF3"/>
  </w:style>
  <w:style w:type="paragraph" w:styleId="TableofFigures">
    <w:name w:val="table of figures"/>
    <w:basedOn w:val="Normal"/>
    <w:next w:val="Normal"/>
    <w:semiHidden/>
    <w:rsid w:val="00B23FF3"/>
    <w:pPr>
      <w:tabs>
        <w:tab w:val="right" w:leader="dot" w:pos="9072"/>
      </w:tabs>
      <w:ind w:left="970" w:hanging="403"/>
    </w:pPr>
    <w:rPr>
      <w:rFonts w:ascii="Times New Roman" w:hAnsi="Times New Roman"/>
      <w:b/>
    </w:rPr>
  </w:style>
  <w:style w:type="paragraph" w:styleId="ListNumber">
    <w:name w:val="List Number"/>
    <w:basedOn w:val="List"/>
    <w:rsid w:val="00B23FF3"/>
    <w:pPr>
      <w:numPr>
        <w:numId w:val="11"/>
      </w:numPr>
    </w:pPr>
  </w:style>
  <w:style w:type="character" w:customStyle="1" w:styleId="WingdingSymbols">
    <w:name w:val="Wingding Symbols"/>
    <w:rsid w:val="00B23FF3"/>
    <w:rPr>
      <w:rFonts w:ascii="Wingdings" w:hAnsi="Wingdings"/>
    </w:rPr>
  </w:style>
  <w:style w:type="paragraph" w:customStyle="1" w:styleId="TableHeading">
    <w:name w:val="Table Heading"/>
    <w:basedOn w:val="HeadingBase"/>
    <w:rsid w:val="00B23FF3"/>
    <w:pPr>
      <w:keepLines/>
      <w:pBdr>
        <w:bottom w:val="single" w:sz="6" w:space="1" w:color="918585"/>
      </w:pBdr>
      <w:spacing w:before="240"/>
    </w:pPr>
  </w:style>
  <w:style w:type="character" w:customStyle="1" w:styleId="HotSpot">
    <w:name w:val="HotSpot"/>
    <w:rsid w:val="00B23FF3"/>
    <w:rPr>
      <w:color w:val="0033CC"/>
      <w:u w:val="none"/>
    </w:rPr>
  </w:style>
  <w:style w:type="paragraph" w:customStyle="1" w:styleId="BodyTextRight">
    <w:name w:val="Body Text Right"/>
    <w:basedOn w:val="BodyText"/>
    <w:rsid w:val="00B23FF3"/>
    <w:pPr>
      <w:spacing w:before="0" w:after="0"/>
      <w:jc w:val="right"/>
    </w:pPr>
  </w:style>
  <w:style w:type="paragraph" w:styleId="Index3">
    <w:name w:val="index 3"/>
    <w:basedOn w:val="ListNumber2"/>
    <w:next w:val="Normal"/>
    <w:semiHidden/>
    <w:rsid w:val="00B23FF3"/>
    <w:pPr>
      <w:numPr>
        <w:numId w:val="0"/>
      </w:numPr>
      <w:tabs>
        <w:tab w:val="right" w:leader="dot" w:pos="4176"/>
      </w:tabs>
    </w:pPr>
  </w:style>
  <w:style w:type="paragraph" w:styleId="ListNumber2">
    <w:name w:val="List Number 2"/>
    <w:basedOn w:val="List2"/>
    <w:rsid w:val="00B23FF3"/>
    <w:pPr>
      <w:numPr>
        <w:numId w:val="10"/>
      </w:numPr>
      <w:tabs>
        <w:tab w:val="clear" w:pos="1060"/>
      </w:tabs>
    </w:pPr>
  </w:style>
  <w:style w:type="paragraph" w:customStyle="1" w:styleId="MarginNote">
    <w:name w:val="Margin Note"/>
    <w:basedOn w:val="BodyText"/>
    <w:rsid w:val="00B23F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3F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3F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3FF3"/>
    <w:rPr>
      <w:sz w:val="32"/>
    </w:rPr>
  </w:style>
  <w:style w:type="paragraph" w:customStyle="1" w:styleId="HeadingProcedure">
    <w:name w:val="Heading Procedure"/>
    <w:basedOn w:val="HeadingBase"/>
    <w:next w:val="Normal"/>
    <w:rsid w:val="00B23FF3"/>
    <w:pPr>
      <w:tabs>
        <w:tab w:val="left" w:pos="0"/>
      </w:tabs>
      <w:spacing w:before="120" w:after="60"/>
    </w:pPr>
    <w:rPr>
      <w:i/>
      <w:color w:val="918585"/>
      <w:sz w:val="22"/>
    </w:rPr>
  </w:style>
  <w:style w:type="paragraph" w:customStyle="1" w:styleId="TableBodyText">
    <w:name w:val="Table Body Text"/>
    <w:basedOn w:val="BodyText"/>
    <w:rsid w:val="00B23FF3"/>
    <w:pPr>
      <w:spacing w:before="60" w:after="60"/>
    </w:pPr>
  </w:style>
  <w:style w:type="paragraph" w:styleId="ListContinue">
    <w:name w:val="List Continue"/>
    <w:basedOn w:val="List"/>
    <w:rsid w:val="00B23FF3"/>
    <w:pPr>
      <w:ind w:firstLine="0"/>
    </w:pPr>
  </w:style>
  <w:style w:type="paragraph" w:customStyle="1" w:styleId="ListNote">
    <w:name w:val="List Note"/>
    <w:basedOn w:val="List"/>
    <w:rsid w:val="00B23FF3"/>
    <w:pPr>
      <w:pBdr>
        <w:top w:val="single" w:sz="6" w:space="2" w:color="918585"/>
        <w:bottom w:val="single" w:sz="6" w:space="2" w:color="918585"/>
      </w:pBdr>
      <w:tabs>
        <w:tab w:val="left" w:pos="1021"/>
      </w:tabs>
      <w:ind w:firstLine="0"/>
    </w:pPr>
  </w:style>
  <w:style w:type="paragraph" w:customStyle="1" w:styleId="Warning">
    <w:name w:val="Warning"/>
    <w:basedOn w:val="BodyText"/>
    <w:rsid w:val="00B23FF3"/>
    <w:pPr>
      <w:shd w:val="clear" w:color="auto" w:fill="D9D9D9"/>
      <w:tabs>
        <w:tab w:val="left" w:pos="992"/>
      </w:tabs>
      <w:ind w:left="119" w:right="119"/>
    </w:pPr>
    <w:rPr>
      <w:sz w:val="20"/>
    </w:rPr>
  </w:style>
  <w:style w:type="paragraph" w:customStyle="1" w:styleId="MarginIcons">
    <w:name w:val="Margin Icons"/>
    <w:basedOn w:val="BodyText"/>
    <w:rsid w:val="00B23F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3FF3"/>
    <w:rPr>
      <w:rFonts w:ascii="Courier New" w:hAnsi="Courier New"/>
    </w:rPr>
  </w:style>
  <w:style w:type="paragraph" w:customStyle="1" w:styleId="NoteBullet">
    <w:name w:val="Note Bullet"/>
    <w:basedOn w:val="Note"/>
    <w:rsid w:val="00B23FF3"/>
    <w:pPr>
      <w:tabs>
        <w:tab w:val="clear" w:pos="680"/>
      </w:tabs>
      <w:spacing w:before="60" w:after="60"/>
    </w:pPr>
  </w:style>
  <w:style w:type="paragraph" w:customStyle="1" w:styleId="SubHeading2">
    <w:name w:val="SubHeading2"/>
    <w:basedOn w:val="HeadingBase"/>
    <w:rsid w:val="00B23FF3"/>
    <w:pPr>
      <w:spacing w:before="240" w:after="60"/>
    </w:pPr>
    <w:rPr>
      <w:sz w:val="20"/>
    </w:rPr>
  </w:style>
  <w:style w:type="paragraph" w:customStyle="1" w:styleId="SubHeading1">
    <w:name w:val="SubHeading1"/>
    <w:basedOn w:val="HeadingBase"/>
    <w:rsid w:val="00B23FF3"/>
    <w:pPr>
      <w:spacing w:before="240" w:after="60"/>
    </w:pPr>
    <w:rPr>
      <w:color w:val="918585"/>
      <w:sz w:val="22"/>
    </w:rPr>
  </w:style>
  <w:style w:type="paragraph" w:customStyle="1" w:styleId="SideHeading">
    <w:name w:val="Side Heading"/>
    <w:basedOn w:val="HeadingBase"/>
    <w:rsid w:val="00B23F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3FF3"/>
    <w:pPr>
      <w:numPr>
        <w:numId w:val="12"/>
      </w:numPr>
    </w:pPr>
  </w:style>
  <w:style w:type="paragraph" w:styleId="PlainText">
    <w:name w:val="Plain Text"/>
    <w:basedOn w:val="Normal"/>
    <w:link w:val="PlainTextChar"/>
    <w:rsid w:val="00B23FF3"/>
    <w:rPr>
      <w:sz w:val="20"/>
    </w:rPr>
  </w:style>
  <w:style w:type="character" w:customStyle="1" w:styleId="PlainTextChar">
    <w:name w:val="Plain Text Char"/>
    <w:basedOn w:val="DefaultParagraphFont"/>
    <w:link w:val="PlainText"/>
    <w:rsid w:val="00B23FF3"/>
    <w:rPr>
      <w:rFonts w:ascii="Courier New" w:eastAsia="Times New Roman" w:hAnsi="Courier New" w:cs="Times New Roman"/>
      <w:sz w:val="20"/>
      <w:szCs w:val="20"/>
      <w:lang w:eastAsia="en-US"/>
    </w:rPr>
  </w:style>
  <w:style w:type="character" w:customStyle="1" w:styleId="MenuOption">
    <w:name w:val="Menu Option"/>
    <w:basedOn w:val="DefaultParagraphFont"/>
    <w:rsid w:val="00B23FF3"/>
    <w:rPr>
      <w:b/>
      <w:smallCaps/>
    </w:rPr>
  </w:style>
  <w:style w:type="paragraph" w:customStyle="1" w:styleId="TableListNumber">
    <w:name w:val="Table List Number"/>
    <w:basedOn w:val="ListNumber"/>
    <w:rsid w:val="00B23FF3"/>
    <w:pPr>
      <w:numPr>
        <w:numId w:val="0"/>
      </w:numPr>
    </w:pPr>
  </w:style>
  <w:style w:type="paragraph" w:styleId="TOC4">
    <w:name w:val="toc 4"/>
    <w:basedOn w:val="TOCBase"/>
    <w:next w:val="Normal"/>
    <w:semiHidden/>
    <w:rsid w:val="00B23FF3"/>
    <w:pPr>
      <w:tabs>
        <w:tab w:val="right" w:leader="dot" w:pos="9071"/>
      </w:tabs>
      <w:ind w:left="1701"/>
    </w:pPr>
  </w:style>
  <w:style w:type="paragraph" w:customStyle="1" w:styleId="ListAlpha">
    <w:name w:val="List Alpha"/>
    <w:basedOn w:val="List"/>
    <w:rsid w:val="00B23FF3"/>
    <w:pPr>
      <w:numPr>
        <w:numId w:val="9"/>
      </w:numPr>
    </w:pPr>
  </w:style>
  <w:style w:type="paragraph" w:customStyle="1" w:styleId="ListAlpha2">
    <w:name w:val="List Alpha 2"/>
    <w:basedOn w:val="List2"/>
    <w:rsid w:val="00B23FF3"/>
    <w:pPr>
      <w:numPr>
        <w:numId w:val="8"/>
      </w:numPr>
    </w:pPr>
  </w:style>
  <w:style w:type="paragraph" w:styleId="List2">
    <w:name w:val="List 2"/>
    <w:basedOn w:val="BodyText"/>
    <w:rsid w:val="00B23FF3"/>
    <w:pPr>
      <w:tabs>
        <w:tab w:val="left" w:pos="680"/>
      </w:tabs>
      <w:spacing w:before="60" w:after="60"/>
      <w:ind w:left="680" w:hanging="340"/>
    </w:pPr>
  </w:style>
  <w:style w:type="paragraph" w:styleId="List3">
    <w:name w:val="List 3"/>
    <w:basedOn w:val="BodyText"/>
    <w:rsid w:val="00B23FF3"/>
    <w:pPr>
      <w:tabs>
        <w:tab w:val="left" w:pos="1021"/>
      </w:tabs>
      <w:spacing w:before="60" w:after="60"/>
      <w:ind w:left="1020" w:hanging="340"/>
    </w:pPr>
  </w:style>
  <w:style w:type="paragraph" w:styleId="List4">
    <w:name w:val="List 4"/>
    <w:basedOn w:val="BodyText"/>
    <w:rsid w:val="00B23FF3"/>
    <w:pPr>
      <w:tabs>
        <w:tab w:val="left" w:pos="1361"/>
      </w:tabs>
      <w:spacing w:before="60" w:after="60"/>
      <w:ind w:left="1361" w:hanging="340"/>
    </w:pPr>
  </w:style>
  <w:style w:type="paragraph" w:styleId="List5">
    <w:name w:val="List 5"/>
    <w:basedOn w:val="BodyText"/>
    <w:rsid w:val="00B23FF3"/>
    <w:pPr>
      <w:tabs>
        <w:tab w:val="left" w:pos="1701"/>
      </w:tabs>
      <w:spacing w:before="60" w:after="60"/>
      <w:ind w:left="1701" w:hanging="340"/>
    </w:pPr>
  </w:style>
  <w:style w:type="paragraph" w:styleId="ListBullet3">
    <w:name w:val="List Bullet 3"/>
    <w:basedOn w:val="List3"/>
    <w:rsid w:val="00B23FF3"/>
    <w:pPr>
      <w:numPr>
        <w:numId w:val="15"/>
      </w:numPr>
      <w:tabs>
        <w:tab w:val="clear" w:pos="1021"/>
      </w:tabs>
      <w:ind w:left="1037" w:hanging="357"/>
    </w:pPr>
  </w:style>
  <w:style w:type="paragraph" w:styleId="ListBullet4">
    <w:name w:val="List Bullet 4"/>
    <w:basedOn w:val="List4"/>
    <w:rsid w:val="00B23FF3"/>
    <w:pPr>
      <w:numPr>
        <w:numId w:val="3"/>
      </w:numPr>
    </w:pPr>
  </w:style>
  <w:style w:type="paragraph" w:styleId="ListBullet5">
    <w:name w:val="List Bullet 5"/>
    <w:basedOn w:val="List5"/>
    <w:rsid w:val="00B23FF3"/>
    <w:pPr>
      <w:numPr>
        <w:numId w:val="4"/>
      </w:numPr>
    </w:pPr>
  </w:style>
  <w:style w:type="paragraph" w:styleId="ListContinue3">
    <w:name w:val="List Continue 3"/>
    <w:basedOn w:val="List3"/>
    <w:rsid w:val="00B23FF3"/>
    <w:pPr>
      <w:ind w:left="1021" w:firstLine="0"/>
    </w:pPr>
  </w:style>
  <w:style w:type="paragraph" w:styleId="ListContinue4">
    <w:name w:val="List Continue 4"/>
    <w:basedOn w:val="List4"/>
    <w:rsid w:val="00B23FF3"/>
    <w:pPr>
      <w:ind w:firstLine="0"/>
    </w:pPr>
  </w:style>
  <w:style w:type="paragraph" w:styleId="ListContinue5">
    <w:name w:val="List Continue 5"/>
    <w:basedOn w:val="List5"/>
    <w:rsid w:val="00B23FF3"/>
    <w:pPr>
      <w:ind w:firstLine="0"/>
    </w:pPr>
  </w:style>
  <w:style w:type="paragraph" w:styleId="ListNumber3">
    <w:name w:val="List Number 3"/>
    <w:basedOn w:val="List3"/>
    <w:rsid w:val="00B23FF3"/>
    <w:pPr>
      <w:numPr>
        <w:numId w:val="5"/>
      </w:numPr>
    </w:pPr>
  </w:style>
  <w:style w:type="paragraph" w:styleId="ListNumber4">
    <w:name w:val="List Number 4"/>
    <w:basedOn w:val="List4"/>
    <w:rsid w:val="00B23FF3"/>
    <w:pPr>
      <w:numPr>
        <w:numId w:val="6"/>
      </w:numPr>
    </w:pPr>
  </w:style>
  <w:style w:type="paragraph" w:styleId="ListNumber5">
    <w:name w:val="List Number 5"/>
    <w:basedOn w:val="List5"/>
    <w:rsid w:val="00B23FF3"/>
    <w:pPr>
      <w:numPr>
        <w:numId w:val="7"/>
      </w:numPr>
    </w:pPr>
  </w:style>
  <w:style w:type="paragraph" w:styleId="BlockText">
    <w:name w:val="Block Text"/>
    <w:basedOn w:val="Normal"/>
    <w:rsid w:val="00B23FF3"/>
    <w:pPr>
      <w:spacing w:after="120"/>
      <w:ind w:left="1440" w:right="1440"/>
    </w:pPr>
  </w:style>
  <w:style w:type="character" w:customStyle="1" w:styleId="Subscript">
    <w:name w:val="Subscript"/>
    <w:basedOn w:val="DefaultParagraphFont"/>
    <w:rsid w:val="00B23FF3"/>
    <w:rPr>
      <w:sz w:val="16"/>
      <w:vertAlign w:val="subscript"/>
    </w:rPr>
  </w:style>
  <w:style w:type="character" w:customStyle="1" w:styleId="Superscript">
    <w:name w:val="Superscript"/>
    <w:basedOn w:val="DefaultParagraphFont"/>
    <w:rsid w:val="00B23FF3"/>
    <w:rPr>
      <w:sz w:val="16"/>
      <w:vertAlign w:val="superscript"/>
    </w:rPr>
  </w:style>
  <w:style w:type="character" w:customStyle="1" w:styleId="Symbols">
    <w:name w:val="Symbols"/>
    <w:basedOn w:val="DefaultParagraphFont"/>
    <w:rsid w:val="00B23FF3"/>
    <w:rPr>
      <w:rFonts w:ascii="Symbol" w:hAnsi="Symbol"/>
    </w:rPr>
  </w:style>
  <w:style w:type="character" w:customStyle="1" w:styleId="MenuOptions">
    <w:name w:val="Menu Options"/>
    <w:basedOn w:val="DefaultParagraphFont"/>
    <w:rsid w:val="00B23FF3"/>
    <w:rPr>
      <w:rFonts w:ascii="Arial Narrow" w:hAnsi="Arial Narrow"/>
      <w:smallCaps/>
    </w:rPr>
  </w:style>
  <w:style w:type="character" w:customStyle="1" w:styleId="Buttons">
    <w:name w:val="Buttons"/>
    <w:basedOn w:val="DefaultParagraphFont"/>
    <w:rsid w:val="00B23FF3"/>
    <w:rPr>
      <w:b/>
    </w:rPr>
  </w:style>
  <w:style w:type="character" w:customStyle="1" w:styleId="Underlined">
    <w:name w:val="Underlined"/>
    <w:basedOn w:val="DefaultParagraphFont"/>
    <w:rsid w:val="00B23FF3"/>
    <w:rPr>
      <w:u w:val="single"/>
    </w:rPr>
  </w:style>
  <w:style w:type="paragraph" w:customStyle="1" w:styleId="TableBodyTextRight">
    <w:name w:val="Table Body Text Right"/>
    <w:basedOn w:val="TableBodyText"/>
    <w:rsid w:val="00B23FF3"/>
    <w:pPr>
      <w:widowControl w:val="0"/>
      <w:autoSpaceDE w:val="0"/>
      <w:autoSpaceDN w:val="0"/>
      <w:adjustRightInd w:val="0"/>
      <w:jc w:val="right"/>
    </w:pPr>
    <w:rPr>
      <w:rFonts w:cs="Arial"/>
      <w:szCs w:val="18"/>
    </w:rPr>
  </w:style>
  <w:style w:type="paragraph" w:customStyle="1" w:styleId="CopyrightText">
    <w:name w:val="Copyright Text"/>
    <w:basedOn w:val="BodyText"/>
    <w:rsid w:val="00B23FF3"/>
    <w:rPr>
      <w:sz w:val="18"/>
    </w:rPr>
  </w:style>
  <w:style w:type="paragraph" w:customStyle="1" w:styleId="BodySmallRight">
    <w:name w:val="Body Small Right"/>
    <w:basedOn w:val="BodyTextRight"/>
    <w:rsid w:val="00B23FF3"/>
    <w:rPr>
      <w:sz w:val="18"/>
      <w:szCs w:val="18"/>
    </w:rPr>
  </w:style>
  <w:style w:type="paragraph" w:customStyle="1" w:styleId="MarginEdition">
    <w:name w:val="Margin Edition"/>
    <w:basedOn w:val="MarginNote"/>
    <w:rsid w:val="00B23FF3"/>
    <w:pPr>
      <w:spacing w:before="0" w:after="0"/>
    </w:pPr>
    <w:rPr>
      <w:rFonts w:ascii="Times New Roman" w:hAnsi="Times New Roman"/>
      <w:color w:val="999999"/>
    </w:rPr>
  </w:style>
  <w:style w:type="paragraph" w:customStyle="1" w:styleId="Spacer">
    <w:name w:val="Spacer"/>
    <w:basedOn w:val="Normal"/>
    <w:rsid w:val="00B23FF3"/>
    <w:rPr>
      <w:sz w:val="2"/>
      <w:szCs w:val="2"/>
    </w:rPr>
  </w:style>
  <w:style w:type="character" w:customStyle="1" w:styleId="Small">
    <w:name w:val="Small"/>
    <w:basedOn w:val="DefaultParagraphFont"/>
    <w:rsid w:val="00B23FF3"/>
    <w:rPr>
      <w:sz w:val="16"/>
    </w:rPr>
  </w:style>
  <w:style w:type="paragraph" w:customStyle="1" w:styleId="WideTable">
    <w:name w:val="Wide Table"/>
    <w:basedOn w:val="Normal"/>
    <w:rsid w:val="00B23FF3"/>
    <w:pPr>
      <w:ind w:left="-1418"/>
    </w:pPr>
    <w:rPr>
      <w:sz w:val="2"/>
      <w:szCs w:val="2"/>
    </w:rPr>
  </w:style>
  <w:style w:type="character" w:styleId="PageNumber">
    <w:name w:val="page number"/>
    <w:basedOn w:val="DefaultParagraphFont"/>
    <w:rsid w:val="00B23FF3"/>
  </w:style>
  <w:style w:type="paragraph" w:styleId="Quote">
    <w:name w:val="Quote"/>
    <w:basedOn w:val="Heading1"/>
    <w:link w:val="QuoteChar"/>
    <w:qFormat/>
    <w:rsid w:val="00B23FF3"/>
    <w:rPr>
      <w:b w:val="0"/>
      <w:sz w:val="72"/>
      <w:szCs w:val="72"/>
      <w:lang w:val="en-NZ"/>
    </w:rPr>
  </w:style>
  <w:style w:type="character" w:customStyle="1" w:styleId="QuoteChar">
    <w:name w:val="Quote Char"/>
    <w:basedOn w:val="DefaultParagraphFont"/>
    <w:link w:val="Quote"/>
    <w:rsid w:val="00B23F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3FF3"/>
    <w:pPr>
      <w:pageBreakBefore/>
    </w:pPr>
  </w:style>
  <w:style w:type="paragraph" w:customStyle="1" w:styleId="Border">
    <w:name w:val="Border"/>
    <w:basedOn w:val="Normal"/>
    <w:qFormat/>
    <w:rsid w:val="00B23F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3FF3"/>
    <w:rPr>
      <w:b/>
      <w:bCs/>
      <w:i/>
      <w:iCs/>
      <w:color w:val="auto"/>
    </w:rPr>
  </w:style>
  <w:style w:type="paragraph" w:styleId="IntenseQuote">
    <w:name w:val="Intense Quote"/>
    <w:basedOn w:val="Normal"/>
    <w:next w:val="Normal"/>
    <w:link w:val="IntenseQuoteChar"/>
    <w:uiPriority w:val="30"/>
    <w:qFormat/>
    <w:rsid w:val="00B23F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3F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3FF3"/>
    <w:rPr>
      <w:smallCaps/>
      <w:color w:val="auto"/>
      <w:u w:val="single"/>
    </w:rPr>
  </w:style>
  <w:style w:type="character" w:styleId="IntenseReference">
    <w:name w:val="Intense Reference"/>
    <w:basedOn w:val="DefaultParagraphFont"/>
    <w:uiPriority w:val="32"/>
    <w:qFormat/>
    <w:rsid w:val="00B23FF3"/>
    <w:rPr>
      <w:b/>
      <w:bCs/>
      <w:smallCaps/>
      <w:color w:val="auto"/>
      <w:spacing w:val="5"/>
      <w:u w:val="single"/>
    </w:rPr>
  </w:style>
  <w:style w:type="paragraph" w:customStyle="1" w:styleId="2ColumnHeading">
    <w:name w:val="2Column Heading"/>
    <w:basedOn w:val="BodyText"/>
    <w:qFormat/>
    <w:rsid w:val="00B23FF3"/>
    <w:pPr>
      <w:spacing w:after="60"/>
      <w:ind w:left="-2268"/>
    </w:pPr>
    <w:rPr>
      <w:b/>
    </w:rPr>
  </w:style>
  <w:style w:type="paragraph" w:customStyle="1" w:styleId="Heading1TOC">
    <w:name w:val="Heading1 TOC"/>
    <w:basedOn w:val="Normal"/>
    <w:qFormat/>
    <w:rsid w:val="00B23FF3"/>
    <w:pPr>
      <w:spacing w:before="240" w:after="120"/>
    </w:pPr>
    <w:rPr>
      <w:rFonts w:ascii="Times New Roman" w:hAnsi="Times New Roman"/>
      <w:b/>
      <w:sz w:val="32"/>
    </w:rPr>
  </w:style>
  <w:style w:type="paragraph" w:customStyle="1" w:styleId="Heading2TOC">
    <w:name w:val="Heading2 TOC"/>
    <w:basedOn w:val="Normal"/>
    <w:qFormat/>
    <w:rsid w:val="00B23FF3"/>
    <w:pPr>
      <w:spacing w:before="240" w:after="60"/>
    </w:pPr>
    <w:rPr>
      <w:rFonts w:ascii="Times New Roman" w:hAnsi="Times New Roman"/>
      <w:b/>
      <w:sz w:val="28"/>
    </w:rPr>
  </w:style>
  <w:style w:type="character" w:customStyle="1" w:styleId="Underline">
    <w:name w:val="Underline"/>
    <w:basedOn w:val="DefaultParagraphFont"/>
    <w:qFormat/>
    <w:rsid w:val="00B23FF3"/>
    <w:rPr>
      <w:u w:val="single"/>
    </w:rPr>
  </w:style>
  <w:style w:type="character" w:customStyle="1" w:styleId="BoldandItalics">
    <w:name w:val="Bold and Italics"/>
    <w:qFormat/>
    <w:rsid w:val="00B23FF3"/>
    <w:rPr>
      <w:b/>
      <w:i/>
      <w:u w:val="none"/>
    </w:rPr>
  </w:style>
  <w:style w:type="paragraph" w:styleId="BalloonText">
    <w:name w:val="Balloon Text"/>
    <w:basedOn w:val="Normal"/>
    <w:link w:val="BalloonTextChar"/>
    <w:rsid w:val="00B23FF3"/>
    <w:rPr>
      <w:rFonts w:ascii="Tahoma" w:hAnsi="Tahoma" w:cs="Tahoma"/>
      <w:sz w:val="16"/>
      <w:szCs w:val="16"/>
    </w:rPr>
  </w:style>
  <w:style w:type="character" w:customStyle="1" w:styleId="BalloonTextChar">
    <w:name w:val="Balloon Text Char"/>
    <w:basedOn w:val="DefaultParagraphFont"/>
    <w:link w:val="BalloonText"/>
    <w:rsid w:val="00B23F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3FF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3F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3FF3"/>
    <w:rPr>
      <w:b/>
      <w:color w:val="660033"/>
      <w:spacing w:val="0"/>
    </w:rPr>
  </w:style>
  <w:style w:type="paragraph" w:customStyle="1" w:styleId="Nameditemlist">
    <w:name w:val="Named item list"/>
    <w:basedOn w:val="BodyText"/>
    <w:qFormat/>
    <w:rsid w:val="00B23FF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2658</Words>
  <Characters>16248</Characters>
  <Application>Microsoft Office Word</Application>
  <DocSecurity>0</DocSecurity>
  <Lines>610</Lines>
  <Paragraphs>255</Paragraphs>
  <ScaleCrop>false</ScaleCrop>
  <Company>Author-it Software Corporation Ltd.</Company>
  <LinksUpToDate>false</LinksUpToDate>
  <CharactersWithSpaces>18741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UEGNSG804A Maintain Single Stage and Single Run Gas Flow and Pressure Control and Measuring Devices</dc:title>
  <dc:subject>Approved</dc:subject>
  <dc:creator>E-Oz Training Standards</dc:creator>
  <cp:keywords>Release 1</cp:keywords>
  <dc:description>Review Date: 12 April 2008</dc:description>
  <cp:lastModifiedBy>HSD_TPCMSd.prod</cp:lastModifiedBy>
  <cp:revision>3</cp:revision>
  <dcterms:created xsi:type="dcterms:W3CDTF">2014-03-13T15:18:50Z</dcterms:created>
  <dcterms:modified xsi:type="dcterms:W3CDTF">2014-03-13T03:46:00Z</dcterms:modified>
</cp:coreProperties>
</file>