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3DF" w:rsidP="009623DF">
      <w:pPr>
        <w:pStyle w:val="Title"/>
      </w:pPr>
      <w:r>
        <w:fldChar w:fldCharType="begin"/>
      </w:r>
      <w:r>
        <w:instrText xml:space="preserve"> TITLE   \* MERGEFORMAT </w:instrText>
      </w:r>
      <w:r>
        <w:fldChar w:fldCharType="separate"/>
      </w:r>
      <w:r>
        <w:t>UEGNSG706A Test New Residential and Small Commercial Gas Installations</w:t>
      </w:r>
      <w:r>
        <w:fldChar w:fldCharType="end"/>
      </w:r>
    </w:p>
    <w:p w:rsidR="009623DF" w:rsidP="009623DF">
      <w:pPr>
        <w:pStyle w:val="Version"/>
        <w:sectPr w:rsidSect="002161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14B" w:rsidP="0021614B">
      <w:pPr>
        <w:pStyle w:val="SuperHeading"/>
      </w:pPr>
      <w:r w:rsidRPr="0021614B">
        <w:t>UEGNSG706A Test New Residential and Small Commercial Gas Installations</w:t>
      </w:r>
    </w:p>
    <w:p w:rsidR="00000000" w:rsidRPr="0021614B" w:rsidP="0021614B">
      <w:pPr>
        <w:pStyle w:val="Heading1"/>
      </w:pPr>
      <w:bookmarkStart w:id="1" w:name="O_613312"/>
      <w:bookmarkEnd w:id="1"/>
      <w:r w:rsidRPr="0021614B">
        <w:t>Modification History</w:t>
      </w:r>
    </w:p>
    <w:p w:rsidR="00000000" w:rsidRPr="0021614B" w:rsidP="0021614B">
      <w:pPr>
        <w:pStyle w:val="BodyText"/>
      </w:pPr>
      <w:r w:rsidRPr="0021614B">
        <w:t>Not applicable.</w:t>
      </w:r>
    </w:p>
    <w:p w:rsidR="00000000" w:rsidRPr="0021614B" w:rsidP="0021614B">
      <w:pPr>
        <w:pStyle w:val="AllowPageBreak"/>
      </w:pPr>
    </w:p>
    <w:p w:rsidR="00000000" w:rsidRPr="0021614B" w:rsidP="0021614B">
      <w:pPr>
        <w:pStyle w:val="Heading1"/>
      </w:pPr>
      <w:bookmarkStart w:id="2" w:name="O_613313"/>
      <w:bookmarkEnd w:id="2"/>
      <w:r w:rsidRPr="0021614B">
        <w:t>Unit Descriptor</w:t>
      </w:r>
    </w:p>
    <w:tbl>
      <w:tblPr>
        <w:tblW w:w="0" w:type="auto"/>
        <w:tblLayout w:type="fixed"/>
        <w:tblCellMar>
          <w:left w:w="62" w:type="dxa"/>
          <w:right w:w="62" w:type="dxa"/>
        </w:tblCellMar>
        <w:tblLook w:val="0000"/>
      </w:tblPr>
      <w:tblGrid>
        <w:gridCol w:w="2638"/>
        <w:gridCol w:w="5760"/>
      </w:tblGrid>
      <w:tr w:rsidTr="0021614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1) Scope:</w:t>
            </w:r>
          </w:p>
        </w:tc>
      </w:tr>
      <w:tr w:rsidTr="0021614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21614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1.1) Descriptor</w:t>
            </w:r>
          </w:p>
        </w:tc>
      </w:tr>
      <w:tr w:rsidTr="0021614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This unit covers conformance testing of new residential and small commercial gas installations and associated components by a designated gas industry person following company standard operating procedures in accordance with relevant legislative, standard a</w:t>
            </w:r>
            <w:r w:rsidRPr="0021614B">
              <w:t xml:space="preserve">nd code requirements. </w:t>
            </w:r>
          </w:p>
          <w:p w:rsidR="00000000" w:rsidRPr="0021614B" w:rsidP="0021614B">
            <w:pPr>
              <w:pStyle w:val="BodyText"/>
            </w:pPr>
          </w:p>
          <w:p w:rsidR="00000000" w:rsidRPr="0021614B" w:rsidP="0021614B">
            <w:pPr>
              <w:pStyle w:val="BodyText"/>
            </w:pPr>
            <w:r w:rsidRPr="0021614B">
              <w:t>It encompasses the use of hand tools and testing equipment to pressure test the customer piping system and associated gas meter connections filters, regulators and components and inspecting the installation to meet AS5601 and State/</w:t>
            </w:r>
            <w:r w:rsidRPr="0021614B">
              <w:t>Territory regulatory requirements and completing required records and appropriate documentation.</w:t>
            </w:r>
          </w:p>
        </w:tc>
      </w:tr>
    </w:tbl>
    <w:p w:rsidR="009623DF" w:rsidP="0021614B">
      <w:pPr>
        <w:pStyle w:val="BodyText"/>
      </w:pPr>
    </w:p>
    <w:p w:rsidR="009623DF" w:rsidP="0021614B">
      <w:pPr>
        <w:pStyle w:val="BodyText"/>
      </w:pPr>
    </w:p>
    <w:p w:rsidR="00000000" w:rsidRPr="0021614B" w:rsidP="0021614B">
      <w:pPr>
        <w:pStyle w:val="Heading1"/>
      </w:pPr>
      <w:bookmarkStart w:id="3" w:name="O_613314"/>
      <w:bookmarkEnd w:id="3"/>
      <w:r w:rsidRPr="0021614B">
        <w:t>Application of the Unit</w:t>
      </w:r>
    </w:p>
    <w:tbl>
      <w:tblPr>
        <w:tblW w:w="0" w:type="auto"/>
        <w:tblLayout w:type="fixed"/>
        <w:tblCellMar>
          <w:left w:w="62" w:type="dxa"/>
          <w:right w:w="62" w:type="dxa"/>
        </w:tblCellMar>
        <w:tblLook w:val="0000"/>
      </w:tblPr>
      <w:tblGrid>
        <w:gridCol w:w="2610"/>
        <w:gridCol w:w="5699"/>
      </w:tblGrid>
      <w:tr w:rsidTr="0021614B">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2)</w:t>
            </w:r>
          </w:p>
        </w:tc>
      </w:tr>
      <w:tr w:rsidTr="0021614B">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This competency standard shall apply to any new residential and small commercial gas installation, subject to all Workplace Health and Safety (WHS)/Occupational Health and Safety (OHS) and duty of care requirements being met for the workplace.</w:t>
            </w:r>
          </w:p>
          <w:p w:rsidR="00000000" w:rsidRPr="0021614B" w:rsidP="0021614B">
            <w:pPr>
              <w:pStyle w:val="BodyText"/>
            </w:pPr>
          </w:p>
          <w:p w:rsidR="00000000" w:rsidRPr="0021614B" w:rsidP="0021614B">
            <w:pPr>
              <w:pStyle w:val="BodyText"/>
            </w:pPr>
            <w:r w:rsidRPr="0021614B">
              <w:t>This unit i</w:t>
            </w:r>
            <w:r w:rsidRPr="0021614B">
              <w:t>s intended as an AQF 3 competency for new entrants in the gas industry. It is suitable for pre-employment and employment-based programs under an approved contract of training.</w:t>
            </w:r>
          </w:p>
        </w:tc>
      </w:tr>
    </w:tbl>
    <w:p w:rsidR="009623DF" w:rsidP="0021614B">
      <w:pPr>
        <w:pStyle w:val="BodyText"/>
      </w:pPr>
    </w:p>
    <w:p w:rsidR="009623DF" w:rsidP="0021614B">
      <w:pPr>
        <w:pStyle w:val="BodyText"/>
      </w:pPr>
    </w:p>
    <w:p w:rsidR="00000000" w:rsidRPr="0021614B" w:rsidP="0021614B">
      <w:pPr>
        <w:pStyle w:val="Heading1"/>
      </w:pPr>
      <w:bookmarkStart w:id="4" w:name="O_613315"/>
      <w:bookmarkEnd w:id="4"/>
      <w:r w:rsidRPr="0021614B">
        <w:t>Licensing/Regulatory Information</w:t>
      </w:r>
    </w:p>
    <w:tbl>
      <w:tblPr>
        <w:tblW w:w="0" w:type="auto"/>
        <w:tblLayout w:type="fixed"/>
        <w:tblCellMar>
          <w:left w:w="62" w:type="dxa"/>
          <w:right w:w="62" w:type="dxa"/>
        </w:tblCellMar>
        <w:tblLook w:val="0000"/>
      </w:tblPr>
      <w:tblGrid>
        <w:gridCol w:w="2638"/>
        <w:gridCol w:w="5760"/>
      </w:tblGrid>
      <w:tr w:rsidTr="0021614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 xml:space="preserve">3) </w:t>
            </w:r>
          </w:p>
        </w:tc>
      </w:tr>
      <w:tr w:rsidTr="0021614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21614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 xml:space="preserve">During Training: </w:t>
            </w:r>
          </w:p>
          <w:p w:rsidR="00000000" w:rsidRPr="0021614B" w:rsidP="0021614B">
            <w:pPr>
              <w:pStyle w:val="BodyText"/>
            </w:pPr>
            <w:r w:rsidRPr="0021614B">
              <w:t>Competency development activities are subject to regulations directly related to licensing, workplace health and safety/occupational health and safety and where applicable contracts of training.</w:t>
            </w:r>
          </w:p>
          <w:p w:rsidR="00000000" w:rsidRPr="0021614B" w:rsidP="0021614B">
            <w:pPr>
              <w:pStyle w:val="BodyText"/>
            </w:pPr>
          </w:p>
          <w:p w:rsidR="00000000" w:rsidRPr="0021614B" w:rsidP="0021614B">
            <w:pPr>
              <w:pStyle w:val="BodyText"/>
            </w:pPr>
            <w:r w:rsidRPr="0021614B">
              <w:rPr>
                <w:rStyle w:val="SpecialBold"/>
              </w:rPr>
              <w:t xml:space="preserve">In the workplace: </w:t>
            </w:r>
          </w:p>
          <w:p w:rsidR="00000000" w:rsidRPr="0021614B" w:rsidP="0021614B">
            <w:pPr>
              <w:pStyle w:val="BodyText"/>
            </w:pPr>
            <w:r w:rsidRPr="0021614B">
              <w:t xml:space="preserve">The application of the </w:t>
            </w:r>
            <w:r w:rsidRPr="0021614B">
              <w:t>skills and knowledge described in this unit require a license to practice in the workplace where work is carried out on electrical equipment or installations which are designed to operate at voltages greater than 50 V a.c. or 120 V d.c.</w:t>
            </w:r>
          </w:p>
          <w:p w:rsidR="00000000" w:rsidRPr="0021614B" w:rsidP="0021614B">
            <w:pPr>
              <w:pStyle w:val="BodyText"/>
            </w:pPr>
          </w:p>
          <w:p w:rsidR="00000000" w:rsidRPr="0021614B" w:rsidP="0021614B">
            <w:pPr>
              <w:pStyle w:val="BodyText"/>
            </w:pPr>
            <w:r w:rsidRPr="0021614B">
              <w:t>The skills and kno</w:t>
            </w:r>
            <w:r w:rsidRPr="0021614B">
              <w:t>wledge described in this unit are subject to licence regulation directly related to Workplace Health and Safety (WHS)/Occupational Health and Safety (OHS), gas/electricity/water industry safety and compliance, industrial relations, environmental protection</w:t>
            </w:r>
            <w:r w:rsidRPr="0021614B">
              <w:t xml:space="preserve">, telecommunications, anti discrimination and training. </w:t>
            </w:r>
          </w:p>
          <w:p w:rsidR="00000000" w:rsidRPr="0021614B" w:rsidP="0021614B">
            <w:pPr>
              <w:pStyle w:val="BodyText"/>
            </w:pPr>
          </w:p>
          <w:p w:rsidR="00000000" w:rsidRPr="0021614B" w:rsidP="0021614B">
            <w:pPr>
              <w:pStyle w:val="BodyText"/>
            </w:pPr>
            <w:r w:rsidRPr="0021614B">
              <w:t xml:space="preserve">Note: </w:t>
            </w:r>
          </w:p>
          <w:p w:rsidR="00000000" w:rsidRPr="0021614B" w:rsidP="0021614B">
            <w:pPr>
              <w:pStyle w:val="BodyText"/>
            </w:pPr>
            <w:r w:rsidRPr="0021614B">
              <w:t>Other conditions may apply under State and Territory legislative and regulatory requirements, for example:</w:t>
            </w:r>
          </w:p>
          <w:p w:rsidR="00000000" w:rsidRPr="0021614B" w:rsidP="0021614B">
            <w:pPr>
              <w:pStyle w:val="BodyText"/>
            </w:pPr>
            <w:r w:rsidRPr="0021614B">
              <w:t>1. Compliance with permits may be required in various jurisdictions and typically re</w:t>
            </w:r>
            <w:r w:rsidRPr="0021614B">
              <w:t xml:space="preserve">lates to the operation of plant, machinery and equipment such as elevating work platforms, powder operated fixing tools, power operated tools, vehicles, road signage and traffic control, lifting equipment. </w:t>
            </w:r>
          </w:p>
          <w:p w:rsidR="00000000" w:rsidRPr="0021614B" w:rsidP="0021614B">
            <w:pPr>
              <w:pStyle w:val="BodyText"/>
            </w:pPr>
            <w:r w:rsidRPr="0021614B">
              <w:t>Permits may also be required for some work enviro</w:t>
            </w:r>
            <w:r w:rsidRPr="0021614B">
              <w:t>nments such as hazardous areas, confined spaces, working aloft, near live electrical devices, site rehabilitation.</w:t>
            </w:r>
          </w:p>
          <w:p w:rsidR="00000000" w:rsidRPr="0021614B" w:rsidP="0021614B">
            <w:pPr>
              <w:pStyle w:val="BodyText"/>
            </w:pPr>
            <w:r w:rsidRPr="0021614B">
              <w:t>2. Compliance may be required in various jurisdictions relating to currency in First Aid, hazardous areas, confined space, lifting and risk s</w:t>
            </w:r>
            <w:r w:rsidRPr="0021614B">
              <w:t>afety measures</w:t>
            </w:r>
          </w:p>
          <w:p w:rsidR="00000000" w:rsidRPr="0021614B" w:rsidP="0021614B">
            <w:pPr>
              <w:pStyle w:val="BodyText"/>
            </w:pPr>
            <w:r w:rsidRPr="0021614B">
              <w:t xml:space="preserve">Commonwealth, State/Territory or Local Government legislation and regulations may exist that limit the age at which a person can operate certain equipment.  </w:t>
            </w:r>
          </w:p>
        </w:tc>
      </w:tr>
    </w:tbl>
    <w:p w:rsidR="009623DF" w:rsidP="0021614B">
      <w:pPr>
        <w:pStyle w:val="BodyText"/>
      </w:pPr>
    </w:p>
    <w:p w:rsidR="009623DF" w:rsidP="0021614B">
      <w:pPr>
        <w:pStyle w:val="BodyText"/>
      </w:pPr>
    </w:p>
    <w:p w:rsidR="00000000" w:rsidRPr="0021614B" w:rsidP="0021614B">
      <w:pPr>
        <w:pStyle w:val="Heading1"/>
      </w:pPr>
      <w:bookmarkStart w:id="5" w:name="O_613316"/>
      <w:bookmarkEnd w:id="5"/>
      <w:r w:rsidRPr="0021614B">
        <w:t>Pre-Requisites</w:t>
      </w:r>
    </w:p>
    <w:tbl>
      <w:tblPr>
        <w:tblW w:w="0" w:type="auto"/>
        <w:tblLayout w:type="fixed"/>
        <w:tblCellMar>
          <w:left w:w="62" w:type="dxa"/>
          <w:right w:w="62" w:type="dxa"/>
        </w:tblCellMar>
        <w:tblLook w:val="0000"/>
      </w:tblPr>
      <w:tblGrid>
        <w:gridCol w:w="2638"/>
        <w:gridCol w:w="1592"/>
        <w:gridCol w:w="4168"/>
      </w:tblGrid>
      <w:tr w:rsidTr="009623DF">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 xml:space="preserve">4) </w:t>
            </w:r>
          </w:p>
        </w:tc>
      </w:tr>
      <w:tr w:rsidTr="009623D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4.1)</w:t>
            </w:r>
          </w:p>
        </w:tc>
      </w:tr>
      <w:tr w:rsidTr="009623D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Granting of competency in this unit shall be made only after competency in the following unit(s) has/have been confirmed:</w:t>
            </w:r>
          </w:p>
        </w:tc>
      </w:tr>
      <w:tr w:rsidTr="009623D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UEGNSG141A</w:t>
            </w:r>
          </w:p>
        </w:tc>
        <w:tc>
          <w:tcPr>
            <w:tcW w:w="416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Apply Workplace Health and Safety regulations, codes and practices in the gas industry</w:t>
            </w:r>
          </w:p>
        </w:tc>
      </w:tr>
      <w:tr w:rsidTr="009623D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UEGNSG005A</w:t>
            </w:r>
          </w:p>
        </w:tc>
        <w:tc>
          <w:tcPr>
            <w:tcW w:w="416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Prepare to work in t</w:t>
            </w:r>
            <w:r w:rsidRPr="0021614B">
              <w:t>he Australian gas industry</w:t>
            </w:r>
          </w:p>
        </w:tc>
      </w:tr>
    </w:tbl>
    <w:p w:rsidR="00000000" w:rsidRPr="0021614B" w:rsidP="0021614B">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21614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4.2)</w:t>
            </w:r>
            <w:r w:rsidRPr="0021614B">
              <w:t xml:space="preserve"> </w:t>
            </w:r>
          </w:p>
          <w:p w:rsidR="00000000" w:rsidP="0021614B">
            <w:pPr>
              <w:pStyle w:val="BodyText"/>
              <w:rPr>
                <w:lang w:val="en-NZ"/>
              </w:rPr>
            </w:pPr>
            <w:r w:rsidRPr="0021614B">
              <w:t xml:space="preserve">Participants are best equipped to achieve this unit if they have reading, writing and numeracy skills indicated by the following scales. Description of each scale is given in Volume 2, Part 3 </w:t>
            </w:r>
            <w:r w:rsidRPr="0021614B">
              <w:t>'Literacy and Numeracy'</w:t>
            </w:r>
          </w:p>
        </w:tc>
      </w:tr>
      <w:tr w:rsidTr="0021614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Reading</w:t>
            </w:r>
          </w:p>
        </w:tc>
        <w:tc>
          <w:tcPr>
            <w:tcW w:w="81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3</w:t>
            </w:r>
          </w:p>
        </w:tc>
        <w:tc>
          <w:tcPr>
            <w:tcW w:w="99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Writing</w:t>
            </w: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3</w:t>
            </w:r>
          </w:p>
        </w:tc>
        <w:tc>
          <w:tcPr>
            <w:tcW w:w="12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Numeracy</w:t>
            </w:r>
          </w:p>
        </w:tc>
        <w:tc>
          <w:tcPr>
            <w:tcW w:w="72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3</w:t>
            </w:r>
          </w:p>
        </w:tc>
      </w:tr>
    </w:tbl>
    <w:p w:rsidR="00000000" w:rsidRPr="0021614B" w:rsidP="0021614B">
      <w:pPr>
        <w:pStyle w:val="BodyText"/>
      </w:pPr>
    </w:p>
    <w:p w:rsidR="00000000" w:rsidRPr="0021614B" w:rsidP="0021614B">
      <w:pPr>
        <w:pStyle w:val="AllowPageBreak"/>
      </w:pPr>
    </w:p>
    <w:p w:rsidR="00000000" w:rsidRPr="0021614B" w:rsidP="0021614B">
      <w:pPr>
        <w:pStyle w:val="Heading1"/>
      </w:pPr>
      <w:bookmarkStart w:id="6" w:name="O_613317"/>
      <w:bookmarkEnd w:id="6"/>
      <w:r w:rsidRPr="0021614B">
        <w:t>Employability Skills Information</w:t>
      </w:r>
    </w:p>
    <w:tbl>
      <w:tblPr>
        <w:tblW w:w="0" w:type="auto"/>
        <w:tblLayout w:type="fixed"/>
        <w:tblCellMar>
          <w:left w:w="62" w:type="dxa"/>
          <w:right w:w="62" w:type="dxa"/>
        </w:tblCellMar>
        <w:tblLook w:val="0000"/>
      </w:tblPr>
      <w:tblGrid>
        <w:gridCol w:w="2638"/>
        <w:gridCol w:w="5760"/>
      </w:tblGrid>
      <w:tr w:rsidTr="0021614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 xml:space="preserve">5) </w:t>
            </w:r>
          </w:p>
        </w:tc>
      </w:tr>
      <w:tr w:rsidTr="0021614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1614B">
              <w:t>requirements.</w:t>
            </w:r>
          </w:p>
        </w:tc>
      </w:tr>
    </w:tbl>
    <w:p w:rsidR="009623DF" w:rsidP="0021614B">
      <w:pPr>
        <w:pStyle w:val="BodyText"/>
      </w:pPr>
    </w:p>
    <w:p w:rsidR="009623DF" w:rsidP="0021614B">
      <w:pPr>
        <w:pStyle w:val="BodyText"/>
      </w:pPr>
    </w:p>
    <w:p w:rsidR="00000000" w:rsidRPr="0021614B" w:rsidP="0021614B">
      <w:pPr>
        <w:pStyle w:val="Heading1"/>
      </w:pPr>
      <w:bookmarkStart w:id="7" w:name="O_613318"/>
      <w:bookmarkEnd w:id="7"/>
      <w:r w:rsidRPr="0021614B">
        <w:t>Elements and Performance Criteria Pre-Content</w:t>
      </w:r>
    </w:p>
    <w:tbl>
      <w:tblPr>
        <w:tblW w:w="0" w:type="auto"/>
        <w:tblLayout w:type="fixed"/>
        <w:tblCellMar>
          <w:left w:w="62" w:type="dxa"/>
          <w:right w:w="62" w:type="dxa"/>
        </w:tblCellMar>
        <w:tblLook w:val="0000"/>
      </w:tblPr>
      <w:tblGrid>
        <w:gridCol w:w="2638"/>
        <w:gridCol w:w="5760"/>
      </w:tblGrid>
      <w:tr w:rsidTr="0021614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6)</w:t>
            </w:r>
            <w:r w:rsidRPr="0021614B">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Emphasis"/>
              </w:rPr>
              <w:t>Performance Criteria describe the required performance needed to demonstrate achievement of the element. Assessment of performance is to be consistent with the Evidence Guide.</w:t>
            </w:r>
          </w:p>
        </w:tc>
      </w:tr>
    </w:tbl>
    <w:p w:rsidR="009623DF" w:rsidP="0021614B">
      <w:pPr>
        <w:pStyle w:val="BodyText"/>
      </w:pPr>
    </w:p>
    <w:p w:rsidR="009623DF" w:rsidP="0021614B">
      <w:pPr>
        <w:pStyle w:val="BodyText"/>
      </w:pPr>
    </w:p>
    <w:p w:rsidR="00000000" w:rsidRPr="0021614B" w:rsidP="0021614B">
      <w:pPr>
        <w:pStyle w:val="Heading1"/>
      </w:pPr>
      <w:bookmarkStart w:id="8" w:name="O_613319"/>
      <w:bookmarkEnd w:id="8"/>
      <w:r w:rsidRPr="0021614B">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21614B">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PERFORMANCE CRITERIA</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1</w:t>
            </w:r>
          </w:p>
        </w:tc>
        <w:tc>
          <w:tcPr>
            <w:tcW w:w="2296" w:type="dxa"/>
            <w:vMerge w:val="restart"/>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Prepare to test new gas installation</w:t>
            </w: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1.1</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Work instructions are received and confirmed to ensure clear understanding</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1.2</w:t>
            </w:r>
          </w:p>
        </w:tc>
        <w:tc>
          <w:tcPr>
            <w:tcW w:w="486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 xml:space="preserve">Relevant requirements and established procedures to be followed for the work are discussed with relevant persons to establish and confirm the work schedule </w:t>
            </w:r>
          </w:p>
          <w:p w:rsidR="00000000" w:rsidP="0021614B">
            <w:pPr>
              <w:pStyle w:val="BodyText"/>
              <w:rPr>
                <w:lang w:val="en-NZ"/>
              </w:rPr>
            </w:pP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1.3</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WHS/OHS, environmental and sustainable energy policies and procedures are received and conf</w:t>
            </w:r>
            <w:r w:rsidRPr="0021614B">
              <w:t xml:space="preserve">irmed to ensure they are understood </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1.4</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Hazards are identified, WHS/OHS risks assessed and control measures are prioritised, implemented and monitored according to established procedures</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1.5</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 xml:space="preserve">Scope of responsibility under the relevant work permit/authorisation are received and confirmed with relevant persons according to requirements and established procedures </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1.6</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Equipment, tools, resources, materials and personal protective equipment need</w:t>
            </w:r>
            <w:r w:rsidRPr="0021614B">
              <w:t xml:space="preserve">ed to conformance testing are identified, obtained and checked for correct operation and safety </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1.7</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Relevant responsibilities associated with related work safety and emergency procedures at the worksite are confirmed in accordance with requirements and</w:t>
            </w:r>
            <w:r w:rsidRPr="0021614B">
              <w:t xml:space="preserve"> established procedures </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1.8</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Appropriate persons are consulted to ensure the appliance relight is coordinated effectively with others involved</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1.9</w:t>
            </w:r>
          </w:p>
        </w:tc>
        <w:tc>
          <w:tcPr>
            <w:tcW w:w="486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Client issues are referred to appropriate persons in accordance with industry standards and established procedures</w:t>
            </w:r>
          </w:p>
          <w:p w:rsidR="00000000" w:rsidP="0021614B">
            <w:pPr>
              <w:pStyle w:val="BodyText"/>
              <w:rPr>
                <w:lang w:val="en-NZ"/>
              </w:rPr>
            </w:pP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1.10</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Work site is preparation, safety plan and work schedule are confirmed in accordance with established procedures</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2</w:t>
            </w:r>
          </w:p>
        </w:tc>
        <w:tc>
          <w:tcPr>
            <w:tcW w:w="2296" w:type="dxa"/>
            <w:vMerge w:val="restart"/>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Test new gas inst</w:t>
            </w:r>
            <w:r w:rsidRPr="0021614B">
              <w:rPr>
                <w:rStyle w:val="SpecialBold"/>
              </w:rPr>
              <w:t>allation</w:t>
            </w: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2.1</w:t>
            </w:r>
          </w:p>
        </w:tc>
        <w:tc>
          <w:tcPr>
            <w:tcW w:w="486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WHS/OHS and risk control measures, schedule of work and standard operating procedures for carrying out the work are followed.</w:t>
            </w:r>
          </w:p>
          <w:p w:rsidR="00000000" w:rsidP="0021614B">
            <w:pPr>
              <w:pStyle w:val="BodyText"/>
              <w:rPr>
                <w:lang w:val="en-NZ"/>
              </w:rPr>
            </w:pP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2.2</w:t>
            </w:r>
          </w:p>
        </w:tc>
        <w:tc>
          <w:tcPr>
            <w:tcW w:w="486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Appropriate materials, tools, equipment and devices are selected and used correctly and safely.</w:t>
            </w:r>
          </w:p>
          <w:p w:rsidR="00000000" w:rsidP="0021614B">
            <w:pPr>
              <w:pStyle w:val="BodyText"/>
              <w:rPr>
                <w:lang w:val="en-NZ"/>
              </w:rPr>
            </w:pP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2.3</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 xml:space="preserve">Operational knowledge for utilising correct and safe use of basic equipment and tools to perform conformance test is confirmed </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2.4</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Conformance test of the new gas installation  is undertaken s using appropriate pressure testing equipment and stray current testing and protection equipment following company procedures and State/Territory regulatory requirements</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2.5</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Customer piping sy</w:t>
            </w:r>
            <w:r w:rsidRPr="0021614B">
              <w:t>stem and associated components including appliances are tested for conformance to AS5601 requirements</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2.6</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Installation is left connected or disconnected depending on results of conformance test.</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2.7</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Work is carried out efficiently, to the required qu</w:t>
            </w:r>
            <w:r w:rsidRPr="0021614B">
              <w:t>ality standard without waste of materials or damage to apparatus, equipment, the surrounding environment or services and using sustainable energy principles.</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2.8</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Hazard warnings and safety signs are recognised and hazards and assessed WHS/OHS risks are reported to the immediate authorised persons for directions according to established procedures</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2.9</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Further instructions are sought from appropriate persons for u</w:t>
            </w:r>
            <w:r w:rsidRPr="0021614B">
              <w:t>nplanned events or conditions occurring</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2.10</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Ongoing checks of quality of the work are undertaken in accordance with instructions and requirements</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3</w:t>
            </w:r>
          </w:p>
        </w:tc>
        <w:tc>
          <w:tcPr>
            <w:tcW w:w="2296" w:type="dxa"/>
            <w:vMerge w:val="restart"/>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 xml:space="preserve">Complete the work and relevant documentation </w:t>
            </w:r>
          </w:p>
        </w:tc>
        <w:tc>
          <w:tcPr>
            <w:tcW w:w="900" w:type="dxa"/>
            <w:tcBorders>
              <w:top w:val="nil"/>
              <w:left w:val="nil"/>
              <w:bottom w:val="nil"/>
              <w:right w:val="nil"/>
            </w:tcBorders>
            <w:tcMar>
              <w:top w:w="0" w:type="dxa"/>
              <w:left w:w="62" w:type="dxa"/>
              <w:bottom w:w="0" w:type="dxa"/>
              <w:right w:w="62" w:type="dxa"/>
            </w:tcMar>
          </w:tcPr>
          <w:p w:rsidR="009623DF" w:rsidP="0021614B">
            <w:pPr>
              <w:pStyle w:val="BodyText"/>
            </w:pPr>
            <w:r w:rsidRPr="0021614B">
              <w:t>3.1</w:t>
            </w:r>
          </w:p>
          <w:p w:rsidR="009623DF" w:rsidP="0021614B">
            <w:pPr>
              <w:pStyle w:val="BodyText"/>
            </w:pPr>
          </w:p>
          <w:p w:rsidR="00000000" w:rsidP="0021614B">
            <w:pPr>
              <w:pStyle w:val="BodyText"/>
              <w:rPr>
                <w:lang w:val="en-NZ"/>
              </w:rPr>
            </w:pPr>
            <w:r w:rsidRPr="0021614B">
              <w:t>3.2</w:t>
            </w:r>
          </w:p>
        </w:tc>
        <w:tc>
          <w:tcPr>
            <w:tcW w:w="486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WHS/OHS risk control work completion measures a</w:t>
            </w:r>
            <w:r w:rsidRPr="0021614B">
              <w:t>nd procedures are followed.</w:t>
            </w:r>
          </w:p>
          <w:p w:rsidR="00000000" w:rsidRPr="0021614B" w:rsidP="0021614B">
            <w:pPr>
              <w:pStyle w:val="BodyText"/>
            </w:pPr>
          </w:p>
          <w:p w:rsidR="00000000" w:rsidP="0021614B">
            <w:pPr>
              <w:pStyle w:val="BodyText"/>
              <w:rPr>
                <w:lang w:val="en-NZ"/>
              </w:rPr>
            </w:pPr>
            <w:r w:rsidRPr="0021614B">
              <w:t xml:space="preserve">Final checks including visual observation is performed to ensure the quality of the work complies with established </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3.3</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Appropriate persons are notified of completion of the work</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3.4</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Equipment,  tools and any surplus resources and materials are cleaned, checked and stored securely  or disposed of  in accordance with established procedures</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3.5</w:t>
            </w:r>
          </w:p>
        </w:tc>
        <w:tc>
          <w:tcPr>
            <w:tcW w:w="48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Work area is tidied  and made safe in accordance with given instructions and established pr</w:t>
            </w:r>
            <w:r w:rsidRPr="0021614B">
              <w:t>ocedures</w:t>
            </w:r>
          </w:p>
        </w:tc>
      </w:tr>
      <w:tr w:rsidTr="0021614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3.6</w:t>
            </w:r>
          </w:p>
        </w:tc>
        <w:tc>
          <w:tcPr>
            <w:tcW w:w="486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Work completion records and documentation are updated in accordance with instructions and established procedures as required in each state</w:t>
            </w:r>
          </w:p>
        </w:tc>
      </w:tr>
    </w:tbl>
    <w:p w:rsidR="009623DF" w:rsidP="0021614B">
      <w:pPr>
        <w:pStyle w:val="BodyText"/>
      </w:pPr>
    </w:p>
    <w:p w:rsidR="009623DF" w:rsidP="0021614B">
      <w:pPr>
        <w:pStyle w:val="BodyText"/>
      </w:pPr>
    </w:p>
    <w:p w:rsidR="00000000" w:rsidRPr="0021614B" w:rsidP="0021614B">
      <w:pPr>
        <w:pStyle w:val="Heading1"/>
      </w:pPr>
      <w:bookmarkStart w:id="9" w:name="O_613320"/>
      <w:bookmarkEnd w:id="9"/>
      <w:r w:rsidRPr="0021614B">
        <w:t>Required Skills and Knowledge</w:t>
      </w:r>
    </w:p>
    <w:tbl>
      <w:tblPr>
        <w:tblW w:w="0" w:type="auto"/>
        <w:tblLayout w:type="fixed"/>
        <w:tblCellMar>
          <w:left w:w="62" w:type="dxa"/>
          <w:right w:w="62" w:type="dxa"/>
        </w:tblCellMar>
        <w:tblLook w:val="0000"/>
      </w:tblPr>
      <w:tblGrid>
        <w:gridCol w:w="1843"/>
        <w:gridCol w:w="7067"/>
      </w:tblGrid>
      <w:tr w:rsidTr="0021614B">
        <w:tblPrEx>
          <w:tblW w:w="0" w:type="auto"/>
          <w:tblLayout w:type="fixed"/>
          <w:tblCellMar>
            <w:left w:w="62" w:type="dxa"/>
            <w:right w:w="62" w:type="dxa"/>
          </w:tblCellMar>
          <w:tblLook w:val="0000"/>
        </w:tblPrEx>
        <w:trPr>
          <w:tblHeader/>
        </w:trPr>
        <w:tc>
          <w:tcPr>
            <w:tcW w:w="8910" w:type="dxa"/>
            <w:gridSpan w:val="2"/>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REQUIRED SKILLS AND KNOWLEDGE</w:t>
            </w:r>
          </w:p>
        </w:tc>
      </w:tr>
      <w:tr w:rsidTr="0021614B">
        <w:tblPrEx>
          <w:tblW w:w="0" w:type="auto"/>
          <w:tblLayout w:type="fixed"/>
          <w:tblCellMar>
            <w:left w:w="62" w:type="dxa"/>
            <w:right w:w="62" w:type="dxa"/>
          </w:tblCellMar>
          <w:tblLook w:val="0000"/>
        </w:tblPrEx>
        <w:tc>
          <w:tcPr>
            <w:tcW w:w="8910" w:type="dxa"/>
            <w:gridSpan w:val="2"/>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7)</w:t>
            </w:r>
            <w:r w:rsidRPr="0021614B">
              <w:t xml:space="preserve"> </w:t>
            </w:r>
            <w:r w:rsidRPr="0021614B">
              <w:rPr>
                <w:rStyle w:val="Emphasis"/>
              </w:rPr>
              <w:t>This describes the skills and knowledge and their level, required for this unit.</w:t>
            </w:r>
          </w:p>
        </w:tc>
      </w:tr>
      <w:tr w:rsidTr="0021614B">
        <w:tblPrEx>
          <w:tblW w:w="0" w:type="auto"/>
          <w:tblLayout w:type="fixed"/>
          <w:tblCellMar>
            <w:left w:w="62" w:type="dxa"/>
            <w:right w:w="62" w:type="dxa"/>
          </w:tblCellMar>
          <w:tblLook w:val="0000"/>
        </w:tblPrEx>
        <w:tc>
          <w:tcPr>
            <w:tcW w:w="8910" w:type="dxa"/>
            <w:gridSpan w:val="2"/>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Evidence shall show that knowledge has been acquired of conformance testing of new residential and &amp; small commercial new gas installations and associated components</w:t>
            </w:r>
          </w:p>
        </w:tc>
      </w:tr>
      <w:tr w:rsidTr="0021614B">
        <w:tblPrEx>
          <w:tblW w:w="0" w:type="auto"/>
          <w:tblLayout w:type="fixed"/>
          <w:tblCellMar>
            <w:left w:w="62" w:type="dxa"/>
            <w:right w:w="62" w:type="dxa"/>
          </w:tblCellMar>
          <w:tblLook w:val="0000"/>
        </w:tblPrEx>
        <w:trPr>
          <w:trHeight w:val="481"/>
        </w:trPr>
        <w:tc>
          <w:tcPr>
            <w:tcW w:w="8910" w:type="dxa"/>
            <w:gridSpan w:val="2"/>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All knowledge and skills detailed in this unit should be contextualised to current industry practices and technologies. The extent of the required skills and knowledge is provided below. It forms an integral part of this unit.</w:t>
            </w:r>
          </w:p>
        </w:tc>
      </w:tr>
      <w:tr w:rsidTr="0021614B">
        <w:tblPrEx>
          <w:tblW w:w="0" w:type="auto"/>
          <w:tblLayout w:type="fixed"/>
          <w:tblCellMar>
            <w:left w:w="62" w:type="dxa"/>
            <w:right w:w="62" w:type="dxa"/>
          </w:tblCellMar>
          <w:tblLook w:val="0000"/>
        </w:tblPrEx>
        <w:trPr>
          <w:trHeight w:val="346"/>
        </w:trPr>
        <w:tc>
          <w:tcPr>
            <w:tcW w:w="1843"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KS01-G706</w:t>
            </w:r>
          </w:p>
        </w:tc>
        <w:tc>
          <w:tcPr>
            <w:tcW w:w="7067"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Testing of Reside</w:t>
            </w:r>
            <w:r w:rsidRPr="0021614B">
              <w:rPr>
                <w:rStyle w:val="SpecialBold"/>
              </w:rPr>
              <w:t>ntial &amp; Small Commercial New Gas Installation</w:t>
            </w:r>
          </w:p>
        </w:tc>
      </w:tr>
      <w:tr w:rsidTr="0021614B">
        <w:tblPrEx>
          <w:tblW w:w="0" w:type="auto"/>
          <w:tblLayout w:type="fixed"/>
          <w:tblCellMar>
            <w:left w:w="62" w:type="dxa"/>
            <w:right w:w="62" w:type="dxa"/>
          </w:tblCellMar>
          <w:tblLook w:val="0000"/>
        </w:tblPrEx>
        <w:trPr>
          <w:trHeight w:val="3188"/>
        </w:trPr>
        <w:tc>
          <w:tcPr>
            <w:tcW w:w="8910" w:type="dxa"/>
            <w:gridSpan w:val="2"/>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Evidence shall show an understanding of conformance testing of new residential and &amp; small commercial new gas installations and associated components in accordance with relevant legislation, standards, codes a</w:t>
            </w:r>
            <w:r w:rsidRPr="0021614B">
              <w:t>nd established procedures to an extent indicated by the following aspects:</w:t>
            </w:r>
          </w:p>
          <w:p w:rsidR="00000000" w:rsidRPr="0021614B" w:rsidP="0021614B">
            <w:pPr>
              <w:pStyle w:val="BodyText"/>
            </w:pPr>
          </w:p>
          <w:p w:rsidR="00000000" w:rsidRPr="0021614B" w:rsidP="0021614B">
            <w:pPr>
              <w:pStyle w:val="BodyText"/>
            </w:pPr>
            <w:r w:rsidRPr="0021614B">
              <w:t>T1. Relevant legislation, Australian Standards, codes, regulations and procedure requirements</w:t>
            </w:r>
          </w:p>
          <w:p w:rsidR="00000000" w:rsidRPr="0021614B" w:rsidP="0021614B">
            <w:pPr>
              <w:pStyle w:val="BodyText"/>
            </w:pPr>
            <w:r w:rsidRPr="0021614B">
              <w:t>T2. Safety requirements</w:t>
            </w:r>
          </w:p>
          <w:p w:rsidR="00000000" w:rsidRPr="0021614B" w:rsidP="0021614B">
            <w:pPr>
              <w:pStyle w:val="ListBullet"/>
            </w:pPr>
            <w:r w:rsidRPr="0021614B">
              <w:t>hazards, risk assessment and control measures</w:t>
            </w:r>
          </w:p>
          <w:p w:rsidR="00000000" w:rsidRPr="0021614B" w:rsidP="0021614B">
            <w:pPr>
              <w:pStyle w:val="ListBullet"/>
            </w:pPr>
            <w:r w:rsidRPr="0021614B">
              <w:t>environmental and safety hazards, assess risks and implement control measures which includes the use of stray current testing and protection, bonding clamps and PPE Safety requirements for entering domestic and commercial customer sites</w:t>
            </w:r>
          </w:p>
          <w:p w:rsidR="00000000" w:rsidRPr="0021614B" w:rsidP="0021614B">
            <w:pPr>
              <w:pStyle w:val="BodyText"/>
            </w:pPr>
            <w:r w:rsidRPr="0021614B">
              <w:t>T3. Customer liaiso</w:t>
            </w:r>
            <w:r w:rsidRPr="0021614B">
              <w:t>n skills</w:t>
            </w:r>
          </w:p>
          <w:p w:rsidR="00000000" w:rsidRPr="0021614B" w:rsidP="0021614B">
            <w:pPr>
              <w:pStyle w:val="BodyText"/>
            </w:pPr>
            <w:r w:rsidRPr="0021614B">
              <w:t>T4. Procedures for purging service lines, gas meter and associated components to outlet of meter set.</w:t>
            </w:r>
          </w:p>
          <w:p w:rsidR="00000000" w:rsidRPr="0021614B" w:rsidP="0021614B">
            <w:pPr>
              <w:pStyle w:val="BodyText"/>
            </w:pPr>
            <w:r w:rsidRPr="0021614B">
              <w:t>T5. Procedures for testing of residential &amp; small commercial new gas installation to AS 5601.company and  regulatory requirements</w:t>
            </w:r>
          </w:p>
          <w:p w:rsidR="00000000" w:rsidRPr="0021614B" w:rsidP="0021614B">
            <w:pPr>
              <w:pStyle w:val="BodyText"/>
            </w:pPr>
            <w:r w:rsidRPr="0021614B">
              <w:t>T6. Reading and</w:t>
            </w:r>
            <w:r w:rsidRPr="0021614B">
              <w:t xml:space="preserve"> recording gas meter details</w:t>
            </w:r>
          </w:p>
          <w:p w:rsidR="00000000" w:rsidRPr="0021614B" w:rsidP="0021614B">
            <w:pPr>
              <w:pStyle w:val="BodyText"/>
            </w:pPr>
            <w:r w:rsidRPr="0021614B">
              <w:t>T7. Appliance  installation requirements as to AS 5601 and relevant company and  regulatory requirements</w:t>
            </w:r>
          </w:p>
          <w:p w:rsidR="00000000" w:rsidRPr="0021614B" w:rsidP="0021614B">
            <w:pPr>
              <w:pStyle w:val="BodyText"/>
            </w:pPr>
            <w:r w:rsidRPr="0021614B">
              <w:t>T8. Documentation for testing of residential &amp; small commercial new gas installations</w:t>
            </w:r>
          </w:p>
        </w:tc>
      </w:tr>
    </w:tbl>
    <w:p w:rsidR="009623DF" w:rsidP="0021614B">
      <w:pPr>
        <w:pStyle w:val="BodyText"/>
      </w:pPr>
    </w:p>
    <w:p w:rsidR="009623DF" w:rsidP="0021614B">
      <w:pPr>
        <w:pStyle w:val="BodyText"/>
      </w:pPr>
    </w:p>
    <w:p w:rsidR="00000000" w:rsidRPr="0021614B" w:rsidP="0021614B">
      <w:pPr>
        <w:pStyle w:val="Heading1"/>
      </w:pPr>
      <w:bookmarkStart w:id="10" w:name="O_613321"/>
      <w:bookmarkEnd w:id="10"/>
      <w:r w:rsidRPr="0021614B">
        <w:t>Evidence Guide</w:t>
      </w:r>
    </w:p>
    <w:tbl>
      <w:tblPr>
        <w:tblW w:w="0" w:type="auto"/>
        <w:tblLayout w:type="fixed"/>
        <w:tblCellMar>
          <w:left w:w="62" w:type="dxa"/>
          <w:right w:w="62" w:type="dxa"/>
        </w:tblCellMar>
        <w:tblLook w:val="0000"/>
      </w:tblPr>
      <w:tblGrid>
        <w:gridCol w:w="8398"/>
      </w:tblGrid>
      <w:tr w:rsidTr="0021614B">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EVIDENCE GUIDE</w:t>
            </w:r>
          </w:p>
        </w:tc>
      </w:tr>
      <w:tr w:rsidTr="0021614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8)</w:t>
            </w:r>
            <w:r w:rsidRPr="0021614B">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21614B" w:rsidP="0021614B">
      <w:pPr>
        <w:pStyle w:val="BodyText"/>
      </w:pPr>
    </w:p>
    <w:tbl>
      <w:tblPr>
        <w:tblW w:w="0" w:type="auto"/>
        <w:tblLayout w:type="fixed"/>
        <w:tblCellMar>
          <w:left w:w="62" w:type="dxa"/>
          <w:right w:w="62" w:type="dxa"/>
        </w:tblCellMar>
        <w:tblLook w:val="0000"/>
      </w:tblPr>
      <w:tblGrid>
        <w:gridCol w:w="1828"/>
        <w:gridCol w:w="6570"/>
      </w:tblGrid>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8.1)</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Longitudinal competency development approaches to assessment, such as Profiling, require data to be reliably gathered in a form that can be consistently interpreted over time. This approach is best utilised in Apprenticeship programs and reduces ass</w:t>
            </w:r>
            <w:r w:rsidRPr="0021614B">
              <w:t xml:space="preserve">essment intervention. It is the Industry’s preferred model for apprenticeships. However, where </w:t>
            </w:r>
            <w:r w:rsidRPr="0021614B">
              <w:t>summative (or final) assessment is used it is to include the application of the competency in the normal work environment or, at a minimum, the application of th</w:t>
            </w:r>
            <w:r w:rsidRPr="0021614B">
              <w:t>e competency in a realistically simulated work environment. It is recognised that, in some circumstances, assessment in part or full can occur outside the workplace. However, it must be in accord with industry and regulatory policy in this regard.</w:t>
            </w:r>
          </w:p>
          <w:p w:rsidR="00000000" w:rsidRPr="0021614B" w:rsidP="0021614B">
            <w:pPr>
              <w:pStyle w:val="BodyText"/>
            </w:pPr>
          </w:p>
          <w:p w:rsidR="00000000" w:rsidRPr="0021614B" w:rsidP="0021614B">
            <w:pPr>
              <w:pStyle w:val="BodyText"/>
            </w:pPr>
            <w:r w:rsidRPr="0021614B">
              <w:t>Methods chosen for a particular assessment will be influenced by various factors. These include the extent of the assessment, the most effective locations for the assessment activities to take place, access to physical resources, additional safety measures</w:t>
            </w:r>
            <w:r w:rsidRPr="0021614B">
              <w:t xml:space="preserve"> that may be required and the critical nature of the competencies being assessed.</w:t>
            </w:r>
          </w:p>
          <w:p w:rsidR="00000000" w:rsidRPr="0021614B" w:rsidP="0021614B">
            <w:pPr>
              <w:pStyle w:val="BodyText"/>
            </w:pPr>
          </w:p>
          <w:p w:rsidR="00000000" w:rsidRPr="0021614B" w:rsidP="0021614B">
            <w:pPr>
              <w:pStyle w:val="BodyText"/>
            </w:pPr>
            <w:r w:rsidRPr="0021614B">
              <w:t>The critical safety nature of working with electricity, electrical equipment, gas or any other hazardous substance/material carries risk in deeming a person competent. Hence</w:t>
            </w:r>
            <w:r w:rsidRPr="0021614B">
              <w:t>, sources of evidence need to be ‘rich’ in nature so as to minimise error in judgment.</w:t>
            </w:r>
          </w:p>
          <w:p w:rsidR="00000000" w:rsidRPr="0021614B" w:rsidP="0021614B">
            <w:pPr>
              <w:pStyle w:val="BodyText"/>
            </w:pPr>
          </w:p>
          <w:p w:rsidR="00000000" w:rsidRPr="0021614B" w:rsidP="0021614B">
            <w:pPr>
              <w:pStyle w:val="BodyText"/>
            </w:pPr>
            <w:r w:rsidRPr="0021614B">
              <w:t>Activities associated with normal every day work have a bearing on the decision as to how much and how detailed the data gathered will contribute to its ‘richness’. Som</w:t>
            </w:r>
            <w:r w:rsidRPr="0021614B">
              <w:t>e skills are more critical to safety and operational requirements while the same skills may be more or less frequently practised. These points are raised for the assessors to consider when choosing an assessment method and developing assessment instruments</w:t>
            </w:r>
            <w:r w:rsidRPr="0021614B">
              <w:t>. Sample assessment instruments are included in the Assessment Guidelines of this Training Package.</w:t>
            </w:r>
          </w:p>
        </w:tc>
      </w:tr>
    </w:tbl>
    <w:p w:rsidR="00000000" w:rsidRPr="0021614B" w:rsidP="0021614B">
      <w:pPr>
        <w:pStyle w:val="BodyText"/>
      </w:pPr>
    </w:p>
    <w:tbl>
      <w:tblPr>
        <w:tblW w:w="0" w:type="auto"/>
        <w:tblLayout w:type="fixed"/>
        <w:tblCellMar>
          <w:left w:w="62" w:type="dxa"/>
          <w:right w:w="62" w:type="dxa"/>
        </w:tblCellMar>
        <w:tblLook w:val="0000"/>
      </w:tblPr>
      <w:tblGrid>
        <w:gridCol w:w="1828"/>
        <w:gridCol w:w="6570"/>
      </w:tblGrid>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8.2)</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Before the critical aspects of evidence are considered all prerequisit</w:t>
            </w:r>
            <w:r w:rsidRPr="0021614B">
              <w:t>es shall be met.</w:t>
            </w:r>
          </w:p>
        </w:tc>
      </w:tr>
      <w:tr w:rsidTr="0021614B">
        <w:tblPrEx>
          <w:tblW w:w="0" w:type="auto"/>
          <w:tblLayout w:type="fixed"/>
          <w:tblCellMar>
            <w:left w:w="62" w:type="dxa"/>
            <w:right w:w="62" w:type="dxa"/>
          </w:tblCellMar>
          <w:tblLook w:val="0000"/>
        </w:tblPrEx>
        <w:trPr>
          <w:trHeight w:val="1204"/>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Evidence for competence in this unit shall be considered holistically. Each element and associated Performance Criteria shall be demonstrated on at least two occasions in accordance with the ‘Assessment Guidelines — UEG11’. Evidence shal</w:t>
            </w:r>
            <w:r w:rsidRPr="0021614B">
              <w:t>l also comprise:</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ListBullet"/>
              <w:rPr>
                <w:lang w:val="en-NZ"/>
              </w:rPr>
            </w:pPr>
            <w:r w:rsidRPr="0021614B">
              <w:t xml:space="preserve">A representative body of Performance Criteria demonstrated within the timeframes </w:t>
            </w:r>
            <w:r w:rsidRPr="0021614B">
              <w:t>typically expected of the discipline, work function and industrial environment. In particular this shall incorporate evidence that shows a candidate is able to:</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ListBullet2"/>
              <w:rPr>
                <w:lang w:val="en-NZ"/>
              </w:rPr>
            </w:pPr>
            <w:r w:rsidRPr="0021614B">
              <w:t>Implement Occupational Health and Safety workplace procedures and practices including the us</w:t>
            </w:r>
            <w:r w:rsidRPr="0021614B">
              <w:t>e of risk control measures as specified in the Performance Criteria and range</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ListBullet2"/>
              <w:rPr>
                <w:lang w:val="en-NZ"/>
              </w:rPr>
            </w:pPr>
            <w:r w:rsidRPr="0021614B">
              <w:t>Apply sustainable energy principles and practices as specified in the Performance Criteria and range</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ListBullet2"/>
              <w:rPr>
                <w:lang w:val="en-NZ"/>
              </w:rPr>
            </w:pPr>
            <w:r w:rsidRPr="0021614B">
              <w:t xml:space="preserve">Demonstrate an understanding of the required knowledge and skills as described in this unit to such an extent that the learner’s performance outcome is reported in accordance with the preferred approach; namely a percentile graded result, </w:t>
            </w:r>
            <w:r w:rsidRPr="0021614B">
              <w:t>where required by</w:t>
            </w:r>
            <w:r w:rsidRPr="0021614B">
              <w:t xml:space="preserve"> the regulated environment</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ListBullet2"/>
              <w:rPr>
                <w:lang w:val="en-NZ"/>
              </w:rPr>
            </w:pPr>
            <w:r w:rsidRPr="0021614B">
              <w:t>Demonstrate an appropriate level of skills enabling employment</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ListBullet2"/>
              <w:rPr>
                <w:lang w:val="en-NZ"/>
              </w:rPr>
            </w:pPr>
            <w:r w:rsidRPr="0021614B">
              <w:t>Conduct work observing the relevant Anti discrimination legislation, regulations, polices and workplace procedures</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21614B" w:rsidP="0021614B">
            <w:pPr>
              <w:pStyle w:val="ListBullet"/>
            </w:pPr>
            <w:r w:rsidRPr="0021614B">
              <w:t>Demonstrate performance across a representative range of contexts from the prescribed items below.</w:t>
            </w:r>
          </w:p>
          <w:p w:rsidR="00000000" w:rsidRPr="0021614B" w:rsidP="0021614B">
            <w:pPr>
              <w:pStyle w:val="ListBullet2"/>
            </w:pPr>
            <w:r w:rsidRPr="0021614B">
              <w:t>Conformance testing of new residential and &amp; small commercial new gas installations and associated components as described in 9.) Range Statement and includ</w:t>
            </w:r>
            <w:r w:rsidRPr="0021614B">
              <w:t>ing:</w:t>
            </w:r>
          </w:p>
        </w:tc>
      </w:tr>
    </w:tbl>
    <w:p w:rsidR="00000000" w:rsidRPr="0021614B" w:rsidP="0021614B">
      <w:pPr>
        <w:pStyle w:val="BodyText"/>
      </w:pPr>
    </w:p>
    <w:tbl>
      <w:tblPr>
        <w:tblW w:w="0" w:type="auto"/>
        <w:tblLayout w:type="fixed"/>
        <w:tblCellMar>
          <w:left w:w="62" w:type="dxa"/>
          <w:right w:w="62" w:type="dxa"/>
        </w:tblCellMar>
        <w:tblLook w:val="0000"/>
      </w:tblPr>
      <w:tblGrid>
        <w:gridCol w:w="1800"/>
        <w:gridCol w:w="810"/>
        <w:gridCol w:w="1260"/>
        <w:gridCol w:w="1375"/>
        <w:gridCol w:w="3125"/>
      </w:tblGrid>
      <w:tr w:rsidTr="0021614B">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21614B">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4B">
            <w:pPr>
              <w:pStyle w:val="BodyText"/>
              <w:rPr>
                <w:lang w:val="en-NZ"/>
              </w:rPr>
            </w:pPr>
            <w:r w:rsidRPr="0021614B">
              <w:rPr>
                <w:rStyle w:val="SpecialBold"/>
              </w:rPr>
              <w:t>Range of tools/equipment/procedures/workplace</w:t>
            </w:r>
          </w:p>
        </w:tc>
      </w:tr>
      <w:tr w:rsidTr="0021614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21614B">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14B" w:rsidP="0021614B">
            <w:pPr>
              <w:pStyle w:val="BodyText"/>
            </w:pPr>
            <w:r w:rsidRPr="0021614B">
              <w:rPr>
                <w:rStyle w:val="SpecialBold"/>
              </w:rPr>
              <w:t>Group No</w:t>
            </w:r>
          </w:p>
        </w:tc>
        <w:tc>
          <w:tcPr>
            <w:tcW w:w="1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14B" w:rsidP="0021614B">
            <w:pPr>
              <w:pStyle w:val="BodyText"/>
            </w:pPr>
            <w:r w:rsidRPr="0021614B">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4B">
            <w:pPr>
              <w:pStyle w:val="BodyText"/>
              <w:rPr>
                <w:lang w:val="en-NZ"/>
              </w:rPr>
            </w:pPr>
            <w:r w:rsidRPr="0021614B">
              <w:rPr>
                <w:rStyle w:val="SpecialBold"/>
              </w:rPr>
              <w:t>Item List</w:t>
            </w:r>
          </w:p>
        </w:tc>
      </w:tr>
      <w:tr w:rsidTr="0021614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21614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4B">
            <w:pPr>
              <w:pStyle w:val="BodyText"/>
              <w:rPr>
                <w:lang w:val="en-NZ"/>
              </w:rPr>
            </w:pPr>
            <w:r w:rsidRPr="0021614B">
              <w:rPr>
                <w:rStyle w:val="SpecialBold"/>
              </w:rPr>
              <w:t>A. Requirements</w:t>
            </w:r>
          </w:p>
        </w:tc>
        <w:tc>
          <w:tcPr>
            <w:tcW w:w="1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4B">
            <w:pPr>
              <w:pStyle w:val="BodyText"/>
              <w:rPr>
                <w:lang w:val="en-NZ"/>
              </w:rPr>
            </w:pPr>
            <w:r w:rsidRPr="0021614B">
              <w:t>All</w:t>
            </w:r>
          </w:p>
        </w:tc>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14B" w:rsidP="0021614B">
            <w:pPr>
              <w:pStyle w:val="ListBullet"/>
            </w:pPr>
            <w:r w:rsidRPr="0021614B">
              <w:t xml:space="preserve">Work utilising relevant OHS legislation, regulations, codes of practice, policies </w:t>
            </w:r>
            <w:r w:rsidRPr="0021614B">
              <w:t>and procedures</w:t>
            </w:r>
          </w:p>
          <w:p w:rsidR="00000000" w:rsidRPr="0021614B" w:rsidP="0021614B">
            <w:pPr>
              <w:pStyle w:val="ListBullet"/>
            </w:pPr>
            <w:r w:rsidRPr="0021614B">
              <w:t>Communicate effectively with appropriate personnel and customers</w:t>
            </w:r>
          </w:p>
          <w:p w:rsidR="00000000" w:rsidRPr="0021614B" w:rsidP="0021614B">
            <w:pPr>
              <w:pStyle w:val="ListBullet"/>
            </w:pPr>
            <w:r w:rsidRPr="0021614B">
              <w:t>Accurately complete records and documentation</w:t>
            </w:r>
          </w:p>
          <w:p w:rsidR="00000000" w:rsidRPr="0021614B" w:rsidP="0021614B">
            <w:pPr>
              <w:pStyle w:val="ListBullet"/>
            </w:pPr>
            <w:r w:rsidRPr="0021614B">
              <w:t>Follow work schedules including meeting appointments</w:t>
            </w:r>
          </w:p>
          <w:p w:rsidR="00000000" w:rsidRPr="0021614B" w:rsidP="0021614B">
            <w:pPr>
              <w:pStyle w:val="ListBullet"/>
            </w:pPr>
            <w:r w:rsidRPr="0021614B">
              <w:t>Effectively use tools and equipment to test residential &amp; small commercial ne</w:t>
            </w:r>
            <w:r w:rsidRPr="0021614B">
              <w:t xml:space="preserve">w gas installation </w:t>
            </w:r>
          </w:p>
          <w:p w:rsidR="00000000" w:rsidRPr="0021614B" w:rsidP="0021614B">
            <w:pPr>
              <w:pStyle w:val="ListBullet"/>
            </w:pPr>
            <w:r w:rsidRPr="0021614B">
              <w:t>Use of WADS/disconnection discs and valve locks</w:t>
            </w:r>
          </w:p>
          <w:p w:rsidR="00000000" w:rsidRPr="0021614B" w:rsidP="0021614B">
            <w:pPr>
              <w:pStyle w:val="ListBullet"/>
            </w:pPr>
            <w:r w:rsidRPr="0021614B">
              <w:t>Use of pressure testing equipment Drop test/ bubble leak detector etc</w:t>
            </w:r>
          </w:p>
          <w:p w:rsidR="00000000" w:rsidP="0021614B">
            <w:pPr>
              <w:pStyle w:val="ListBullet"/>
              <w:rPr>
                <w:lang w:val="en-NZ"/>
              </w:rPr>
            </w:pPr>
            <w:r w:rsidRPr="0021614B">
              <w:t>Advise stakeholders of potentially dangerous or nonconforming installations</w:t>
            </w:r>
          </w:p>
        </w:tc>
      </w:tr>
      <w:tr w:rsidTr="0021614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21614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4B">
            <w:pPr>
              <w:pStyle w:val="BodyText"/>
              <w:rPr>
                <w:lang w:val="en-NZ"/>
              </w:rPr>
            </w:pPr>
            <w:r w:rsidRPr="0021614B">
              <w:rPr>
                <w:rStyle w:val="SpecialBold"/>
              </w:rPr>
              <w:t>B. Procedures</w:t>
            </w:r>
          </w:p>
        </w:tc>
        <w:tc>
          <w:tcPr>
            <w:tcW w:w="1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4B">
            <w:pPr>
              <w:pStyle w:val="BodyText"/>
              <w:rPr>
                <w:lang w:val="en-NZ"/>
              </w:rPr>
            </w:pPr>
            <w:r w:rsidRPr="0021614B">
              <w:t>All</w:t>
            </w:r>
          </w:p>
        </w:tc>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14B" w:rsidP="0021614B">
            <w:pPr>
              <w:pStyle w:val="ListBullet"/>
            </w:pPr>
            <w:r w:rsidRPr="0021614B">
              <w:t>Stray current testing and protection including Bonding clamps and PPE</w:t>
            </w:r>
          </w:p>
          <w:p w:rsidR="00000000" w:rsidRPr="0021614B" w:rsidP="0021614B">
            <w:pPr>
              <w:pStyle w:val="ListBullet"/>
            </w:pPr>
            <w:r w:rsidRPr="0021614B">
              <w:t>Storage and transport requirements for gas meters and associated equipment</w:t>
            </w:r>
          </w:p>
          <w:p w:rsidR="00000000" w:rsidP="0021614B">
            <w:pPr>
              <w:pStyle w:val="ListBullet"/>
              <w:rPr>
                <w:lang w:val="en-NZ"/>
              </w:rPr>
            </w:pPr>
            <w:r w:rsidRPr="0021614B">
              <w:t>Documentation for testing of residential &amp; small commercial new gas installation</w:t>
            </w:r>
          </w:p>
        </w:tc>
      </w:tr>
      <w:tr w:rsidTr="0021614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21614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4B">
            <w:pPr>
              <w:pStyle w:val="BodyText"/>
              <w:rPr>
                <w:lang w:val="en-NZ"/>
              </w:rPr>
            </w:pPr>
            <w:r w:rsidRPr="0021614B">
              <w:rPr>
                <w:rStyle w:val="SpecialBold"/>
              </w:rPr>
              <w:t>C. Unplanned events</w:t>
            </w:r>
          </w:p>
        </w:tc>
        <w:tc>
          <w:tcPr>
            <w:tcW w:w="1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4B">
            <w:pPr>
              <w:pStyle w:val="BodyText"/>
              <w:rPr>
                <w:lang w:val="en-NZ"/>
              </w:rPr>
            </w:pPr>
            <w:r w:rsidRPr="0021614B">
              <w:t>On at least one occasion</w:t>
            </w:r>
          </w:p>
        </w:tc>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14B" w:rsidP="0021614B">
            <w:pPr>
              <w:pStyle w:val="BodyText"/>
            </w:pPr>
            <w:r w:rsidRPr="0021614B">
              <w:t xml:space="preserve">Deal with an unplanned event by drawing on essential knowledge </w:t>
            </w:r>
            <w:r w:rsidRPr="0021614B">
              <w:t>and associated skills to provide appropriate solutions incorporated in the holistic assessment with the above listed items</w:t>
            </w:r>
          </w:p>
        </w:tc>
      </w:tr>
    </w:tbl>
    <w:p w:rsidR="00000000" w:rsidRPr="0021614B" w:rsidP="0021614B">
      <w:pPr>
        <w:pStyle w:val="BodyText"/>
      </w:pPr>
    </w:p>
    <w:tbl>
      <w:tblPr>
        <w:tblW w:w="0" w:type="auto"/>
        <w:tblLayout w:type="fixed"/>
        <w:tblCellMar>
          <w:left w:w="62" w:type="dxa"/>
          <w:right w:w="62" w:type="dxa"/>
        </w:tblCellMar>
        <w:tblLook w:val="0000"/>
      </w:tblPr>
      <w:tblGrid>
        <w:gridCol w:w="1828"/>
        <w:gridCol w:w="6570"/>
      </w:tblGrid>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Context of and specific resources for asses</w:t>
            </w:r>
            <w:r w:rsidRPr="0021614B">
              <w:rPr>
                <w:rStyle w:val="SpecialBold"/>
              </w:rPr>
              <w:t>sment</w:t>
            </w:r>
          </w:p>
        </w:tc>
        <w:tc>
          <w:tcPr>
            <w:tcW w:w="657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8.3)</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This unit should be assessed as it relates to normal work practice using procedures, information and resources typical of a workplace. This should include:</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ListBullet"/>
              <w:rPr>
                <w:lang w:val="en-NZ"/>
              </w:rPr>
            </w:pPr>
            <w:r w:rsidRPr="0021614B">
              <w:t>OHS policy and work procedures and instructions.</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ListBullet"/>
              <w:rPr>
                <w:lang w:val="en-NZ"/>
              </w:rPr>
            </w:pPr>
            <w:r w:rsidRPr="0021614B">
              <w:t>Suitable work environment, facilities, equipment and materials to undertake actual work as prescribed by this Unit.</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ListBullet"/>
              <w:rPr>
                <w:lang w:val="en-NZ"/>
              </w:rPr>
            </w:pPr>
            <w:r w:rsidRPr="0021614B">
              <w:t>Appropriate environmental regulation and work practices.</w:t>
            </w:r>
          </w:p>
        </w:tc>
      </w:tr>
      <w:tr w:rsidTr="0021614B">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ListBullet"/>
              <w:rPr>
                <w:lang w:val="en-NZ"/>
              </w:rPr>
            </w:pPr>
            <w:r w:rsidRPr="0021614B">
              <w:t>Appropriate organisational requirements.</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ListBullet"/>
              <w:rPr>
                <w:lang w:val="en-NZ"/>
              </w:rPr>
            </w:pPr>
            <w:r w:rsidRPr="0021614B">
              <w:t>Appropriate work environment, equipment and tools.</w:t>
            </w:r>
          </w:p>
        </w:tc>
      </w:tr>
      <w:tr w:rsidTr="0021614B">
        <w:tblPrEx>
          <w:tblW w:w="0" w:type="auto"/>
          <w:tblLayout w:type="fixed"/>
          <w:tblCellMar>
            <w:left w:w="62" w:type="dxa"/>
            <w:right w:w="62" w:type="dxa"/>
          </w:tblCellMar>
          <w:tblLook w:val="0000"/>
        </w:tblPrEx>
        <w:trPr>
          <w:trHeight w:val="602"/>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In addition to the resources listed above, in Context of and specific resources for assessment, evidence should show demonstrated competency in conducting appliance relights.</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Assessment of this competency must also be undertaken in either an actual workplace or under a simulated work environment. Assessment must also integrate the key competencies.</w:t>
            </w:r>
          </w:p>
        </w:tc>
      </w:tr>
    </w:tbl>
    <w:p w:rsidR="00000000" w:rsidRPr="0021614B" w:rsidP="0021614B">
      <w:pPr>
        <w:pStyle w:val="BodyText"/>
      </w:pPr>
    </w:p>
    <w:tbl>
      <w:tblPr>
        <w:tblW w:w="0" w:type="auto"/>
        <w:tblLayout w:type="fixed"/>
        <w:tblCellMar>
          <w:left w:w="62" w:type="dxa"/>
          <w:right w:w="62" w:type="dxa"/>
        </w:tblCellMar>
        <w:tblLook w:val="0000"/>
      </w:tblPr>
      <w:tblGrid>
        <w:gridCol w:w="1800"/>
        <w:gridCol w:w="6570"/>
      </w:tblGrid>
      <w:tr w:rsidTr="0021614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8.4)</w:t>
            </w:r>
          </w:p>
        </w:tc>
      </w:tr>
      <w:tr w:rsidTr="0021614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This Unit shall be assessed by methods given in Volume 1 Part 3 ‘Assessment Guidelines’.</w:t>
            </w:r>
          </w:p>
        </w:tc>
      </w:tr>
      <w:tr w:rsidTr="0021614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Note: Competent performance with inherent safe working practices is expected in the Industry to which this Unit applies. This requires that the specified Required Kn</w:t>
            </w:r>
            <w:r w:rsidRPr="0021614B">
              <w:t>owledge and Skills are assessed in a structured environment which is primarily intended for learning/assessment and incorporates all necessary equipment and facilities for learners to develop and demonstrate the Required Knowledge and Skills described in t</w:t>
            </w:r>
            <w:r w:rsidRPr="0021614B">
              <w:t>his unit.</w:t>
            </w:r>
          </w:p>
        </w:tc>
      </w:tr>
    </w:tbl>
    <w:p w:rsidR="00000000" w:rsidRPr="0021614B" w:rsidP="0021614B">
      <w:pPr>
        <w:pStyle w:val="BodyText"/>
      </w:pPr>
    </w:p>
    <w:tbl>
      <w:tblPr>
        <w:tblW w:w="0" w:type="auto"/>
        <w:tblLayout w:type="fixed"/>
        <w:tblCellMar>
          <w:left w:w="62" w:type="dxa"/>
          <w:right w:w="62" w:type="dxa"/>
        </w:tblCellMar>
        <w:tblLook w:val="0000"/>
      </w:tblPr>
      <w:tblGrid>
        <w:gridCol w:w="1828"/>
        <w:gridCol w:w="1620"/>
        <w:gridCol w:w="4950"/>
      </w:tblGrid>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8.5)</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 xml:space="preserve">There are no recommended concurrent assessments with this unit, however in some cases efficiencies may be gained in terms of learning and assessment </w:t>
            </w:r>
            <w:r w:rsidRPr="0021614B">
              <w:t xml:space="preserve">effort being concurrently managed with allied Units </w:t>
            </w:r>
            <w:r w:rsidRPr="0021614B">
              <w:t>where listed.</w:t>
            </w:r>
          </w:p>
        </w:tc>
      </w:tr>
      <w:tr w:rsidTr="0021614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t>Nil</w:t>
            </w:r>
          </w:p>
        </w:tc>
        <w:tc>
          <w:tcPr>
            <w:tcW w:w="4950" w:type="dxa"/>
            <w:tcBorders>
              <w:top w:val="nil"/>
              <w:left w:val="nil"/>
              <w:bottom w:val="nil"/>
              <w:right w:val="nil"/>
            </w:tcBorders>
            <w:tcMar>
              <w:top w:w="0" w:type="dxa"/>
              <w:left w:w="62" w:type="dxa"/>
              <w:bottom w:w="0" w:type="dxa"/>
              <w:right w:w="62" w:type="dxa"/>
            </w:tcMar>
          </w:tcPr>
          <w:p w:rsidR="00000000" w:rsidRPr="0021614B" w:rsidP="0021614B">
            <w:pPr>
              <w:pStyle w:val="BodyText"/>
            </w:pPr>
          </w:p>
        </w:tc>
      </w:tr>
    </w:tbl>
    <w:p w:rsidR="009623DF" w:rsidP="0021614B">
      <w:pPr>
        <w:pStyle w:val="BodyText"/>
      </w:pPr>
    </w:p>
    <w:p w:rsidR="009623DF" w:rsidP="0021614B">
      <w:pPr>
        <w:pStyle w:val="BodyText"/>
      </w:pPr>
    </w:p>
    <w:p w:rsidR="00000000" w:rsidRPr="0021614B" w:rsidP="0021614B">
      <w:pPr>
        <w:pStyle w:val="Heading1"/>
      </w:pPr>
      <w:bookmarkStart w:id="11" w:name="O_613322"/>
      <w:bookmarkEnd w:id="11"/>
      <w:r w:rsidRPr="0021614B">
        <w:t>Range Statement</w:t>
      </w:r>
    </w:p>
    <w:tbl>
      <w:tblPr>
        <w:tblW w:w="0" w:type="auto"/>
        <w:tblLayout w:type="fixed"/>
        <w:tblCellMar>
          <w:left w:w="62" w:type="dxa"/>
          <w:right w:w="62" w:type="dxa"/>
        </w:tblCellMar>
        <w:tblLook w:val="0000"/>
      </w:tblPr>
      <w:tblGrid>
        <w:gridCol w:w="9072"/>
      </w:tblGrid>
      <w:tr w:rsidTr="0021614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RANGE STATEMENT</w:t>
            </w:r>
          </w:p>
        </w:tc>
      </w:tr>
      <w:tr w:rsidTr="002161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9)</w:t>
            </w:r>
            <w:r w:rsidRPr="0021614B">
              <w:rPr>
                <w:rStyle w:val="Emphasis"/>
              </w:rPr>
              <w:t xml:space="preserve"> This relates to the competency standard unit as a whole providing the range of contexts and conditions </w:t>
            </w:r>
            <w:r w:rsidRPr="0021614B">
              <w:rPr>
                <w:rStyle w:val="Emphasis"/>
              </w:rPr>
              <w:t>to which the Performance Criteria apply. It allows for different work environments and situations that will affect performance.</w:t>
            </w:r>
          </w:p>
        </w:tc>
      </w:tr>
      <w:tr w:rsidTr="002161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This Unit shall be demonstrated in relation to conformance testing of new residential and &amp; small commercial new gas installati</w:t>
            </w:r>
            <w:r w:rsidRPr="0021614B">
              <w:t>ons and associated components.</w:t>
            </w:r>
          </w:p>
          <w:p w:rsidR="00000000" w:rsidRPr="0021614B" w:rsidP="0021614B">
            <w:pPr>
              <w:pStyle w:val="BodyText"/>
            </w:pPr>
            <w:r w:rsidRPr="0021614B">
              <w:t xml:space="preserve"> </w:t>
            </w:r>
          </w:p>
          <w:p w:rsidR="00000000" w:rsidRPr="0021614B" w:rsidP="0021614B">
            <w:pPr>
              <w:pStyle w:val="BodyText"/>
            </w:pPr>
            <w:r w:rsidRPr="0021614B">
              <w:t>The following constants and variables included in the element/Performance Criteria in this unit are fully described in the Definitions Section of this volume and form an integral part of the Range Statement of this unit:</w:t>
            </w:r>
          </w:p>
          <w:p w:rsidR="00000000" w:rsidRPr="0021614B" w:rsidP="0021614B">
            <w:pPr>
              <w:pStyle w:val="ListBullet"/>
            </w:pPr>
            <w:r w:rsidRPr="0021614B">
              <w:t xml:space="preserve">Appropriate persons </w:t>
            </w:r>
          </w:p>
          <w:p w:rsidR="00000000" w:rsidRPr="0021614B" w:rsidP="0021614B">
            <w:pPr>
              <w:pStyle w:val="ListBullet"/>
            </w:pPr>
            <w:r w:rsidRPr="0021614B">
              <w:t>Hand tools to disconnect and reconnect meters test residential &amp; small commercial new gas installations</w:t>
            </w:r>
          </w:p>
          <w:p w:rsidR="00000000" w:rsidRPr="0021614B" w:rsidP="0021614B">
            <w:pPr>
              <w:pStyle w:val="ListBullet"/>
            </w:pPr>
            <w:r w:rsidRPr="0021614B">
              <w:t>Includes footprints, spanners, neon tester, bonding leads, soap tester, Pressure testers</w:t>
            </w:r>
          </w:p>
          <w:p w:rsidR="00000000" w:rsidRPr="0021614B" w:rsidP="0021614B">
            <w:pPr>
              <w:pStyle w:val="ListBullet"/>
            </w:pPr>
            <w:r w:rsidRPr="0021614B">
              <w:t xml:space="preserve">Safe working procedures </w:t>
            </w:r>
          </w:p>
          <w:p w:rsidR="00000000" w:rsidRPr="0021614B" w:rsidP="0021614B">
            <w:pPr>
              <w:pStyle w:val="ListBullet"/>
            </w:pPr>
            <w:r w:rsidRPr="0021614B">
              <w:t>Legislative requi</w:t>
            </w:r>
            <w:r w:rsidRPr="0021614B">
              <w:t xml:space="preserve">rements </w:t>
            </w:r>
          </w:p>
          <w:p w:rsidR="00000000" w:rsidRPr="0021614B" w:rsidP="0021614B">
            <w:pPr>
              <w:pStyle w:val="ListBullet"/>
            </w:pPr>
            <w:r w:rsidRPr="0021614B">
              <w:t xml:space="preserve">Personal Protective Equipment </w:t>
            </w:r>
          </w:p>
        </w:tc>
      </w:tr>
    </w:tbl>
    <w:p w:rsidR="009623DF" w:rsidP="0021614B">
      <w:pPr>
        <w:pStyle w:val="BodyText"/>
      </w:pPr>
    </w:p>
    <w:p w:rsidR="009623DF" w:rsidP="0021614B">
      <w:pPr>
        <w:pStyle w:val="BodyText"/>
      </w:pPr>
    </w:p>
    <w:p w:rsidR="00000000" w:rsidRPr="0021614B" w:rsidP="0021614B">
      <w:pPr>
        <w:pStyle w:val="Heading1"/>
      </w:pPr>
      <w:bookmarkStart w:id="12" w:name="O_613323"/>
      <w:bookmarkEnd w:id="12"/>
      <w:r w:rsidRPr="0021614B">
        <w:t>Unit Sector(s)</w:t>
      </w:r>
    </w:p>
    <w:p w:rsidR="00000000" w:rsidRPr="0021614B" w:rsidP="0021614B">
      <w:pPr>
        <w:pStyle w:val="BodyText"/>
      </w:pPr>
      <w:r w:rsidRPr="0021614B">
        <w:t>Gas Industry</w:t>
      </w:r>
    </w:p>
    <w:p w:rsidR="00000000" w:rsidRPr="0021614B" w:rsidP="0021614B">
      <w:pPr>
        <w:pStyle w:val="AllowPageBreak"/>
      </w:pPr>
    </w:p>
    <w:p w:rsidR="00000000" w:rsidRPr="0021614B" w:rsidP="0021614B">
      <w:pPr>
        <w:pStyle w:val="Heading1"/>
      </w:pPr>
      <w:bookmarkStart w:id="13" w:name="O_613324"/>
      <w:bookmarkEnd w:id="13"/>
      <w:r w:rsidRPr="0021614B">
        <w:t>Competency Field</w:t>
      </w:r>
    </w:p>
    <w:tbl>
      <w:tblPr>
        <w:tblW w:w="0" w:type="auto"/>
        <w:tblLayout w:type="fixed"/>
        <w:tblCellMar>
          <w:left w:w="62" w:type="dxa"/>
          <w:right w:w="62" w:type="dxa"/>
        </w:tblCellMar>
        <w:tblLook w:val="0000"/>
      </w:tblPr>
      <w:tblGrid>
        <w:gridCol w:w="2638"/>
        <w:gridCol w:w="5760"/>
      </w:tblGrid>
      <w:tr w:rsidTr="0021614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1614B">
            <w:pPr>
              <w:pStyle w:val="BodyText"/>
              <w:rPr>
                <w:lang w:val="en-NZ"/>
              </w:rPr>
            </w:pPr>
            <w:r w:rsidRPr="0021614B">
              <w:rPr>
                <w:rStyle w:val="SpecialBold"/>
              </w:rPr>
              <w:t xml:space="preserve">11) </w:t>
            </w:r>
          </w:p>
        </w:tc>
      </w:tr>
      <w:tr w:rsidTr="0021614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614B" w:rsidP="0021614B">
            <w:pPr>
              <w:pStyle w:val="BodyText"/>
            </w:pPr>
            <w:r w:rsidRPr="0021614B">
              <w:t>Support services</w:t>
            </w:r>
          </w:p>
        </w:tc>
      </w:tr>
    </w:tbl>
    <w:p w:rsidR="00000000" w:rsidRPr="0021614B" w:rsidP="0021614B">
      <w:pPr>
        <w:pStyle w:val="BodyText"/>
      </w:pPr>
    </w:p>
    <w:p w:rsidR="00000000" w:rsidRPr="0021614B" w:rsidP="0021614B"/>
    <w:sectPr w:rsidSect="002161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4B" w:rsidRPr="009623DF" w:rsidP="00962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DF" w:rsidP="002161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623DF" w:rsidP="0021614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9623DF" w:rsidP="002161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4B" w:rsidRPr="009623DF" w:rsidP="009623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DF" w:rsidRPr="002D2AF8" w:rsidP="0021614B">
    <w:pPr>
      <w:pStyle w:val="Header"/>
      <w:framePr w:wrap="around"/>
    </w:pPr>
    <w:r>
      <w:fldChar w:fldCharType="begin"/>
    </w:r>
    <w:r>
      <w:instrText xml:space="preserve"> TITLE   \* MERGEFORMAT </w:instrText>
    </w:r>
    <w:r>
      <w:fldChar w:fldCharType="separate"/>
    </w:r>
    <w:r>
      <w:t>UEGNSG706A Test New Residential and Small Commercial Gas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9623DF" w:rsidP="002161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FC5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2A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E4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1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14B"/>
    <w:pPr>
      <w:spacing w:before="360" w:after="60"/>
      <w:outlineLvl w:val="0"/>
    </w:pPr>
    <w:rPr>
      <w:sz w:val="32"/>
    </w:rPr>
  </w:style>
  <w:style w:type="paragraph" w:styleId="Heading2">
    <w:name w:val="heading 2"/>
    <w:basedOn w:val="HeadingBase"/>
    <w:next w:val="BodyText"/>
    <w:link w:val="Heading2Char"/>
    <w:qFormat/>
    <w:rsid w:val="0021614B"/>
    <w:pPr>
      <w:keepLines/>
      <w:spacing w:before="240" w:after="120"/>
      <w:outlineLvl w:val="1"/>
    </w:pPr>
    <w:rPr>
      <w:sz w:val="28"/>
      <w:szCs w:val="40"/>
    </w:rPr>
  </w:style>
  <w:style w:type="paragraph" w:styleId="Heading3">
    <w:name w:val="heading 3"/>
    <w:basedOn w:val="HeadingBase"/>
    <w:next w:val="BodyText"/>
    <w:link w:val="Heading3Char"/>
    <w:qFormat/>
    <w:rsid w:val="0021614B"/>
    <w:pPr>
      <w:spacing w:before="180" w:after="120"/>
      <w:outlineLvl w:val="2"/>
    </w:pPr>
    <w:rPr>
      <w:spacing w:val="-10"/>
      <w:kern w:val="32"/>
    </w:rPr>
  </w:style>
  <w:style w:type="paragraph" w:styleId="Heading4">
    <w:name w:val="heading 4"/>
    <w:basedOn w:val="HeadingBase"/>
    <w:next w:val="BodyText"/>
    <w:link w:val="Heading4Char"/>
    <w:qFormat/>
    <w:rsid w:val="0021614B"/>
    <w:pPr>
      <w:spacing w:before="160" w:after="120"/>
      <w:outlineLvl w:val="3"/>
    </w:pPr>
    <w:rPr>
      <w:sz w:val="22"/>
    </w:rPr>
  </w:style>
  <w:style w:type="paragraph" w:styleId="Heading5">
    <w:name w:val="heading 5"/>
    <w:basedOn w:val="HeadingBase"/>
    <w:next w:val="Normal"/>
    <w:link w:val="Heading5Char"/>
    <w:qFormat/>
    <w:rsid w:val="0021614B"/>
    <w:pPr>
      <w:spacing w:before="80"/>
      <w:outlineLvl w:val="4"/>
    </w:pPr>
    <w:rPr>
      <w:color w:val="918585"/>
      <w:sz w:val="20"/>
    </w:rPr>
  </w:style>
  <w:style w:type="paragraph" w:styleId="Heading6">
    <w:name w:val="heading 6"/>
    <w:basedOn w:val="HeadingBase"/>
    <w:next w:val="Normal"/>
    <w:link w:val="Heading6Char"/>
    <w:qFormat/>
    <w:rsid w:val="0021614B"/>
    <w:pPr>
      <w:spacing w:before="60"/>
      <w:outlineLvl w:val="5"/>
    </w:pPr>
    <w:rPr>
      <w:color w:val="918585"/>
      <w:sz w:val="20"/>
    </w:rPr>
  </w:style>
  <w:style w:type="paragraph" w:styleId="Heading7">
    <w:name w:val="heading 7"/>
    <w:basedOn w:val="Normal"/>
    <w:next w:val="Normal"/>
    <w:link w:val="Heading7Char"/>
    <w:qFormat/>
    <w:rsid w:val="0021614B"/>
    <w:pPr>
      <w:ind w:left="720"/>
      <w:outlineLvl w:val="6"/>
    </w:pPr>
    <w:rPr>
      <w:i/>
    </w:rPr>
  </w:style>
  <w:style w:type="paragraph" w:styleId="Heading8">
    <w:name w:val="heading 8"/>
    <w:basedOn w:val="Normal"/>
    <w:next w:val="Normal"/>
    <w:link w:val="Heading8Char"/>
    <w:qFormat/>
    <w:rsid w:val="0021614B"/>
    <w:pPr>
      <w:ind w:left="720"/>
      <w:outlineLvl w:val="7"/>
    </w:pPr>
    <w:rPr>
      <w:i/>
    </w:rPr>
  </w:style>
  <w:style w:type="paragraph" w:styleId="Heading9">
    <w:name w:val="heading 9"/>
    <w:basedOn w:val="Normal"/>
    <w:next w:val="Normal"/>
    <w:link w:val="Heading9Char"/>
    <w:qFormat/>
    <w:rsid w:val="0021614B"/>
    <w:pPr>
      <w:ind w:left="720"/>
      <w:outlineLvl w:val="8"/>
    </w:pPr>
    <w:rPr>
      <w:i/>
    </w:rPr>
  </w:style>
  <w:style w:type="character" w:default="1" w:styleId="DefaultParagraphFont">
    <w:name w:val="Default Paragraph Font"/>
    <w:uiPriority w:val="1"/>
    <w:unhideWhenUsed/>
    <w:rsid w:val="002161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14B"/>
  </w:style>
  <w:style w:type="character" w:customStyle="1" w:styleId="Heading1Char">
    <w:name w:val="Heading 1 Char"/>
    <w:basedOn w:val="DefaultParagraphFont"/>
    <w:link w:val="Heading1"/>
    <w:rsid w:val="0021614B"/>
    <w:rPr>
      <w:rFonts w:ascii="Times New Roman" w:eastAsia="Times New Roman" w:hAnsi="Times New Roman" w:cs="Times New Roman"/>
      <w:b/>
      <w:sz w:val="32"/>
      <w:szCs w:val="20"/>
      <w:lang w:eastAsia="en-US"/>
    </w:rPr>
  </w:style>
  <w:style w:type="paragraph" w:styleId="BodyText">
    <w:name w:val="Body Text"/>
    <w:basedOn w:val="Normal"/>
    <w:link w:val="BodyTextChar"/>
    <w:rsid w:val="002161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14B"/>
    <w:rPr>
      <w:rFonts w:ascii="Times New Roman" w:eastAsia="Times New Roman" w:hAnsi="Times New Roman" w:cs="Times New Roman"/>
      <w:sz w:val="24"/>
      <w:lang w:eastAsia="en-US"/>
    </w:rPr>
  </w:style>
  <w:style w:type="paragraph" w:styleId="ListBullet">
    <w:name w:val="List Bullet"/>
    <w:basedOn w:val="List"/>
    <w:rsid w:val="0021614B"/>
    <w:pPr>
      <w:numPr>
        <w:numId w:val="13"/>
      </w:numPr>
      <w:tabs>
        <w:tab w:val="clear" w:pos="340"/>
      </w:tabs>
      <w:spacing w:before="40" w:after="40"/>
    </w:pPr>
  </w:style>
  <w:style w:type="character" w:customStyle="1" w:styleId="SpecialBold">
    <w:name w:val="Special Bold"/>
    <w:basedOn w:val="DefaultParagraphFont"/>
    <w:rsid w:val="0021614B"/>
    <w:rPr>
      <w:b/>
      <w:spacing w:val="0"/>
    </w:rPr>
  </w:style>
  <w:style w:type="paragraph" w:styleId="ListBullet2">
    <w:name w:val="List Bullet 2"/>
    <w:basedOn w:val="List2"/>
    <w:rsid w:val="0021614B"/>
    <w:pPr>
      <w:numPr>
        <w:numId w:val="14"/>
      </w:numPr>
      <w:tabs>
        <w:tab w:val="clear" w:pos="680"/>
      </w:tabs>
    </w:pPr>
  </w:style>
  <w:style w:type="character" w:styleId="Emphasis">
    <w:name w:val="Emphasis"/>
    <w:basedOn w:val="DefaultParagraphFont"/>
    <w:qFormat/>
    <w:rsid w:val="0021614B"/>
    <w:rPr>
      <w:i/>
    </w:rPr>
  </w:style>
  <w:style w:type="paragraph" w:customStyle="1" w:styleId="SuperHeading">
    <w:name w:val="SuperHeading"/>
    <w:basedOn w:val="Normal"/>
    <w:rsid w:val="0021614B"/>
    <w:pPr>
      <w:spacing w:before="240" w:after="120"/>
      <w:outlineLvl w:val="0"/>
    </w:pPr>
    <w:rPr>
      <w:rFonts w:ascii="Times New Roman" w:hAnsi="Times New Roman"/>
      <w:b/>
      <w:sz w:val="32"/>
    </w:rPr>
  </w:style>
  <w:style w:type="paragraph" w:customStyle="1" w:styleId="AllowPageBreak">
    <w:name w:val="AllowPageBreak"/>
    <w:rsid w:val="002161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1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1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1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1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1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1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1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14B"/>
    <w:rPr>
      <w:rFonts w:ascii="Courier New" w:eastAsia="Times New Roman" w:hAnsi="Courier New" w:cs="Times New Roman"/>
      <w:i/>
      <w:szCs w:val="20"/>
      <w:lang w:eastAsia="en-US"/>
    </w:rPr>
  </w:style>
  <w:style w:type="paragraph" w:customStyle="1" w:styleId="HeadingBase">
    <w:name w:val="Heading Base"/>
    <w:rsid w:val="002161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14B"/>
    <w:pPr>
      <w:tabs>
        <w:tab w:val="right" w:leader="dot" w:pos="9072"/>
      </w:tabs>
      <w:ind w:left="567"/>
    </w:pPr>
    <w:rPr>
      <w:szCs w:val="22"/>
    </w:rPr>
  </w:style>
  <w:style w:type="paragraph" w:customStyle="1" w:styleId="TOCBase">
    <w:name w:val="TOC Base"/>
    <w:rsid w:val="002161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14B"/>
    <w:pPr>
      <w:tabs>
        <w:tab w:val="right" w:leader="dot" w:pos="9072"/>
      </w:tabs>
      <w:spacing w:before="40" w:after="40"/>
      <w:ind w:left="284"/>
    </w:pPr>
    <w:rPr>
      <w:rFonts w:ascii="Times New Roman" w:hAnsi="Times New Roman"/>
    </w:rPr>
  </w:style>
  <w:style w:type="paragraph" w:styleId="TOC1">
    <w:name w:val="toc 1"/>
    <w:basedOn w:val="TOCBase"/>
    <w:next w:val="Normal"/>
    <w:rsid w:val="002161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1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14B"/>
    <w:rPr>
      <w:rFonts w:ascii="Times New Roman" w:eastAsia="Times New Roman" w:hAnsi="Times New Roman" w:cs="Times New Roman"/>
      <w:sz w:val="16"/>
      <w:lang w:eastAsia="en-US"/>
    </w:rPr>
  </w:style>
  <w:style w:type="paragraph" w:styleId="Title">
    <w:name w:val="Title"/>
    <w:basedOn w:val="HeadingBase"/>
    <w:link w:val="TitleChar"/>
    <w:qFormat/>
    <w:rsid w:val="0021614B"/>
    <w:pPr>
      <w:spacing w:before="5040"/>
      <w:jc w:val="center"/>
    </w:pPr>
    <w:rPr>
      <w:sz w:val="48"/>
      <w:szCs w:val="72"/>
      <w:lang w:val="en-US"/>
    </w:rPr>
  </w:style>
  <w:style w:type="character" w:customStyle="1" w:styleId="TitleChar">
    <w:name w:val="Title Char"/>
    <w:basedOn w:val="DefaultParagraphFont"/>
    <w:link w:val="Title"/>
    <w:rsid w:val="002161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14B"/>
    <w:pPr>
      <w:tabs>
        <w:tab w:val="left" w:pos="3600"/>
        <w:tab w:val="left" w:pos="3958"/>
      </w:tabs>
    </w:pPr>
  </w:style>
  <w:style w:type="paragraph" w:styleId="List">
    <w:name w:val="List"/>
    <w:basedOn w:val="BodyText"/>
    <w:next w:val="BodyText"/>
    <w:rsid w:val="0021614B"/>
    <w:pPr>
      <w:tabs>
        <w:tab w:val="left" w:pos="340"/>
      </w:tabs>
      <w:spacing w:before="60" w:after="60"/>
      <w:ind w:left="340" w:hanging="340"/>
    </w:pPr>
  </w:style>
  <w:style w:type="paragraph" w:customStyle="1" w:styleId="Note">
    <w:name w:val="Note"/>
    <w:basedOn w:val="BodyText"/>
    <w:rsid w:val="002161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14B"/>
    <w:pPr>
      <w:framePr w:wrap="auto" w:hAnchor="text" w:y="6049"/>
    </w:pPr>
    <w:rPr>
      <w:color w:val="000000"/>
      <w:sz w:val="40"/>
    </w:rPr>
  </w:style>
  <w:style w:type="paragraph" w:customStyle="1" w:styleId="TOCTitle">
    <w:name w:val="TOCTitle"/>
    <w:basedOn w:val="Heading1"/>
    <w:rsid w:val="0021614B"/>
    <w:pPr>
      <w:spacing w:after="240"/>
      <w:jc w:val="center"/>
      <w:outlineLvl w:val="9"/>
    </w:pPr>
    <w:rPr>
      <w:caps/>
    </w:rPr>
  </w:style>
  <w:style w:type="paragraph" w:customStyle="1" w:styleId="Version">
    <w:name w:val="Version"/>
    <w:rsid w:val="002161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14B"/>
    <w:pPr>
      <w:keepNext w:val="0"/>
      <w:tabs>
        <w:tab w:val="right" w:pos="4176"/>
      </w:tabs>
      <w:ind w:left="198" w:hanging="198"/>
    </w:pPr>
    <w:rPr>
      <w:rFonts w:ascii="Garamond" w:hAnsi="Garamond"/>
    </w:rPr>
  </w:style>
  <w:style w:type="paragraph" w:styleId="IndexHeading">
    <w:name w:val="index heading"/>
    <w:basedOn w:val="Normal"/>
    <w:next w:val="Index1"/>
    <w:semiHidden/>
    <w:rsid w:val="0021614B"/>
    <w:pPr>
      <w:spacing w:before="120" w:after="120"/>
    </w:pPr>
    <w:rPr>
      <w:rFonts w:ascii="Arial" w:hAnsi="Arial"/>
      <w:b/>
      <w:color w:val="918585"/>
      <w:sz w:val="24"/>
    </w:rPr>
  </w:style>
  <w:style w:type="paragraph" w:styleId="Header">
    <w:name w:val="header"/>
    <w:basedOn w:val="Normal"/>
    <w:link w:val="HeaderChar"/>
    <w:rsid w:val="002161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14B"/>
    <w:rPr>
      <w:rFonts w:ascii="Times New Roman" w:eastAsia="Times New Roman" w:hAnsi="Times New Roman" w:cs="Times New Roman"/>
      <w:sz w:val="16"/>
      <w:szCs w:val="20"/>
      <w:lang w:val="en-GB" w:eastAsia="en-US"/>
    </w:rPr>
  </w:style>
  <w:style w:type="paragraph" w:customStyle="1" w:styleId="Chapter">
    <w:name w:val="Chapter"/>
    <w:basedOn w:val="Normal"/>
    <w:rsid w:val="0021614B"/>
    <w:pPr>
      <w:spacing w:before="240"/>
    </w:pPr>
    <w:rPr>
      <w:rFonts w:ascii="Times New Roman" w:hAnsi="Times New Roman"/>
      <w:smallCaps/>
      <w:spacing w:val="80"/>
      <w:sz w:val="28"/>
    </w:rPr>
  </w:style>
  <w:style w:type="paragraph" w:customStyle="1" w:styleId="InChapter">
    <w:name w:val="InChapter"/>
    <w:basedOn w:val="Heading3"/>
    <w:rsid w:val="0021614B"/>
    <w:pPr>
      <w:spacing w:after="240"/>
      <w:outlineLvl w:val="9"/>
    </w:pPr>
    <w:rPr>
      <w:noProof/>
    </w:rPr>
  </w:style>
  <w:style w:type="paragraph" w:styleId="Index2">
    <w:name w:val="index 2"/>
    <w:basedOn w:val="Normal"/>
    <w:next w:val="Normal"/>
    <w:semiHidden/>
    <w:rsid w:val="0021614B"/>
    <w:pPr>
      <w:tabs>
        <w:tab w:val="right" w:pos="4176"/>
      </w:tabs>
      <w:ind w:left="568" w:hanging="284"/>
    </w:pPr>
    <w:rPr>
      <w:rFonts w:ascii="Garamond" w:hAnsi="Garamond"/>
    </w:rPr>
  </w:style>
  <w:style w:type="paragraph" w:customStyle="1" w:styleId="Byline">
    <w:name w:val="Byline"/>
    <w:rsid w:val="002161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14B"/>
    <w:pPr>
      <w:tabs>
        <w:tab w:val="clear" w:pos="3600"/>
        <w:tab w:val="clear" w:pos="3958"/>
      </w:tabs>
      <w:jc w:val="right"/>
    </w:pPr>
  </w:style>
  <w:style w:type="paragraph" w:styleId="Caption">
    <w:name w:val="caption"/>
    <w:basedOn w:val="BodyText"/>
    <w:next w:val="Normal"/>
    <w:qFormat/>
    <w:rsid w:val="0021614B"/>
    <w:pPr>
      <w:framePr w:w="2268" w:hSpace="181" w:vSpace="181" w:wrap="around" w:vAnchor="text" w:hAnchor="page" w:x="1135" w:y="285" w:anchorLock="1"/>
    </w:pPr>
    <w:rPr>
      <w:i/>
    </w:rPr>
  </w:style>
  <w:style w:type="paragraph" w:customStyle="1" w:styleId="MiniTOCTitle">
    <w:name w:val="MiniTOCTitle"/>
    <w:basedOn w:val="Heading4"/>
    <w:rsid w:val="0021614B"/>
    <w:pPr>
      <w:spacing w:before="240"/>
      <w:outlineLvl w:val="9"/>
    </w:pPr>
    <w:rPr>
      <w:noProof/>
      <w:sz w:val="24"/>
    </w:rPr>
  </w:style>
  <w:style w:type="paragraph" w:customStyle="1" w:styleId="MiniTOCItem">
    <w:name w:val="MiniTOCItem"/>
    <w:basedOn w:val="ListBullet"/>
    <w:rsid w:val="0021614B"/>
    <w:pPr>
      <w:numPr>
        <w:numId w:val="0"/>
      </w:numPr>
      <w:tabs>
        <w:tab w:val="right" w:leader="dot" w:pos="6521"/>
      </w:tabs>
      <w:spacing w:before="0" w:after="0"/>
    </w:pPr>
  </w:style>
  <w:style w:type="paragraph" w:customStyle="1" w:styleId="TOFTitle">
    <w:name w:val="TOFTitle"/>
    <w:basedOn w:val="TOCTitle"/>
    <w:rsid w:val="0021614B"/>
  </w:style>
  <w:style w:type="paragraph" w:styleId="TableofFigures">
    <w:name w:val="table of figures"/>
    <w:basedOn w:val="Normal"/>
    <w:next w:val="Normal"/>
    <w:semiHidden/>
    <w:rsid w:val="0021614B"/>
    <w:pPr>
      <w:tabs>
        <w:tab w:val="right" w:leader="dot" w:pos="9072"/>
      </w:tabs>
      <w:ind w:left="970" w:hanging="403"/>
    </w:pPr>
    <w:rPr>
      <w:rFonts w:ascii="Times New Roman" w:hAnsi="Times New Roman"/>
      <w:b/>
    </w:rPr>
  </w:style>
  <w:style w:type="paragraph" w:styleId="ListNumber">
    <w:name w:val="List Number"/>
    <w:basedOn w:val="List"/>
    <w:rsid w:val="0021614B"/>
    <w:pPr>
      <w:numPr>
        <w:numId w:val="11"/>
      </w:numPr>
    </w:pPr>
  </w:style>
  <w:style w:type="character" w:customStyle="1" w:styleId="WingdingSymbols">
    <w:name w:val="Wingding Symbols"/>
    <w:rsid w:val="0021614B"/>
    <w:rPr>
      <w:rFonts w:ascii="Wingdings" w:hAnsi="Wingdings"/>
    </w:rPr>
  </w:style>
  <w:style w:type="paragraph" w:customStyle="1" w:styleId="TableHeading">
    <w:name w:val="Table Heading"/>
    <w:basedOn w:val="HeadingBase"/>
    <w:rsid w:val="0021614B"/>
    <w:pPr>
      <w:keepLines/>
      <w:pBdr>
        <w:bottom w:val="single" w:sz="6" w:space="1" w:color="918585"/>
      </w:pBdr>
      <w:spacing w:before="240"/>
    </w:pPr>
  </w:style>
  <w:style w:type="character" w:customStyle="1" w:styleId="HotSpot">
    <w:name w:val="HotSpot"/>
    <w:rsid w:val="0021614B"/>
    <w:rPr>
      <w:color w:val="0033CC"/>
      <w:u w:val="none"/>
    </w:rPr>
  </w:style>
  <w:style w:type="paragraph" w:customStyle="1" w:styleId="BodyTextRight">
    <w:name w:val="Body Text Right"/>
    <w:basedOn w:val="BodyText"/>
    <w:rsid w:val="0021614B"/>
    <w:pPr>
      <w:spacing w:before="0" w:after="0"/>
      <w:jc w:val="right"/>
    </w:pPr>
  </w:style>
  <w:style w:type="paragraph" w:styleId="Index3">
    <w:name w:val="index 3"/>
    <w:basedOn w:val="ListNumber2"/>
    <w:next w:val="Normal"/>
    <w:semiHidden/>
    <w:rsid w:val="0021614B"/>
    <w:pPr>
      <w:numPr>
        <w:numId w:val="0"/>
      </w:numPr>
      <w:tabs>
        <w:tab w:val="right" w:leader="dot" w:pos="4176"/>
      </w:tabs>
    </w:pPr>
  </w:style>
  <w:style w:type="paragraph" w:styleId="ListNumber2">
    <w:name w:val="List Number 2"/>
    <w:basedOn w:val="List2"/>
    <w:rsid w:val="0021614B"/>
    <w:pPr>
      <w:numPr>
        <w:numId w:val="10"/>
      </w:numPr>
      <w:tabs>
        <w:tab w:val="clear" w:pos="1060"/>
      </w:tabs>
    </w:pPr>
  </w:style>
  <w:style w:type="paragraph" w:customStyle="1" w:styleId="MarginNote">
    <w:name w:val="Margin Note"/>
    <w:basedOn w:val="BodyText"/>
    <w:rsid w:val="002161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1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1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14B"/>
    <w:rPr>
      <w:sz w:val="32"/>
    </w:rPr>
  </w:style>
  <w:style w:type="paragraph" w:customStyle="1" w:styleId="HeadingProcedure">
    <w:name w:val="Heading Procedure"/>
    <w:basedOn w:val="HeadingBase"/>
    <w:next w:val="Normal"/>
    <w:rsid w:val="0021614B"/>
    <w:pPr>
      <w:tabs>
        <w:tab w:val="left" w:pos="0"/>
      </w:tabs>
      <w:spacing w:before="120" w:after="60"/>
    </w:pPr>
    <w:rPr>
      <w:i/>
      <w:color w:val="918585"/>
      <w:sz w:val="22"/>
    </w:rPr>
  </w:style>
  <w:style w:type="paragraph" w:customStyle="1" w:styleId="TableBodyText">
    <w:name w:val="Table Body Text"/>
    <w:basedOn w:val="BodyText"/>
    <w:rsid w:val="0021614B"/>
    <w:pPr>
      <w:spacing w:before="60" w:after="60"/>
    </w:pPr>
  </w:style>
  <w:style w:type="paragraph" w:styleId="ListContinue">
    <w:name w:val="List Continue"/>
    <w:basedOn w:val="List"/>
    <w:rsid w:val="0021614B"/>
    <w:pPr>
      <w:ind w:firstLine="0"/>
    </w:pPr>
  </w:style>
  <w:style w:type="paragraph" w:customStyle="1" w:styleId="ListNote">
    <w:name w:val="List Note"/>
    <w:basedOn w:val="List"/>
    <w:rsid w:val="0021614B"/>
    <w:pPr>
      <w:pBdr>
        <w:top w:val="single" w:sz="6" w:space="2" w:color="918585"/>
        <w:bottom w:val="single" w:sz="6" w:space="2" w:color="918585"/>
      </w:pBdr>
      <w:tabs>
        <w:tab w:val="left" w:pos="1021"/>
      </w:tabs>
      <w:ind w:firstLine="0"/>
    </w:pPr>
  </w:style>
  <w:style w:type="paragraph" w:customStyle="1" w:styleId="Warning">
    <w:name w:val="Warning"/>
    <w:basedOn w:val="BodyText"/>
    <w:rsid w:val="0021614B"/>
    <w:pPr>
      <w:shd w:val="clear" w:color="auto" w:fill="D9D9D9"/>
      <w:tabs>
        <w:tab w:val="left" w:pos="992"/>
      </w:tabs>
      <w:ind w:left="119" w:right="119"/>
    </w:pPr>
    <w:rPr>
      <w:sz w:val="20"/>
    </w:rPr>
  </w:style>
  <w:style w:type="paragraph" w:customStyle="1" w:styleId="MarginIcons">
    <w:name w:val="Margin Icons"/>
    <w:basedOn w:val="BodyText"/>
    <w:rsid w:val="002161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14B"/>
    <w:rPr>
      <w:rFonts w:ascii="Courier New" w:hAnsi="Courier New"/>
    </w:rPr>
  </w:style>
  <w:style w:type="paragraph" w:customStyle="1" w:styleId="NoteBullet">
    <w:name w:val="Note Bullet"/>
    <w:basedOn w:val="Note"/>
    <w:rsid w:val="0021614B"/>
    <w:pPr>
      <w:tabs>
        <w:tab w:val="clear" w:pos="680"/>
      </w:tabs>
      <w:spacing w:before="60" w:after="60"/>
    </w:pPr>
  </w:style>
  <w:style w:type="paragraph" w:customStyle="1" w:styleId="SubHeading2">
    <w:name w:val="SubHeading2"/>
    <w:basedOn w:val="HeadingBase"/>
    <w:rsid w:val="0021614B"/>
    <w:pPr>
      <w:spacing w:before="240" w:after="60"/>
    </w:pPr>
    <w:rPr>
      <w:sz w:val="20"/>
    </w:rPr>
  </w:style>
  <w:style w:type="paragraph" w:customStyle="1" w:styleId="SubHeading1">
    <w:name w:val="SubHeading1"/>
    <w:basedOn w:val="HeadingBase"/>
    <w:rsid w:val="0021614B"/>
    <w:pPr>
      <w:spacing w:before="240" w:after="60"/>
    </w:pPr>
    <w:rPr>
      <w:color w:val="918585"/>
      <w:sz w:val="22"/>
    </w:rPr>
  </w:style>
  <w:style w:type="paragraph" w:customStyle="1" w:styleId="SideHeading">
    <w:name w:val="Side Heading"/>
    <w:basedOn w:val="HeadingBase"/>
    <w:rsid w:val="002161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14B"/>
    <w:pPr>
      <w:numPr>
        <w:numId w:val="12"/>
      </w:numPr>
    </w:pPr>
  </w:style>
  <w:style w:type="paragraph" w:styleId="PlainText">
    <w:name w:val="Plain Text"/>
    <w:basedOn w:val="Normal"/>
    <w:link w:val="PlainTextChar"/>
    <w:rsid w:val="0021614B"/>
    <w:rPr>
      <w:sz w:val="20"/>
    </w:rPr>
  </w:style>
  <w:style w:type="character" w:customStyle="1" w:styleId="PlainTextChar">
    <w:name w:val="Plain Text Char"/>
    <w:basedOn w:val="DefaultParagraphFont"/>
    <w:link w:val="PlainText"/>
    <w:rsid w:val="0021614B"/>
    <w:rPr>
      <w:rFonts w:ascii="Courier New" w:eastAsia="Times New Roman" w:hAnsi="Courier New" w:cs="Times New Roman"/>
      <w:sz w:val="20"/>
      <w:szCs w:val="20"/>
      <w:lang w:eastAsia="en-US"/>
    </w:rPr>
  </w:style>
  <w:style w:type="character" w:customStyle="1" w:styleId="MenuOption">
    <w:name w:val="Menu Option"/>
    <w:basedOn w:val="DefaultParagraphFont"/>
    <w:rsid w:val="0021614B"/>
    <w:rPr>
      <w:b/>
      <w:smallCaps/>
    </w:rPr>
  </w:style>
  <w:style w:type="paragraph" w:customStyle="1" w:styleId="TableListNumber">
    <w:name w:val="Table List Number"/>
    <w:basedOn w:val="ListNumber"/>
    <w:rsid w:val="0021614B"/>
    <w:pPr>
      <w:numPr>
        <w:numId w:val="0"/>
      </w:numPr>
    </w:pPr>
  </w:style>
  <w:style w:type="paragraph" w:styleId="TOC4">
    <w:name w:val="toc 4"/>
    <w:basedOn w:val="TOCBase"/>
    <w:next w:val="Normal"/>
    <w:semiHidden/>
    <w:rsid w:val="0021614B"/>
    <w:pPr>
      <w:tabs>
        <w:tab w:val="right" w:leader="dot" w:pos="9071"/>
      </w:tabs>
      <w:ind w:left="1701"/>
    </w:pPr>
  </w:style>
  <w:style w:type="paragraph" w:customStyle="1" w:styleId="ListAlpha">
    <w:name w:val="List Alpha"/>
    <w:basedOn w:val="List"/>
    <w:rsid w:val="0021614B"/>
    <w:pPr>
      <w:numPr>
        <w:numId w:val="9"/>
      </w:numPr>
    </w:pPr>
  </w:style>
  <w:style w:type="paragraph" w:customStyle="1" w:styleId="ListAlpha2">
    <w:name w:val="List Alpha 2"/>
    <w:basedOn w:val="List2"/>
    <w:rsid w:val="0021614B"/>
    <w:pPr>
      <w:numPr>
        <w:numId w:val="8"/>
      </w:numPr>
    </w:pPr>
  </w:style>
  <w:style w:type="paragraph" w:styleId="List2">
    <w:name w:val="List 2"/>
    <w:basedOn w:val="BodyText"/>
    <w:rsid w:val="0021614B"/>
    <w:pPr>
      <w:tabs>
        <w:tab w:val="left" w:pos="680"/>
      </w:tabs>
      <w:spacing w:before="60" w:after="60"/>
      <w:ind w:left="680" w:hanging="340"/>
    </w:pPr>
  </w:style>
  <w:style w:type="paragraph" w:styleId="List3">
    <w:name w:val="List 3"/>
    <w:basedOn w:val="BodyText"/>
    <w:rsid w:val="0021614B"/>
    <w:pPr>
      <w:tabs>
        <w:tab w:val="left" w:pos="1021"/>
      </w:tabs>
      <w:spacing w:before="60" w:after="60"/>
      <w:ind w:left="1020" w:hanging="340"/>
    </w:pPr>
  </w:style>
  <w:style w:type="paragraph" w:styleId="List4">
    <w:name w:val="List 4"/>
    <w:basedOn w:val="BodyText"/>
    <w:rsid w:val="0021614B"/>
    <w:pPr>
      <w:tabs>
        <w:tab w:val="left" w:pos="1361"/>
      </w:tabs>
      <w:spacing w:before="60" w:after="60"/>
      <w:ind w:left="1361" w:hanging="340"/>
    </w:pPr>
  </w:style>
  <w:style w:type="paragraph" w:styleId="List5">
    <w:name w:val="List 5"/>
    <w:basedOn w:val="BodyText"/>
    <w:rsid w:val="0021614B"/>
    <w:pPr>
      <w:tabs>
        <w:tab w:val="left" w:pos="1701"/>
      </w:tabs>
      <w:spacing w:before="60" w:after="60"/>
      <w:ind w:left="1701" w:hanging="340"/>
    </w:pPr>
  </w:style>
  <w:style w:type="paragraph" w:styleId="ListBullet3">
    <w:name w:val="List Bullet 3"/>
    <w:basedOn w:val="List3"/>
    <w:rsid w:val="0021614B"/>
    <w:pPr>
      <w:numPr>
        <w:numId w:val="15"/>
      </w:numPr>
      <w:tabs>
        <w:tab w:val="clear" w:pos="1021"/>
      </w:tabs>
      <w:ind w:left="1037" w:hanging="357"/>
    </w:pPr>
  </w:style>
  <w:style w:type="paragraph" w:styleId="ListBullet4">
    <w:name w:val="List Bullet 4"/>
    <w:basedOn w:val="List4"/>
    <w:rsid w:val="0021614B"/>
    <w:pPr>
      <w:numPr>
        <w:numId w:val="3"/>
      </w:numPr>
    </w:pPr>
  </w:style>
  <w:style w:type="paragraph" w:styleId="ListBullet5">
    <w:name w:val="List Bullet 5"/>
    <w:basedOn w:val="List5"/>
    <w:rsid w:val="0021614B"/>
    <w:pPr>
      <w:numPr>
        <w:numId w:val="4"/>
      </w:numPr>
    </w:pPr>
  </w:style>
  <w:style w:type="paragraph" w:styleId="ListContinue2">
    <w:name w:val="List Continue 2"/>
    <w:basedOn w:val="List2"/>
    <w:rsid w:val="0021614B"/>
    <w:pPr>
      <w:ind w:firstLine="0"/>
    </w:pPr>
  </w:style>
  <w:style w:type="paragraph" w:styleId="ListContinue3">
    <w:name w:val="List Continue 3"/>
    <w:basedOn w:val="List3"/>
    <w:rsid w:val="0021614B"/>
    <w:pPr>
      <w:ind w:left="1021" w:firstLine="0"/>
    </w:pPr>
  </w:style>
  <w:style w:type="paragraph" w:styleId="ListContinue4">
    <w:name w:val="List Continue 4"/>
    <w:basedOn w:val="List4"/>
    <w:rsid w:val="0021614B"/>
    <w:pPr>
      <w:ind w:firstLine="0"/>
    </w:pPr>
  </w:style>
  <w:style w:type="paragraph" w:styleId="ListContinue5">
    <w:name w:val="List Continue 5"/>
    <w:basedOn w:val="List5"/>
    <w:rsid w:val="0021614B"/>
    <w:pPr>
      <w:ind w:firstLine="0"/>
    </w:pPr>
  </w:style>
  <w:style w:type="paragraph" w:styleId="ListNumber3">
    <w:name w:val="List Number 3"/>
    <w:basedOn w:val="List3"/>
    <w:rsid w:val="0021614B"/>
    <w:pPr>
      <w:numPr>
        <w:numId w:val="5"/>
      </w:numPr>
    </w:pPr>
  </w:style>
  <w:style w:type="paragraph" w:styleId="ListNumber4">
    <w:name w:val="List Number 4"/>
    <w:basedOn w:val="List4"/>
    <w:rsid w:val="0021614B"/>
    <w:pPr>
      <w:numPr>
        <w:numId w:val="6"/>
      </w:numPr>
    </w:pPr>
  </w:style>
  <w:style w:type="paragraph" w:styleId="ListNumber5">
    <w:name w:val="List Number 5"/>
    <w:basedOn w:val="List5"/>
    <w:rsid w:val="0021614B"/>
    <w:pPr>
      <w:numPr>
        <w:numId w:val="7"/>
      </w:numPr>
    </w:pPr>
  </w:style>
  <w:style w:type="paragraph" w:styleId="BlockText">
    <w:name w:val="Block Text"/>
    <w:basedOn w:val="Normal"/>
    <w:rsid w:val="0021614B"/>
    <w:pPr>
      <w:spacing w:after="120"/>
      <w:ind w:left="1440" w:right="1440"/>
    </w:pPr>
  </w:style>
  <w:style w:type="character" w:customStyle="1" w:styleId="Subscript">
    <w:name w:val="Subscript"/>
    <w:basedOn w:val="DefaultParagraphFont"/>
    <w:rsid w:val="0021614B"/>
    <w:rPr>
      <w:sz w:val="16"/>
      <w:vertAlign w:val="subscript"/>
    </w:rPr>
  </w:style>
  <w:style w:type="character" w:customStyle="1" w:styleId="Superscript">
    <w:name w:val="Superscript"/>
    <w:basedOn w:val="DefaultParagraphFont"/>
    <w:rsid w:val="0021614B"/>
    <w:rPr>
      <w:sz w:val="16"/>
      <w:vertAlign w:val="superscript"/>
    </w:rPr>
  </w:style>
  <w:style w:type="character" w:customStyle="1" w:styleId="Symbols">
    <w:name w:val="Symbols"/>
    <w:basedOn w:val="DefaultParagraphFont"/>
    <w:rsid w:val="0021614B"/>
    <w:rPr>
      <w:rFonts w:ascii="Symbol" w:hAnsi="Symbol"/>
    </w:rPr>
  </w:style>
  <w:style w:type="character" w:customStyle="1" w:styleId="MenuOptions">
    <w:name w:val="Menu Options"/>
    <w:basedOn w:val="DefaultParagraphFont"/>
    <w:rsid w:val="0021614B"/>
    <w:rPr>
      <w:rFonts w:ascii="Arial Narrow" w:hAnsi="Arial Narrow"/>
      <w:smallCaps/>
    </w:rPr>
  </w:style>
  <w:style w:type="character" w:customStyle="1" w:styleId="Buttons">
    <w:name w:val="Buttons"/>
    <w:basedOn w:val="DefaultParagraphFont"/>
    <w:rsid w:val="0021614B"/>
    <w:rPr>
      <w:b/>
    </w:rPr>
  </w:style>
  <w:style w:type="character" w:customStyle="1" w:styleId="Underlined">
    <w:name w:val="Underlined"/>
    <w:basedOn w:val="DefaultParagraphFont"/>
    <w:rsid w:val="0021614B"/>
    <w:rPr>
      <w:u w:val="single"/>
    </w:rPr>
  </w:style>
  <w:style w:type="paragraph" w:customStyle="1" w:styleId="TableBodyTextRight">
    <w:name w:val="Table Body Text Right"/>
    <w:basedOn w:val="TableBodyText"/>
    <w:rsid w:val="0021614B"/>
    <w:pPr>
      <w:widowControl w:val="0"/>
      <w:autoSpaceDE w:val="0"/>
      <w:autoSpaceDN w:val="0"/>
      <w:adjustRightInd w:val="0"/>
      <w:jc w:val="right"/>
    </w:pPr>
    <w:rPr>
      <w:rFonts w:cs="Arial"/>
      <w:szCs w:val="18"/>
    </w:rPr>
  </w:style>
  <w:style w:type="paragraph" w:customStyle="1" w:styleId="CopyrightText">
    <w:name w:val="Copyright Text"/>
    <w:basedOn w:val="BodyText"/>
    <w:rsid w:val="0021614B"/>
    <w:rPr>
      <w:sz w:val="18"/>
    </w:rPr>
  </w:style>
  <w:style w:type="paragraph" w:customStyle="1" w:styleId="BodySmallRight">
    <w:name w:val="Body Small Right"/>
    <w:basedOn w:val="BodyTextRight"/>
    <w:rsid w:val="0021614B"/>
    <w:rPr>
      <w:sz w:val="18"/>
      <w:szCs w:val="18"/>
    </w:rPr>
  </w:style>
  <w:style w:type="paragraph" w:customStyle="1" w:styleId="MarginEdition">
    <w:name w:val="Margin Edition"/>
    <w:basedOn w:val="MarginNote"/>
    <w:rsid w:val="0021614B"/>
    <w:pPr>
      <w:spacing w:before="0" w:after="0"/>
    </w:pPr>
    <w:rPr>
      <w:rFonts w:ascii="Times New Roman" w:hAnsi="Times New Roman"/>
      <w:color w:val="999999"/>
    </w:rPr>
  </w:style>
  <w:style w:type="paragraph" w:customStyle="1" w:styleId="Spacer">
    <w:name w:val="Spacer"/>
    <w:basedOn w:val="Normal"/>
    <w:rsid w:val="0021614B"/>
    <w:rPr>
      <w:sz w:val="2"/>
      <w:szCs w:val="2"/>
    </w:rPr>
  </w:style>
  <w:style w:type="character" w:customStyle="1" w:styleId="Small">
    <w:name w:val="Small"/>
    <w:basedOn w:val="DefaultParagraphFont"/>
    <w:rsid w:val="0021614B"/>
    <w:rPr>
      <w:sz w:val="16"/>
    </w:rPr>
  </w:style>
  <w:style w:type="paragraph" w:customStyle="1" w:styleId="WideTable">
    <w:name w:val="Wide Table"/>
    <w:basedOn w:val="Normal"/>
    <w:rsid w:val="0021614B"/>
    <w:pPr>
      <w:ind w:left="-1418"/>
    </w:pPr>
    <w:rPr>
      <w:sz w:val="2"/>
      <w:szCs w:val="2"/>
    </w:rPr>
  </w:style>
  <w:style w:type="character" w:styleId="PageNumber">
    <w:name w:val="page number"/>
    <w:basedOn w:val="DefaultParagraphFont"/>
    <w:rsid w:val="0021614B"/>
  </w:style>
  <w:style w:type="paragraph" w:styleId="Quote">
    <w:name w:val="Quote"/>
    <w:basedOn w:val="Heading1"/>
    <w:link w:val="QuoteChar"/>
    <w:qFormat/>
    <w:rsid w:val="0021614B"/>
    <w:rPr>
      <w:b w:val="0"/>
      <w:sz w:val="72"/>
      <w:szCs w:val="72"/>
      <w:lang w:val="en-NZ"/>
    </w:rPr>
  </w:style>
  <w:style w:type="character" w:customStyle="1" w:styleId="QuoteChar">
    <w:name w:val="Quote Char"/>
    <w:basedOn w:val="DefaultParagraphFont"/>
    <w:link w:val="Quote"/>
    <w:rsid w:val="002161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14B"/>
    <w:pPr>
      <w:pageBreakBefore/>
    </w:pPr>
  </w:style>
  <w:style w:type="paragraph" w:customStyle="1" w:styleId="Border">
    <w:name w:val="Border"/>
    <w:basedOn w:val="Normal"/>
    <w:qFormat/>
    <w:rsid w:val="002161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14B"/>
    <w:rPr>
      <w:b/>
      <w:bCs/>
      <w:i/>
      <w:iCs/>
      <w:color w:val="auto"/>
    </w:rPr>
  </w:style>
  <w:style w:type="paragraph" w:styleId="IntenseQuote">
    <w:name w:val="Intense Quote"/>
    <w:basedOn w:val="Normal"/>
    <w:next w:val="Normal"/>
    <w:link w:val="IntenseQuoteChar"/>
    <w:uiPriority w:val="30"/>
    <w:qFormat/>
    <w:rsid w:val="002161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1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14B"/>
    <w:rPr>
      <w:smallCaps/>
      <w:color w:val="auto"/>
      <w:u w:val="single"/>
    </w:rPr>
  </w:style>
  <w:style w:type="character" w:styleId="IntenseReference">
    <w:name w:val="Intense Reference"/>
    <w:basedOn w:val="DefaultParagraphFont"/>
    <w:uiPriority w:val="32"/>
    <w:qFormat/>
    <w:rsid w:val="0021614B"/>
    <w:rPr>
      <w:b/>
      <w:bCs/>
      <w:smallCaps/>
      <w:color w:val="auto"/>
      <w:spacing w:val="5"/>
      <w:u w:val="single"/>
    </w:rPr>
  </w:style>
  <w:style w:type="paragraph" w:customStyle="1" w:styleId="2ColumnHeading">
    <w:name w:val="2Column Heading"/>
    <w:basedOn w:val="BodyText"/>
    <w:qFormat/>
    <w:rsid w:val="0021614B"/>
    <w:pPr>
      <w:spacing w:after="60"/>
      <w:ind w:left="-2268"/>
    </w:pPr>
    <w:rPr>
      <w:b/>
    </w:rPr>
  </w:style>
  <w:style w:type="paragraph" w:customStyle="1" w:styleId="Heading1TOC">
    <w:name w:val="Heading1 TOC"/>
    <w:basedOn w:val="Normal"/>
    <w:qFormat/>
    <w:rsid w:val="0021614B"/>
    <w:pPr>
      <w:spacing w:before="240" w:after="120"/>
    </w:pPr>
    <w:rPr>
      <w:rFonts w:ascii="Times New Roman" w:hAnsi="Times New Roman"/>
      <w:b/>
      <w:sz w:val="32"/>
    </w:rPr>
  </w:style>
  <w:style w:type="paragraph" w:customStyle="1" w:styleId="Heading2TOC">
    <w:name w:val="Heading2 TOC"/>
    <w:basedOn w:val="Normal"/>
    <w:qFormat/>
    <w:rsid w:val="0021614B"/>
    <w:pPr>
      <w:spacing w:before="240" w:after="60"/>
    </w:pPr>
    <w:rPr>
      <w:rFonts w:ascii="Times New Roman" w:hAnsi="Times New Roman"/>
      <w:b/>
      <w:sz w:val="28"/>
    </w:rPr>
  </w:style>
  <w:style w:type="character" w:customStyle="1" w:styleId="Underline">
    <w:name w:val="Underline"/>
    <w:basedOn w:val="DefaultParagraphFont"/>
    <w:qFormat/>
    <w:rsid w:val="0021614B"/>
    <w:rPr>
      <w:u w:val="single"/>
    </w:rPr>
  </w:style>
  <w:style w:type="character" w:customStyle="1" w:styleId="BoldandItalics">
    <w:name w:val="Bold and Italics"/>
    <w:qFormat/>
    <w:rsid w:val="0021614B"/>
    <w:rPr>
      <w:b/>
      <w:i/>
      <w:u w:val="none"/>
    </w:rPr>
  </w:style>
  <w:style w:type="paragraph" w:styleId="BalloonText">
    <w:name w:val="Balloon Text"/>
    <w:basedOn w:val="Normal"/>
    <w:link w:val="BalloonTextChar"/>
    <w:rsid w:val="0021614B"/>
    <w:rPr>
      <w:rFonts w:ascii="Tahoma" w:hAnsi="Tahoma" w:cs="Tahoma"/>
      <w:sz w:val="16"/>
      <w:szCs w:val="16"/>
    </w:rPr>
  </w:style>
  <w:style w:type="character" w:customStyle="1" w:styleId="BalloonTextChar">
    <w:name w:val="Balloon Text Char"/>
    <w:basedOn w:val="DefaultParagraphFont"/>
    <w:link w:val="BalloonText"/>
    <w:rsid w:val="002161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1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1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14B"/>
    <w:rPr>
      <w:b/>
      <w:color w:val="660033"/>
      <w:spacing w:val="0"/>
    </w:rPr>
  </w:style>
  <w:style w:type="paragraph" w:customStyle="1" w:styleId="Nameditemlist">
    <w:name w:val="Named item list"/>
    <w:basedOn w:val="BodyText"/>
    <w:qFormat/>
    <w:rsid w:val="002161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2477</Words>
  <Characters>15051</Characters>
  <Application>Microsoft Office Word</Application>
  <DocSecurity>0</DocSecurity>
  <Lines>621</Lines>
  <Paragraphs>213</Paragraphs>
  <ScaleCrop>false</ScaleCrop>
  <Company>Author-it Software Corporation Ltd.</Company>
  <LinksUpToDate>false</LinksUpToDate>
  <CharactersWithSpaces>17383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UEGNSG706A Test New Residential and Small Commercial Gas Installations</dc:title>
  <dc:subject>Approved</dc:subject>
  <dc:creator>E-Oz Training Standards</dc:creator>
  <cp:keywords>Release 1</cp:keywords>
  <dc:description>Review Date: 12 April 2008</dc:description>
  <cp:lastModifiedBy>HSD_TPCMSd.prod</cp:lastModifiedBy>
  <cp:revision>3</cp:revision>
  <dcterms:created xsi:type="dcterms:W3CDTF">2014-03-13T15:17:56Z</dcterms:created>
  <dcterms:modified xsi:type="dcterms:W3CDTF">2014-03-13T03:41:00Z</dcterms:modified>
</cp:coreProperties>
</file>