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4FEE" w:rsidP="00A34FEE">
      <w:pPr>
        <w:pStyle w:val="Title"/>
      </w:pPr>
      <w:r>
        <w:fldChar w:fldCharType="begin"/>
      </w:r>
      <w:r>
        <w:instrText xml:space="preserve"> TITLE   \* MERGEFORMAT </w:instrText>
      </w:r>
      <w:r>
        <w:fldChar w:fldCharType="separate"/>
      </w:r>
      <w:r>
        <w:t>UEGNSG705A Disconnect and reconnect small capacity gas meters</w:t>
      </w:r>
      <w:r>
        <w:fldChar w:fldCharType="end"/>
      </w:r>
    </w:p>
    <w:p w:rsidR="00A34FEE" w:rsidP="00A34FEE">
      <w:pPr>
        <w:pStyle w:val="Version"/>
        <w:sectPr w:rsidSect="00932B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2BB1" w:rsidP="00932BB1">
      <w:pPr>
        <w:pStyle w:val="SuperHeading"/>
      </w:pPr>
      <w:r w:rsidRPr="00932BB1">
        <w:t>UEGNSG705A Disconnect and reconnect small capacity gas meters</w:t>
      </w:r>
    </w:p>
    <w:p w:rsidR="00000000" w:rsidRPr="00932BB1" w:rsidP="00932BB1">
      <w:pPr>
        <w:pStyle w:val="Heading1"/>
      </w:pPr>
      <w:bookmarkStart w:id="1" w:name="O_613221"/>
      <w:bookmarkEnd w:id="1"/>
      <w:r w:rsidRPr="00932BB1">
        <w:t>Modification History</w:t>
      </w:r>
    </w:p>
    <w:p w:rsidR="00000000" w:rsidRPr="00932BB1" w:rsidP="00932BB1">
      <w:pPr>
        <w:pStyle w:val="BodyText"/>
      </w:pPr>
      <w:r w:rsidRPr="00932BB1">
        <w:t>Not applicable.</w:t>
      </w:r>
    </w:p>
    <w:p w:rsidR="00000000" w:rsidRPr="00932BB1" w:rsidP="00932BB1">
      <w:pPr>
        <w:pStyle w:val="AllowPageBreak"/>
      </w:pPr>
    </w:p>
    <w:p w:rsidR="00000000" w:rsidRPr="00932BB1" w:rsidP="00932BB1">
      <w:pPr>
        <w:pStyle w:val="Heading1"/>
      </w:pPr>
      <w:bookmarkStart w:id="2" w:name="O_613222"/>
      <w:bookmarkEnd w:id="2"/>
      <w:r w:rsidRPr="00932BB1">
        <w:t>Unit Descriptor</w:t>
      </w:r>
    </w:p>
    <w:tbl>
      <w:tblPr>
        <w:tblW w:w="0" w:type="auto"/>
        <w:tblLayout w:type="fixed"/>
        <w:tblCellMar>
          <w:left w:w="62" w:type="dxa"/>
          <w:right w:w="62" w:type="dxa"/>
        </w:tblCellMar>
        <w:tblLook w:val="0000"/>
      </w:tblPr>
      <w:tblGrid>
        <w:gridCol w:w="2638"/>
        <w:gridCol w:w="5760"/>
      </w:tblGrid>
      <w:tr w:rsidTr="00932BB1">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932BB1" w:rsidP="00932BB1">
            <w:pPr>
              <w:pStyle w:val="BodyText"/>
            </w:pPr>
            <w:r w:rsidRPr="00932BB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rPr>
                <w:rStyle w:val="SpecialBold"/>
              </w:rPr>
              <w:t>1) Scope:</w:t>
            </w:r>
          </w:p>
        </w:tc>
      </w:tr>
      <w:tr w:rsidTr="00932BB1">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932BB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rPr>
                <w:rStyle w:val="SpecialBold"/>
              </w:rPr>
              <w:t>1.1) Descriptor</w:t>
            </w:r>
          </w:p>
        </w:tc>
      </w:tr>
      <w:tr w:rsidTr="00932BB1">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32BB1" w:rsidP="00932BB1">
            <w:pPr>
              <w:pStyle w:val="BodyText"/>
            </w:pPr>
            <w:r w:rsidRPr="00932BB1">
              <w:t>This unit covers disconnecting, replacing and reconnecting small capacity (union connected) gas meters and associated components by a designated gas industry person following company standard operating procedures in accordance with relevant legislative, st</w:t>
            </w:r>
            <w:r w:rsidRPr="00932BB1">
              <w:t xml:space="preserve">andard and code requirements. </w:t>
            </w:r>
          </w:p>
          <w:p w:rsidR="00000000" w:rsidRPr="00932BB1" w:rsidP="00932BB1">
            <w:pPr>
              <w:pStyle w:val="BodyText"/>
            </w:pPr>
            <w:r w:rsidRPr="00932BB1">
              <w:t>It encompasses the use of hand tools and equipment to test the customer gas piping system and associated  meter connections filters, regulators and components for soundness following occupational health and safety requirement</w:t>
            </w:r>
            <w:r w:rsidRPr="00932BB1">
              <w:t>s and completing records and appropriate documentation.</w:t>
            </w:r>
          </w:p>
        </w:tc>
      </w:tr>
    </w:tbl>
    <w:p w:rsidR="00A34FEE" w:rsidP="00932BB1">
      <w:pPr>
        <w:pStyle w:val="BodyText"/>
      </w:pPr>
    </w:p>
    <w:p w:rsidR="00A34FEE" w:rsidP="00932BB1">
      <w:pPr>
        <w:pStyle w:val="BodyText"/>
      </w:pPr>
    </w:p>
    <w:p w:rsidR="00000000" w:rsidRPr="00932BB1" w:rsidP="00932BB1">
      <w:pPr>
        <w:pStyle w:val="Heading1"/>
      </w:pPr>
      <w:bookmarkStart w:id="3" w:name="O_613223"/>
      <w:bookmarkEnd w:id="3"/>
      <w:r w:rsidRPr="00932BB1">
        <w:t>Application of the Unit</w:t>
      </w:r>
    </w:p>
    <w:tbl>
      <w:tblPr>
        <w:tblW w:w="0" w:type="auto"/>
        <w:tblLayout w:type="fixed"/>
        <w:tblCellMar>
          <w:left w:w="62" w:type="dxa"/>
          <w:right w:w="62" w:type="dxa"/>
        </w:tblCellMar>
        <w:tblLook w:val="0000"/>
      </w:tblPr>
      <w:tblGrid>
        <w:gridCol w:w="2610"/>
        <w:gridCol w:w="5699"/>
      </w:tblGrid>
      <w:tr w:rsidTr="00932BB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RPr="00932BB1" w:rsidP="00932BB1">
            <w:pPr>
              <w:pStyle w:val="BodyText"/>
            </w:pPr>
            <w:r w:rsidRPr="00932BB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rPr>
                <w:rStyle w:val="SpecialBold"/>
              </w:rPr>
              <w:t>2)</w:t>
            </w:r>
          </w:p>
        </w:tc>
      </w:tr>
      <w:tr w:rsidTr="00932BB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32BB1" w:rsidP="00932BB1">
            <w:pPr>
              <w:pStyle w:val="BodyText"/>
            </w:pPr>
            <w:r w:rsidRPr="00932BB1">
              <w:t>This competency standard shall apply to any safe work site where small capacity gas meters are installed, subject to all Workplace Health and Safety (WHS)/Occupational Health and Safety (OHS) and duty of care requirements being met for the workplace.</w:t>
            </w:r>
          </w:p>
          <w:p w:rsidR="00000000" w:rsidRPr="00932BB1" w:rsidP="00932BB1">
            <w:pPr>
              <w:pStyle w:val="BodyText"/>
            </w:pPr>
            <w:r w:rsidRPr="00932BB1">
              <w:t xml:space="preserve">This </w:t>
            </w:r>
            <w:r w:rsidRPr="00932BB1">
              <w:t>unit is intended as an AQF 2 entry level competency for new entrants in the gas industry. It is suitable for pre-employment and employment-based programs under an approved contract of training.</w:t>
            </w:r>
          </w:p>
        </w:tc>
      </w:tr>
    </w:tbl>
    <w:p w:rsidR="00A34FEE" w:rsidP="00932BB1">
      <w:pPr>
        <w:pStyle w:val="BodyText"/>
      </w:pPr>
    </w:p>
    <w:p w:rsidR="00A34FEE" w:rsidP="00932BB1">
      <w:pPr>
        <w:pStyle w:val="BodyText"/>
      </w:pPr>
    </w:p>
    <w:p w:rsidR="00000000" w:rsidRPr="00932BB1" w:rsidP="00932BB1">
      <w:pPr>
        <w:pStyle w:val="Heading1"/>
      </w:pPr>
      <w:bookmarkStart w:id="4" w:name="O_613224"/>
      <w:bookmarkEnd w:id="4"/>
      <w:r w:rsidRPr="00932BB1">
        <w:t>Licensing/Regulatory Information</w:t>
      </w:r>
    </w:p>
    <w:tbl>
      <w:tblPr>
        <w:tblW w:w="0" w:type="auto"/>
        <w:tblLayout w:type="fixed"/>
        <w:tblCellMar>
          <w:left w:w="62" w:type="dxa"/>
          <w:right w:w="62" w:type="dxa"/>
        </w:tblCellMar>
        <w:tblLook w:val="0000"/>
      </w:tblPr>
      <w:tblGrid>
        <w:gridCol w:w="2638"/>
        <w:gridCol w:w="5760"/>
      </w:tblGrid>
      <w:tr w:rsidTr="00932BB1">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932BB1" w:rsidP="00932BB1">
            <w:pPr>
              <w:pStyle w:val="BodyText"/>
            </w:pPr>
            <w:r w:rsidRPr="00932BB1">
              <w:rPr>
                <w:rStyle w:val="SpecialBold"/>
              </w:rPr>
              <w:t>License t</w:t>
            </w:r>
            <w:r w:rsidRPr="00932BB1">
              <w:rPr>
                <w:rStyle w:val="SpecialBold"/>
              </w:rPr>
              <w:t>o practice</w:t>
            </w:r>
          </w:p>
        </w:tc>
        <w:tc>
          <w:tcPr>
            <w:tcW w:w="576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rPr>
                <w:rStyle w:val="SpecialBold"/>
              </w:rPr>
              <w:t xml:space="preserve">3) </w:t>
            </w:r>
          </w:p>
        </w:tc>
      </w:tr>
      <w:tr w:rsidTr="00932BB1">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932BB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932BB1" w:rsidP="00932BB1">
            <w:pPr>
              <w:pStyle w:val="BodyText"/>
            </w:pPr>
            <w:r w:rsidRPr="00932BB1">
              <w:rPr>
                <w:rStyle w:val="SpecialBold"/>
              </w:rPr>
              <w:t xml:space="preserve">During Training: </w:t>
            </w:r>
          </w:p>
          <w:p w:rsidR="00000000" w:rsidRPr="00932BB1" w:rsidP="00932BB1">
            <w:pPr>
              <w:pStyle w:val="BodyText"/>
            </w:pPr>
            <w:r w:rsidRPr="00932BB1">
              <w:t>Competency development activities are subject to regulations directly related to licensing, workplace health and safety/occupational health and safety and where applicable contracts of training.</w:t>
            </w:r>
          </w:p>
          <w:p w:rsidR="00000000" w:rsidRPr="00932BB1" w:rsidP="00932BB1">
            <w:pPr>
              <w:pStyle w:val="BodyText"/>
            </w:pPr>
          </w:p>
          <w:p w:rsidR="00000000" w:rsidRPr="00932BB1" w:rsidP="00932BB1">
            <w:pPr>
              <w:pStyle w:val="BodyText"/>
            </w:pPr>
            <w:r w:rsidRPr="00932BB1">
              <w:rPr>
                <w:rStyle w:val="SpecialBold"/>
              </w:rPr>
              <w:t xml:space="preserve">In the workplace: </w:t>
            </w:r>
          </w:p>
          <w:p w:rsidR="00000000" w:rsidRPr="00932BB1" w:rsidP="00932BB1">
            <w:pPr>
              <w:pStyle w:val="BodyText"/>
            </w:pPr>
            <w:r w:rsidRPr="00932BB1">
              <w:t>The skills and knowledge described in this unit are generally not subject to licence regulations other than those directly related to Workplace Health and Safety (WHS)/ Occupational Health and Safety (OHS), gas/electricity/water industry safety and complia</w:t>
            </w:r>
            <w:r w:rsidRPr="00932BB1">
              <w:t>nce, industrial relations, environmental protection, telecommunications, anti- discrimination and training.</w:t>
            </w:r>
          </w:p>
          <w:p w:rsidR="00000000" w:rsidRPr="00932BB1" w:rsidP="00932BB1">
            <w:pPr>
              <w:pStyle w:val="BodyText"/>
            </w:pPr>
          </w:p>
          <w:p w:rsidR="00000000" w:rsidRPr="00932BB1" w:rsidP="00932BB1">
            <w:pPr>
              <w:pStyle w:val="BodyText"/>
            </w:pPr>
            <w:r w:rsidRPr="00932BB1">
              <w:t xml:space="preserve">However, in some States/Territories they may be subject to Gas Fitting or G Class Gas license regulations.  </w:t>
            </w:r>
          </w:p>
          <w:p w:rsidR="00000000" w:rsidRPr="00932BB1" w:rsidP="00932BB1">
            <w:pPr>
              <w:pStyle w:val="BodyText"/>
            </w:pPr>
          </w:p>
          <w:p w:rsidR="00000000" w:rsidRPr="00932BB1" w:rsidP="00932BB1">
            <w:pPr>
              <w:pStyle w:val="BodyText"/>
            </w:pPr>
            <w:r w:rsidRPr="00932BB1">
              <w:t>Commonwealth, State/Territory or Loca</w:t>
            </w:r>
            <w:r w:rsidRPr="00932BB1">
              <w:t>l Government legislation and regulations may exist that limit the age at which a person can operate certain equipment. Other conditions may apply to this competency under State and Territory legislative and regulatory requirements.</w:t>
            </w:r>
          </w:p>
        </w:tc>
      </w:tr>
    </w:tbl>
    <w:p w:rsidR="00A34FEE" w:rsidP="00932BB1">
      <w:pPr>
        <w:pStyle w:val="BodyText"/>
      </w:pPr>
    </w:p>
    <w:p w:rsidR="00A34FEE" w:rsidP="00932BB1">
      <w:pPr>
        <w:pStyle w:val="BodyText"/>
      </w:pPr>
    </w:p>
    <w:p w:rsidR="00000000" w:rsidRPr="00932BB1" w:rsidP="00932BB1">
      <w:pPr>
        <w:pStyle w:val="Heading1"/>
      </w:pPr>
      <w:bookmarkStart w:id="5" w:name="O_613225"/>
      <w:bookmarkEnd w:id="5"/>
      <w:r w:rsidRPr="00932BB1">
        <w:t>Pre-</w:t>
      </w:r>
      <w:r w:rsidRPr="00932BB1">
        <w:t>Requisites</w:t>
      </w:r>
    </w:p>
    <w:tbl>
      <w:tblPr>
        <w:tblW w:w="0" w:type="auto"/>
        <w:tblLayout w:type="fixed"/>
        <w:tblCellMar>
          <w:left w:w="62" w:type="dxa"/>
          <w:right w:w="62" w:type="dxa"/>
        </w:tblCellMar>
        <w:tblLook w:val="0000"/>
      </w:tblPr>
      <w:tblGrid>
        <w:gridCol w:w="2638"/>
        <w:gridCol w:w="1682"/>
        <w:gridCol w:w="4078"/>
      </w:tblGrid>
      <w:tr w:rsidTr="00A34FEE">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932BB1" w:rsidP="00932BB1">
            <w:pPr>
              <w:pStyle w:val="BodyText"/>
            </w:pPr>
            <w:r w:rsidRPr="00932BB1">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rPr>
                <w:rStyle w:val="SpecialBold"/>
              </w:rPr>
              <w:t xml:space="preserve">4) </w:t>
            </w:r>
          </w:p>
        </w:tc>
      </w:tr>
      <w:tr w:rsidTr="00A34FEE">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932BB1" w:rsidP="00932BB1">
            <w:pPr>
              <w:pStyle w:val="BodyText"/>
            </w:pPr>
            <w:r w:rsidRPr="00932BB1">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rPr>
                <w:rStyle w:val="SpecialBold"/>
              </w:rPr>
              <w:t>4.1)</w:t>
            </w:r>
          </w:p>
        </w:tc>
      </w:tr>
      <w:tr w:rsidTr="00A34FEE">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Granting of competency in this unit shall be made only after competency in the following unit(s) has/have been confirmed:</w:t>
            </w:r>
          </w:p>
        </w:tc>
      </w:tr>
      <w:tr w:rsidTr="00A34FEE">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82"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 xml:space="preserve">UEGNSG141A </w:t>
            </w:r>
          </w:p>
        </w:tc>
        <w:tc>
          <w:tcPr>
            <w:tcW w:w="4078"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Apply Workplace Health and Safety regulations, codes and practices in the gas industry</w:t>
            </w:r>
          </w:p>
        </w:tc>
      </w:tr>
      <w:tr w:rsidTr="00A34FEE">
        <w:tblPrEx>
          <w:tblW w:w="0" w:type="auto"/>
          <w:tblLayout w:type="fixed"/>
          <w:tblCellMar>
            <w:left w:w="62" w:type="dxa"/>
            <w:right w:w="62" w:type="dxa"/>
          </w:tblCellMar>
          <w:tblLook w:val="0000"/>
        </w:tblPrEx>
        <w:trPr>
          <w:trHeight w:val="481"/>
        </w:trPr>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82"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UEGNSG005A</w:t>
            </w:r>
          </w:p>
        </w:tc>
        <w:tc>
          <w:tcPr>
            <w:tcW w:w="4078"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Prepare to work in the gas industry</w:t>
            </w:r>
          </w:p>
        </w:tc>
      </w:tr>
      <w:tr w:rsidTr="00A34FEE">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82"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UEGNSG132A</w:t>
            </w:r>
          </w:p>
        </w:tc>
        <w:tc>
          <w:tcPr>
            <w:tcW w:w="4078" w:type="dxa"/>
            <w:tcBorders>
              <w:top w:val="nil"/>
              <w:left w:val="nil"/>
              <w:bottom w:val="nil"/>
              <w:right w:val="nil"/>
            </w:tcBorders>
            <w:tcMar>
              <w:top w:w="0" w:type="dxa"/>
              <w:left w:w="62" w:type="dxa"/>
              <w:bottom w:w="0" w:type="dxa"/>
              <w:right w:w="62" w:type="dxa"/>
            </w:tcMar>
          </w:tcPr>
          <w:p w:rsidR="00000000" w:rsidRPr="00932BB1" w:rsidP="00932BB1">
            <w:pPr>
              <w:pStyle w:val="BodyText"/>
            </w:pPr>
            <w:r w:rsidRPr="00932BB1">
              <w:t>Carry out basic work activities in a gas industry work environment</w:t>
            </w:r>
          </w:p>
        </w:tc>
      </w:tr>
    </w:tbl>
    <w:p w:rsidR="00000000" w:rsidRPr="00932BB1" w:rsidP="00932BB1">
      <w:pPr>
        <w:pStyle w:val="BodyText"/>
      </w:pPr>
    </w:p>
    <w:tbl>
      <w:tblPr>
        <w:tblW w:w="0" w:type="auto"/>
        <w:tblLayout w:type="fixed"/>
        <w:tblCellMar>
          <w:left w:w="62" w:type="dxa"/>
          <w:right w:w="62" w:type="dxa"/>
        </w:tblCellMar>
        <w:tblLook w:val="0000"/>
      </w:tblPr>
      <w:tblGrid>
        <w:gridCol w:w="2638"/>
        <w:gridCol w:w="1080"/>
        <w:gridCol w:w="810"/>
        <w:gridCol w:w="990"/>
        <w:gridCol w:w="900"/>
        <w:gridCol w:w="1260"/>
        <w:gridCol w:w="720"/>
      </w:tblGrid>
      <w:tr w:rsidTr="00932BB1">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932BB1" w:rsidP="00932BB1">
            <w:pPr>
              <w:pStyle w:val="BodyText"/>
            </w:pPr>
            <w:r w:rsidRPr="00932BB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932BB1" w:rsidP="00932BB1">
            <w:pPr>
              <w:pStyle w:val="BodyText"/>
            </w:pPr>
            <w:r w:rsidRPr="00932BB1">
              <w:rPr>
                <w:rStyle w:val="SpecialBold"/>
              </w:rPr>
              <w:t xml:space="preserve">4.2) </w:t>
            </w:r>
          </w:p>
          <w:p w:rsidR="00000000" w:rsidP="00932BB1">
            <w:pPr>
              <w:pStyle w:val="BodyText"/>
              <w:rPr>
                <w:lang w:val="en-NZ"/>
              </w:rPr>
            </w:pPr>
            <w:r w:rsidRPr="00932BB1">
              <w:t>Participants are best equipped to achieve this unit if they have reading, writing and numeracy skills indicated by the following scales. Description of each scale is given in Volume 2, Part 3 'Literacy and Numeracy'</w:t>
            </w:r>
          </w:p>
        </w:tc>
      </w:tr>
      <w:tr w:rsidTr="00932BB1">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Reading</w:t>
            </w:r>
          </w:p>
        </w:tc>
        <w:tc>
          <w:tcPr>
            <w:tcW w:w="81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3</w:t>
            </w:r>
          </w:p>
        </w:tc>
        <w:tc>
          <w:tcPr>
            <w:tcW w:w="99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Writing</w:t>
            </w:r>
          </w:p>
        </w:tc>
        <w:tc>
          <w:tcPr>
            <w:tcW w:w="90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3</w:t>
            </w:r>
          </w:p>
        </w:tc>
        <w:tc>
          <w:tcPr>
            <w:tcW w:w="126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Numeracy</w:t>
            </w:r>
          </w:p>
        </w:tc>
        <w:tc>
          <w:tcPr>
            <w:tcW w:w="720" w:type="dxa"/>
            <w:tcBorders>
              <w:top w:val="nil"/>
              <w:left w:val="nil"/>
              <w:bottom w:val="nil"/>
              <w:right w:val="nil"/>
            </w:tcBorders>
            <w:tcMar>
              <w:top w:w="0" w:type="dxa"/>
              <w:left w:w="62" w:type="dxa"/>
              <w:bottom w:w="0" w:type="dxa"/>
              <w:right w:w="62" w:type="dxa"/>
            </w:tcMar>
          </w:tcPr>
          <w:p w:rsidR="00000000" w:rsidRPr="00932BB1" w:rsidP="00932BB1">
            <w:pPr>
              <w:pStyle w:val="BodyText"/>
            </w:pPr>
            <w:r w:rsidRPr="00932BB1">
              <w:t>3</w:t>
            </w:r>
          </w:p>
        </w:tc>
      </w:tr>
    </w:tbl>
    <w:p w:rsidR="00A34FEE" w:rsidP="00932BB1">
      <w:pPr>
        <w:pStyle w:val="BodyText"/>
      </w:pPr>
    </w:p>
    <w:p w:rsidR="00A34FEE" w:rsidP="00932BB1">
      <w:pPr>
        <w:pStyle w:val="BodyText"/>
      </w:pPr>
    </w:p>
    <w:p w:rsidR="00000000" w:rsidRPr="00932BB1" w:rsidP="00932BB1">
      <w:pPr>
        <w:pStyle w:val="Heading1"/>
      </w:pPr>
      <w:bookmarkStart w:id="6" w:name="O_613226"/>
      <w:bookmarkEnd w:id="6"/>
      <w:r w:rsidRPr="00932BB1">
        <w:t>Employability Skills Information</w:t>
      </w:r>
    </w:p>
    <w:tbl>
      <w:tblPr>
        <w:tblW w:w="0" w:type="auto"/>
        <w:tblLayout w:type="fixed"/>
        <w:tblCellMar>
          <w:left w:w="62" w:type="dxa"/>
          <w:right w:w="62" w:type="dxa"/>
        </w:tblCellMar>
        <w:tblLook w:val="0000"/>
      </w:tblPr>
      <w:tblGrid>
        <w:gridCol w:w="2638"/>
        <w:gridCol w:w="5760"/>
      </w:tblGrid>
      <w:tr w:rsidTr="00932BB1">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932BB1" w:rsidP="00932BB1">
            <w:pPr>
              <w:pStyle w:val="BodyText"/>
            </w:pPr>
            <w:r w:rsidRPr="00932BB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rPr>
                <w:rStyle w:val="SpecialBold"/>
              </w:rPr>
              <w:t xml:space="preserve">5) </w:t>
            </w:r>
          </w:p>
        </w:tc>
      </w:tr>
      <w:tr w:rsidTr="00932BB1">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32BB1" w:rsidP="00932BB1">
            <w:pPr>
              <w:pStyle w:val="BodyText"/>
            </w:pPr>
            <w:r w:rsidRPr="00932BB1">
              <w:t xml:space="preserve">The required outcomes described in this unit of competency contain applicable facets of Employability Skills. The Employability Skills Summary </w:t>
            </w:r>
            <w:r w:rsidRPr="00932BB1">
              <w:t>of the qualification in which this unit of competency is packaged will assist in identifying Employability Skill requirements.</w:t>
            </w:r>
          </w:p>
        </w:tc>
      </w:tr>
    </w:tbl>
    <w:p w:rsidR="00A34FEE" w:rsidP="00932BB1">
      <w:pPr>
        <w:pStyle w:val="BodyText"/>
      </w:pPr>
    </w:p>
    <w:p w:rsidR="00A34FEE" w:rsidP="00932BB1">
      <w:pPr>
        <w:pStyle w:val="BodyText"/>
      </w:pPr>
    </w:p>
    <w:p w:rsidR="00000000" w:rsidRPr="00932BB1" w:rsidP="00932BB1">
      <w:pPr>
        <w:pStyle w:val="Heading1"/>
      </w:pPr>
      <w:bookmarkStart w:id="7" w:name="O_613227"/>
      <w:bookmarkEnd w:id="7"/>
      <w:r w:rsidRPr="00932BB1">
        <w:t>Elements and Performance Criteria Pre-Content</w:t>
      </w:r>
    </w:p>
    <w:tbl>
      <w:tblPr>
        <w:tblW w:w="0" w:type="auto"/>
        <w:tblLayout w:type="fixed"/>
        <w:tblCellMar>
          <w:left w:w="62" w:type="dxa"/>
          <w:right w:w="62" w:type="dxa"/>
        </w:tblCellMar>
        <w:tblLook w:val="0000"/>
      </w:tblPr>
      <w:tblGrid>
        <w:gridCol w:w="2638"/>
        <w:gridCol w:w="5760"/>
      </w:tblGrid>
      <w:tr w:rsidTr="00932BB1">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932BB1" w:rsidP="00932BB1">
            <w:pPr>
              <w:pStyle w:val="BodyText"/>
            </w:pPr>
            <w:r w:rsidRPr="00932BB1">
              <w:rPr>
                <w:rStyle w:val="SpecialBold"/>
              </w:rPr>
              <w:t xml:space="preserve">6) </w:t>
            </w:r>
            <w:r w:rsidRPr="00932BB1">
              <w:rPr>
                <w:rStyle w:val="Emphasis"/>
              </w:rPr>
              <w:t>Elements describe the essential outcomes of a competency sta</w:t>
            </w:r>
            <w:r w:rsidRPr="00932BB1">
              <w:rPr>
                <w:rStyle w:val="Emphasis"/>
              </w:rPr>
              <w:t>ndard unit</w:t>
            </w:r>
          </w:p>
        </w:tc>
        <w:tc>
          <w:tcPr>
            <w:tcW w:w="5760" w:type="dxa"/>
            <w:tcBorders>
              <w:top w:val="nil"/>
              <w:left w:val="nil"/>
              <w:bottom w:val="nil"/>
              <w:right w:val="nil"/>
            </w:tcBorders>
            <w:tcMar>
              <w:top w:w="0" w:type="dxa"/>
              <w:left w:w="62" w:type="dxa"/>
              <w:bottom w:w="0" w:type="dxa"/>
              <w:right w:w="62" w:type="dxa"/>
            </w:tcMar>
          </w:tcPr>
          <w:p w:rsidR="00000000" w:rsidRPr="00932BB1" w:rsidP="00932BB1">
            <w:pPr>
              <w:pStyle w:val="BodyText"/>
            </w:pPr>
            <w:r w:rsidRPr="00932BB1">
              <w:rPr>
                <w:rStyle w:val="Emphasis"/>
              </w:rPr>
              <w:t>Performance Criteria describe the required performance needed to demonstrate achievement of the element. Assessment of performance is to be consistent with the Evidence Guide.</w:t>
            </w:r>
          </w:p>
        </w:tc>
      </w:tr>
    </w:tbl>
    <w:p w:rsidR="00A34FEE" w:rsidP="00932BB1">
      <w:pPr>
        <w:pStyle w:val="BodyText"/>
      </w:pPr>
    </w:p>
    <w:p w:rsidR="00A34FEE" w:rsidP="00932BB1">
      <w:pPr>
        <w:pStyle w:val="BodyText"/>
      </w:pPr>
    </w:p>
    <w:p w:rsidR="00000000" w:rsidRPr="00932BB1" w:rsidP="00932BB1">
      <w:pPr>
        <w:pStyle w:val="Heading1"/>
      </w:pPr>
      <w:bookmarkStart w:id="8" w:name="O_613228"/>
      <w:bookmarkEnd w:id="8"/>
      <w:r w:rsidRPr="00932BB1">
        <w:t>Elements and Performance Criteria</w:t>
      </w:r>
    </w:p>
    <w:tbl>
      <w:tblPr>
        <w:tblW w:w="0" w:type="auto"/>
        <w:tblLayout w:type="fixed"/>
        <w:tblCellMar>
          <w:left w:w="62" w:type="dxa"/>
          <w:right w:w="62" w:type="dxa"/>
        </w:tblCellMar>
        <w:tblLook w:val="0000"/>
      </w:tblPr>
      <w:tblGrid>
        <w:gridCol w:w="342"/>
        <w:gridCol w:w="2296"/>
        <w:gridCol w:w="900"/>
        <w:gridCol w:w="4860"/>
      </w:tblGrid>
      <w:tr w:rsidTr="00932BB1">
        <w:tblPrEx>
          <w:tblW w:w="0" w:type="auto"/>
          <w:tblLayout w:type="fixed"/>
          <w:tblCellMar>
            <w:left w:w="62" w:type="dxa"/>
            <w:right w:w="62" w:type="dxa"/>
          </w:tblCellMar>
          <w:tblLook w:val="0000"/>
        </w:tblPrEx>
        <w:trPr>
          <w:tblHeader/>
        </w:trPr>
        <w:tc>
          <w:tcPr>
            <w:tcW w:w="2638" w:type="dxa"/>
            <w:gridSpan w:val="2"/>
            <w:tcBorders>
              <w:top w:val="nil"/>
              <w:left w:val="nil"/>
              <w:bottom w:val="nil"/>
              <w:right w:val="nil"/>
            </w:tcBorders>
            <w:tcMar>
              <w:top w:w="0" w:type="dxa"/>
              <w:left w:w="62" w:type="dxa"/>
              <w:bottom w:w="0" w:type="dxa"/>
              <w:right w:w="62" w:type="dxa"/>
            </w:tcMar>
          </w:tcPr>
          <w:p w:rsidR="00000000" w:rsidRPr="00932BB1" w:rsidP="00932BB1">
            <w:pPr>
              <w:pStyle w:val="BodyText"/>
            </w:pPr>
            <w:r w:rsidRPr="00932BB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rPr>
                <w:rStyle w:val="SpecialBold"/>
              </w:rPr>
              <w:t>PERFORMANCE CRITERIA</w:t>
            </w:r>
          </w:p>
        </w:tc>
      </w:tr>
      <w:tr w:rsidTr="00932BB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932BB1" w:rsidP="00932BB1">
            <w:pPr>
              <w:pStyle w:val="BodyText"/>
            </w:pPr>
            <w:r w:rsidRPr="00932BB1">
              <w:rPr>
                <w:rStyle w:val="SpecialBold"/>
              </w:rPr>
              <w:t>1</w:t>
            </w:r>
          </w:p>
        </w:tc>
        <w:tc>
          <w:tcPr>
            <w:tcW w:w="2296" w:type="dxa"/>
            <w:vMerge w:val="restart"/>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rPr>
                <w:rStyle w:val="SpecialBold"/>
              </w:rPr>
              <w:t>Prepare to disconnect, replace and reconnect gas meter.</w:t>
            </w:r>
          </w:p>
        </w:tc>
        <w:tc>
          <w:tcPr>
            <w:tcW w:w="90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1.1</w:t>
            </w:r>
          </w:p>
        </w:tc>
        <w:tc>
          <w:tcPr>
            <w:tcW w:w="486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Instructions for the work to be performed are received and confirmed to ensure clear understanding</w:t>
            </w:r>
          </w:p>
        </w:tc>
      </w:tr>
      <w:tr w:rsidTr="00932BB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1.2</w:t>
            </w:r>
          </w:p>
        </w:tc>
        <w:tc>
          <w:tcPr>
            <w:tcW w:w="486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Relevant requirements and established procedures to be followed for the work are provided and discussed with relevant persons to establish and confirm the work schedule</w:t>
            </w:r>
          </w:p>
        </w:tc>
      </w:tr>
      <w:tr w:rsidTr="00932BB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1.3</w:t>
            </w:r>
          </w:p>
        </w:tc>
        <w:tc>
          <w:tcPr>
            <w:tcW w:w="486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WHS/OHS, environmental and sustainable energy policies and procedures are receiv</w:t>
            </w:r>
            <w:r w:rsidRPr="00932BB1">
              <w:t xml:space="preserve">ed and confirmed to ensure they are understood </w:t>
            </w:r>
          </w:p>
        </w:tc>
      </w:tr>
      <w:tr w:rsidTr="00932BB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1.4</w:t>
            </w:r>
          </w:p>
        </w:tc>
        <w:tc>
          <w:tcPr>
            <w:tcW w:w="486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Hazards are identified, WHS/OHS risks assessed and control measures are prioritised, implemented and monitored according to established procedures</w:t>
            </w:r>
          </w:p>
        </w:tc>
      </w:tr>
      <w:tr w:rsidTr="00932BB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1.5</w:t>
            </w:r>
          </w:p>
        </w:tc>
        <w:tc>
          <w:tcPr>
            <w:tcW w:w="486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 xml:space="preserve">Scope of responsibility under the relevant work permit/authorisation is received and confirmed with relevant persons according to requirements and established procedures </w:t>
            </w:r>
          </w:p>
        </w:tc>
      </w:tr>
      <w:tr w:rsidTr="00932BB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1.6</w:t>
            </w:r>
          </w:p>
        </w:tc>
        <w:tc>
          <w:tcPr>
            <w:tcW w:w="486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Equipment, tools, resources, materials and personal protective equipment neede</w:t>
            </w:r>
            <w:r w:rsidRPr="00932BB1">
              <w:t xml:space="preserve">d to undertake to gas meter work are identified, obtained and checked for correct operation and safety. </w:t>
            </w:r>
          </w:p>
        </w:tc>
      </w:tr>
      <w:tr w:rsidTr="00932BB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RPr="00932BB1" w:rsidP="00932BB1">
            <w:pPr>
              <w:pStyle w:val="BodyText"/>
            </w:pPr>
            <w:r w:rsidRPr="00932BB1">
              <w:t>1.7</w:t>
            </w:r>
          </w:p>
          <w:p w:rsidR="00000000">
            <w:pPr>
              <w:pStyle w:val="BodyText"/>
              <w:keepNext w:val="0"/>
              <w:keepLines w:val="0"/>
              <w:contextualSpacing w:val="0"/>
              <w:rPr>
                <w:rFonts w:ascii="Tahoma" w:hAnsi="Tahoma"/>
                <w:color w:val="000000"/>
                <w:sz w:val="20"/>
                <w:lang w:val="en-NZ"/>
              </w:rPr>
            </w:pPr>
          </w:p>
        </w:tc>
        <w:tc>
          <w:tcPr>
            <w:tcW w:w="486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Relevant responsibilities associated with related work safety and emergency procedures at the worksite are confirmed in accordance with require</w:t>
            </w:r>
            <w:r w:rsidRPr="00932BB1">
              <w:t xml:space="preserve">ments and established procedures </w:t>
            </w:r>
          </w:p>
        </w:tc>
      </w:tr>
      <w:tr w:rsidTr="00932BB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1.8</w:t>
            </w:r>
          </w:p>
        </w:tc>
        <w:tc>
          <w:tcPr>
            <w:tcW w:w="486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Appropriate persons are consulted to ensure the appliance relight is coordinated effectively with others involved</w:t>
            </w:r>
          </w:p>
        </w:tc>
      </w:tr>
      <w:tr w:rsidTr="00932BB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1.9</w:t>
            </w:r>
          </w:p>
        </w:tc>
        <w:tc>
          <w:tcPr>
            <w:tcW w:w="486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Client issues are referred to appropriate persons in accordance with industry standards and established procedures</w:t>
            </w:r>
          </w:p>
        </w:tc>
      </w:tr>
      <w:tr w:rsidTr="00932BB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1.10</w:t>
            </w:r>
          </w:p>
        </w:tc>
        <w:tc>
          <w:tcPr>
            <w:tcW w:w="486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Work site is preparation, safety plan and work schedule are confirmed in accordance with established procedures</w:t>
            </w:r>
          </w:p>
        </w:tc>
      </w:tr>
      <w:tr w:rsidTr="00932BB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932BB1" w:rsidP="00932BB1">
            <w:pPr>
              <w:pStyle w:val="BodyText"/>
            </w:pPr>
            <w:r w:rsidRPr="00932BB1">
              <w:rPr>
                <w:rStyle w:val="SpecialBold"/>
              </w:rPr>
              <w:t>2</w:t>
            </w:r>
          </w:p>
        </w:tc>
        <w:tc>
          <w:tcPr>
            <w:tcW w:w="2296" w:type="dxa"/>
            <w:vMerge w:val="restart"/>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rPr>
                <w:rStyle w:val="SpecialBold"/>
              </w:rPr>
              <w:t>Disconnect, replac</w:t>
            </w:r>
            <w:r w:rsidRPr="00932BB1">
              <w:rPr>
                <w:rStyle w:val="SpecialBold"/>
              </w:rPr>
              <w:t xml:space="preserve">e and reconnect gas meter </w:t>
            </w:r>
          </w:p>
        </w:tc>
        <w:tc>
          <w:tcPr>
            <w:tcW w:w="90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2.1</w:t>
            </w:r>
          </w:p>
        </w:tc>
        <w:tc>
          <w:tcPr>
            <w:tcW w:w="486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WHS/OHS and risk control measures, schedule of work and standard operating procedures for carrying out the work are followed.</w:t>
            </w:r>
          </w:p>
        </w:tc>
      </w:tr>
      <w:tr w:rsidTr="00932BB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2.2</w:t>
            </w:r>
          </w:p>
        </w:tc>
        <w:tc>
          <w:tcPr>
            <w:tcW w:w="486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Appropriate materials, tools, equipment and devices are selected and used correctly and safe</w:t>
            </w:r>
            <w:r w:rsidRPr="00932BB1">
              <w:t>ly.</w:t>
            </w:r>
          </w:p>
        </w:tc>
      </w:tr>
      <w:tr w:rsidTr="00932BB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2.3</w:t>
            </w:r>
          </w:p>
        </w:tc>
        <w:tc>
          <w:tcPr>
            <w:tcW w:w="486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 xml:space="preserve">Operational knowledge for utilising correct and safe use of basic equipment and tools to perform gas meter work is confirmed </w:t>
            </w:r>
          </w:p>
        </w:tc>
      </w:tr>
      <w:tr w:rsidTr="00932BB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2.4</w:t>
            </w:r>
          </w:p>
        </w:tc>
        <w:tc>
          <w:tcPr>
            <w:tcW w:w="486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Gas meter work is undertaken s using appropriate stray current testing and protection following company procedures</w:t>
            </w:r>
          </w:p>
        </w:tc>
      </w:tr>
      <w:tr w:rsidTr="00932BB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2.5</w:t>
            </w:r>
          </w:p>
        </w:tc>
        <w:tc>
          <w:tcPr>
            <w:tcW w:w="486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 xml:space="preserve">Customer piping system and associated components are tested for soundness </w:t>
            </w:r>
          </w:p>
        </w:tc>
      </w:tr>
      <w:tr w:rsidTr="00932BB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2.6</w:t>
            </w:r>
          </w:p>
        </w:tc>
        <w:tc>
          <w:tcPr>
            <w:tcW w:w="486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 xml:space="preserve">Gas meters, filters and regulators  are stored and transported as per company and manufacturers requirements </w:t>
            </w:r>
          </w:p>
        </w:tc>
      </w:tr>
      <w:tr w:rsidTr="00932BB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2.7</w:t>
            </w:r>
          </w:p>
        </w:tc>
        <w:tc>
          <w:tcPr>
            <w:tcW w:w="486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Work is carried out efficiently, to the required quality standard without waste of materials or damage to apparatus, equipment, the surroun</w:t>
            </w:r>
            <w:r w:rsidRPr="00932BB1">
              <w:t>ding environment or services and using sustainable energy principles.</w:t>
            </w:r>
          </w:p>
        </w:tc>
      </w:tr>
      <w:tr w:rsidTr="00932BB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2.8</w:t>
            </w:r>
          </w:p>
        </w:tc>
        <w:tc>
          <w:tcPr>
            <w:tcW w:w="486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Hazard warnings and safety signs are recognised and hazards and assessed WHS/OHS risks are reported to the immediate authorised persons for directions according to established pro</w:t>
            </w:r>
            <w:r w:rsidRPr="00932BB1">
              <w:t>cedures</w:t>
            </w:r>
          </w:p>
        </w:tc>
      </w:tr>
      <w:tr w:rsidTr="00932BB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2.9</w:t>
            </w:r>
          </w:p>
        </w:tc>
        <w:tc>
          <w:tcPr>
            <w:tcW w:w="486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Further instructions are sought from appropriate persons for unplanned events or conditions occurring</w:t>
            </w:r>
          </w:p>
        </w:tc>
      </w:tr>
      <w:tr w:rsidTr="00932BB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2.10</w:t>
            </w:r>
          </w:p>
        </w:tc>
        <w:tc>
          <w:tcPr>
            <w:tcW w:w="486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Ongoing checks of quality of the work are undertaken in accordance with instructions and requirements</w:t>
            </w:r>
          </w:p>
        </w:tc>
      </w:tr>
      <w:tr w:rsidTr="00932BB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932BB1" w:rsidP="00932BB1">
            <w:pPr>
              <w:pStyle w:val="BodyText"/>
            </w:pPr>
            <w:r w:rsidRPr="00932BB1">
              <w:rPr>
                <w:rStyle w:val="SpecialBold"/>
              </w:rPr>
              <w:t>3</w:t>
            </w:r>
          </w:p>
        </w:tc>
        <w:tc>
          <w:tcPr>
            <w:tcW w:w="2296" w:type="dxa"/>
            <w:vMerge w:val="restart"/>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rPr>
                <w:rStyle w:val="SpecialBold"/>
              </w:rPr>
              <w:t>Complete the work and relevant documentation</w:t>
            </w:r>
          </w:p>
        </w:tc>
        <w:tc>
          <w:tcPr>
            <w:tcW w:w="900" w:type="dxa"/>
            <w:tcBorders>
              <w:top w:val="nil"/>
              <w:left w:val="nil"/>
              <w:bottom w:val="nil"/>
              <w:right w:val="nil"/>
            </w:tcBorders>
            <w:tcMar>
              <w:top w:w="0" w:type="dxa"/>
              <w:left w:w="62" w:type="dxa"/>
              <w:bottom w:w="0" w:type="dxa"/>
              <w:right w:w="62" w:type="dxa"/>
            </w:tcMar>
          </w:tcPr>
          <w:p w:rsidR="00000000" w:rsidRPr="00932BB1" w:rsidP="00932BB1">
            <w:pPr>
              <w:pStyle w:val="BodyText"/>
            </w:pPr>
            <w:r w:rsidRPr="00932BB1">
              <w:t>3.1</w:t>
            </w:r>
          </w:p>
          <w:p w:rsidR="00000000" w:rsidRPr="00932BB1" w:rsidP="00932BB1">
            <w:pPr>
              <w:pStyle w:val="BodyText"/>
            </w:pPr>
          </w:p>
          <w:p w:rsidR="00000000" w:rsidP="00932BB1">
            <w:pPr>
              <w:pStyle w:val="BodyText"/>
              <w:rPr>
                <w:lang w:val="en-NZ"/>
              </w:rPr>
            </w:pPr>
            <w:r w:rsidRPr="00932BB1">
              <w:t>3.2</w:t>
            </w:r>
          </w:p>
        </w:tc>
        <w:tc>
          <w:tcPr>
            <w:tcW w:w="4860" w:type="dxa"/>
            <w:tcBorders>
              <w:top w:val="nil"/>
              <w:left w:val="nil"/>
              <w:bottom w:val="nil"/>
              <w:right w:val="nil"/>
            </w:tcBorders>
            <w:tcMar>
              <w:top w:w="0" w:type="dxa"/>
              <w:left w:w="62" w:type="dxa"/>
              <w:bottom w:w="0" w:type="dxa"/>
              <w:right w:w="62" w:type="dxa"/>
            </w:tcMar>
          </w:tcPr>
          <w:p w:rsidR="00000000" w:rsidRPr="00932BB1" w:rsidP="00932BB1">
            <w:pPr>
              <w:pStyle w:val="BodyText"/>
            </w:pPr>
            <w:r w:rsidRPr="00932BB1">
              <w:t>WHS/OHS risk control work completion measures and procedures are followed.</w:t>
            </w:r>
          </w:p>
          <w:p w:rsidR="00000000" w:rsidP="00932BB1">
            <w:pPr>
              <w:pStyle w:val="BodyText"/>
              <w:rPr>
                <w:lang w:val="en-NZ"/>
              </w:rPr>
            </w:pPr>
            <w:r w:rsidRPr="00932BB1">
              <w:t>Final checks including visual observation is performed to ensure the quality of the work complies with established procedures a</w:t>
            </w:r>
            <w:r w:rsidRPr="00932BB1">
              <w:t>nd to appliance manufacturers instructions</w:t>
            </w:r>
          </w:p>
        </w:tc>
      </w:tr>
      <w:tr w:rsidTr="00932BB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3.2</w:t>
            </w:r>
          </w:p>
        </w:tc>
        <w:tc>
          <w:tcPr>
            <w:tcW w:w="486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Appropriate persons are notified of completion of the work</w:t>
            </w:r>
          </w:p>
        </w:tc>
      </w:tr>
      <w:tr w:rsidTr="00932BB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3.3</w:t>
            </w:r>
          </w:p>
        </w:tc>
        <w:tc>
          <w:tcPr>
            <w:tcW w:w="486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Equipment, tools and any surplus resources and materials are cleaned, checked and stored securely  or disposed of in accordance with established procedures</w:t>
            </w:r>
          </w:p>
        </w:tc>
      </w:tr>
      <w:tr w:rsidTr="00932BB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3.4</w:t>
            </w:r>
          </w:p>
        </w:tc>
        <w:tc>
          <w:tcPr>
            <w:tcW w:w="486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Work area is tidied and made safe in accordance with given instructions and established proce</w:t>
            </w:r>
            <w:r w:rsidRPr="00932BB1">
              <w:t>dures</w:t>
            </w:r>
          </w:p>
        </w:tc>
      </w:tr>
      <w:tr w:rsidTr="00932BB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3.5</w:t>
            </w:r>
          </w:p>
        </w:tc>
        <w:tc>
          <w:tcPr>
            <w:tcW w:w="4860" w:type="dxa"/>
            <w:tcBorders>
              <w:top w:val="nil"/>
              <w:left w:val="nil"/>
              <w:bottom w:val="nil"/>
              <w:right w:val="nil"/>
            </w:tcBorders>
            <w:tcMar>
              <w:top w:w="0" w:type="dxa"/>
              <w:left w:w="62" w:type="dxa"/>
              <w:bottom w:w="0" w:type="dxa"/>
              <w:right w:w="62" w:type="dxa"/>
            </w:tcMar>
          </w:tcPr>
          <w:p w:rsidR="00000000" w:rsidRPr="00932BB1" w:rsidP="00932BB1">
            <w:pPr>
              <w:pStyle w:val="BodyText"/>
            </w:pPr>
            <w:r w:rsidRPr="00932BB1">
              <w:t>Work completion  records and documentation are updated in accordance with instructions and established procedures</w:t>
            </w:r>
          </w:p>
        </w:tc>
      </w:tr>
    </w:tbl>
    <w:p w:rsidR="00A34FEE" w:rsidP="00932BB1">
      <w:pPr>
        <w:pStyle w:val="BodyText"/>
      </w:pPr>
    </w:p>
    <w:p w:rsidR="00A34FEE" w:rsidP="00932BB1">
      <w:pPr>
        <w:pStyle w:val="BodyText"/>
      </w:pPr>
    </w:p>
    <w:p w:rsidR="00000000" w:rsidRPr="00932BB1" w:rsidP="00932BB1">
      <w:pPr>
        <w:pStyle w:val="Heading1"/>
      </w:pPr>
      <w:bookmarkStart w:id="9" w:name="O_613229"/>
      <w:bookmarkEnd w:id="9"/>
      <w:r w:rsidRPr="00932BB1">
        <w:t>Required Skills and Knowledge</w:t>
      </w:r>
    </w:p>
    <w:tbl>
      <w:tblPr>
        <w:tblW w:w="0" w:type="auto"/>
        <w:tblLayout w:type="fixed"/>
        <w:tblCellMar>
          <w:left w:w="62" w:type="dxa"/>
          <w:right w:w="62" w:type="dxa"/>
        </w:tblCellMar>
        <w:tblLook w:val="0000"/>
      </w:tblPr>
      <w:tblGrid>
        <w:gridCol w:w="8398"/>
      </w:tblGrid>
      <w:tr w:rsidTr="00932BB1">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rPr>
                <w:rStyle w:val="SpecialBold"/>
              </w:rPr>
              <w:t>REQUIRED SKILLS AND KNOWLEDGE</w:t>
            </w:r>
          </w:p>
        </w:tc>
      </w:tr>
      <w:tr w:rsidTr="00932BB1">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rPr>
                <w:rStyle w:val="SpecialBold"/>
              </w:rPr>
              <w:t>7)</w:t>
            </w:r>
            <w:r w:rsidRPr="00932BB1">
              <w:t xml:space="preserve"> </w:t>
            </w:r>
            <w:r w:rsidRPr="00932BB1">
              <w:rPr>
                <w:rStyle w:val="Emphasis"/>
              </w:rPr>
              <w:t>This describes the skills and knowledge and their level, required for this unit.</w:t>
            </w:r>
          </w:p>
        </w:tc>
      </w:tr>
      <w:tr w:rsidTr="00932BB1">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Evidence shall show that knowledge has been acquired of safe working practices for disconnecting, replacing and reconnecting small capacity gas meters and associated componen</w:t>
            </w:r>
            <w:r w:rsidRPr="00932BB1">
              <w:t>ts</w:t>
            </w:r>
          </w:p>
        </w:tc>
      </w:tr>
      <w:tr w:rsidTr="00932BB1">
        <w:tblPrEx>
          <w:tblW w:w="0" w:type="auto"/>
          <w:tblLayout w:type="fixed"/>
          <w:tblCellMar>
            <w:left w:w="62" w:type="dxa"/>
            <w:right w:w="62" w:type="dxa"/>
          </w:tblCellMar>
          <w:tblLook w:val="0000"/>
        </w:tblPrEx>
        <w:trPr>
          <w:trHeight w:val="481"/>
        </w:trPr>
        <w:tc>
          <w:tcPr>
            <w:tcW w:w="8398"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All knowledge and skills detailed in this unit should be contextualised to current industry practices and technologies. The extent of the required skills and knowledge is provided below. It forms an integral part of this unit.</w:t>
            </w:r>
          </w:p>
        </w:tc>
      </w:tr>
      <w:tr w:rsidTr="00932BB1">
        <w:tblPrEx>
          <w:tblW w:w="0" w:type="auto"/>
          <w:tblLayout w:type="fixed"/>
          <w:tblCellMar>
            <w:left w:w="62" w:type="dxa"/>
            <w:right w:w="62" w:type="dxa"/>
          </w:tblCellMar>
          <w:tblLook w:val="0000"/>
        </w:tblPrEx>
        <w:trPr>
          <w:trHeight w:val="6351"/>
        </w:trPr>
        <w:tc>
          <w:tcPr>
            <w:tcW w:w="8398" w:type="dxa"/>
            <w:tcBorders>
              <w:top w:val="nil"/>
              <w:left w:val="nil"/>
              <w:bottom w:val="nil"/>
              <w:right w:val="nil"/>
            </w:tcBorders>
            <w:tcMar>
              <w:top w:w="0" w:type="dxa"/>
              <w:left w:w="62" w:type="dxa"/>
              <w:bottom w:w="0" w:type="dxa"/>
              <w:right w:w="62" w:type="dxa"/>
            </w:tcMar>
          </w:tcPr>
          <w:p w:rsidR="00000000" w:rsidRPr="00932BB1" w:rsidP="00932BB1">
            <w:pPr>
              <w:pStyle w:val="BodyText"/>
            </w:pPr>
            <w:r w:rsidRPr="00932BB1">
              <w:rPr>
                <w:rStyle w:val="SpecialBold"/>
              </w:rPr>
              <w:t>KS01-G705A Gas meter dis</w:t>
            </w:r>
            <w:r w:rsidRPr="00932BB1">
              <w:rPr>
                <w:rStyle w:val="SpecialBold"/>
              </w:rPr>
              <w:t>connection, reconnection and replacement</w:t>
            </w:r>
          </w:p>
          <w:p w:rsidR="00000000" w:rsidRPr="00932BB1" w:rsidP="00932BB1">
            <w:pPr>
              <w:pStyle w:val="BodyText"/>
            </w:pPr>
            <w:r w:rsidRPr="00932BB1">
              <w:t>Evidence shall show an understanding of disconnecting, repl</w:t>
            </w:r>
            <w:r w:rsidRPr="00932BB1">
              <w:t>acing and reconnecting small capacity gas meters and associated components in accordance with relevant legislation, standards, codes and established procedures to an extent indicated by the following aspects:</w:t>
            </w:r>
          </w:p>
          <w:p w:rsidR="00000000" w:rsidRPr="00932BB1" w:rsidP="00932BB1">
            <w:pPr>
              <w:pStyle w:val="BodyText"/>
            </w:pPr>
          </w:p>
          <w:p w:rsidR="00000000" w:rsidRPr="00932BB1" w:rsidP="00932BB1">
            <w:pPr>
              <w:pStyle w:val="BodyText"/>
            </w:pPr>
            <w:r w:rsidRPr="00932BB1">
              <w:t>T1. Relevant legislation, Australian Standards</w:t>
            </w:r>
            <w:r w:rsidRPr="00932BB1">
              <w:t>, codes, regulations and procedure requirements</w:t>
            </w:r>
          </w:p>
          <w:p w:rsidR="00000000" w:rsidRPr="00932BB1" w:rsidP="00932BB1">
            <w:pPr>
              <w:pStyle w:val="BodyText"/>
            </w:pPr>
            <w:r w:rsidRPr="00932BB1">
              <w:t>T2. Safety requirements</w:t>
            </w:r>
          </w:p>
          <w:p w:rsidR="00000000" w:rsidRPr="00932BB1" w:rsidP="00932BB1">
            <w:pPr>
              <w:pStyle w:val="ListBullet"/>
            </w:pPr>
            <w:r w:rsidRPr="00932BB1">
              <w:t>hazards, risk assessment and control measures</w:t>
            </w:r>
          </w:p>
          <w:p w:rsidR="00000000" w:rsidRPr="00932BB1" w:rsidP="00932BB1">
            <w:pPr>
              <w:pStyle w:val="ListBullet"/>
            </w:pPr>
            <w:r w:rsidRPr="00932BB1">
              <w:t>Identify environmental and safety hazards, assess risks and implement control measures which includes the use of stray current testing an</w:t>
            </w:r>
            <w:r w:rsidRPr="00932BB1">
              <w:t xml:space="preserve">d protection, bonding clamps and PPE </w:t>
            </w:r>
          </w:p>
          <w:p w:rsidR="00000000" w:rsidRPr="00932BB1" w:rsidP="00932BB1">
            <w:pPr>
              <w:pStyle w:val="ListBullet"/>
            </w:pPr>
            <w:r w:rsidRPr="00932BB1">
              <w:t>Safety requirements for entering domestic and commercial customer sites</w:t>
            </w:r>
          </w:p>
          <w:p w:rsidR="00000000" w:rsidRPr="00932BB1" w:rsidP="00932BB1">
            <w:pPr>
              <w:pStyle w:val="BodyText"/>
            </w:pPr>
            <w:r w:rsidRPr="00932BB1">
              <w:t>T3. Customer liaison</w:t>
            </w:r>
          </w:p>
          <w:p w:rsidR="00000000" w:rsidRPr="00932BB1" w:rsidP="00932BB1">
            <w:pPr>
              <w:pStyle w:val="BodyText"/>
            </w:pPr>
            <w:r w:rsidRPr="00932BB1">
              <w:t>T4. Procedures for purging service lines, gas meter and associated components to outlet of meter set.</w:t>
            </w:r>
          </w:p>
          <w:p w:rsidR="00000000" w:rsidRPr="00932BB1" w:rsidP="00932BB1">
            <w:pPr>
              <w:pStyle w:val="BodyText"/>
            </w:pPr>
            <w:r w:rsidRPr="00932BB1">
              <w:t xml:space="preserve">T5. Procedures for gas </w:t>
            </w:r>
            <w:r w:rsidRPr="00932BB1">
              <w:t>meter disconnection, reconnection, replacement</w:t>
            </w:r>
          </w:p>
          <w:p w:rsidR="00000000" w:rsidRPr="00932BB1" w:rsidP="00932BB1">
            <w:pPr>
              <w:pStyle w:val="BodyText"/>
            </w:pPr>
            <w:r w:rsidRPr="00932BB1">
              <w:t>T6. Soundness testing procedures</w:t>
            </w:r>
          </w:p>
          <w:p w:rsidR="00000000" w:rsidRPr="00932BB1" w:rsidP="00932BB1">
            <w:pPr>
              <w:pStyle w:val="BodyText"/>
            </w:pPr>
            <w:r w:rsidRPr="00932BB1">
              <w:t>T7. Reading and recording gas meter details</w:t>
            </w:r>
          </w:p>
          <w:p w:rsidR="00000000" w:rsidRPr="00932BB1" w:rsidP="00932BB1">
            <w:pPr>
              <w:pStyle w:val="BodyText"/>
            </w:pPr>
            <w:r w:rsidRPr="00932BB1">
              <w:t>T8. Gas meter installation requirements as to AS 5601 and relevant company requirements</w:t>
            </w:r>
          </w:p>
          <w:p w:rsidR="00000000" w:rsidRPr="00932BB1" w:rsidP="00932BB1">
            <w:pPr>
              <w:pStyle w:val="BodyText"/>
            </w:pPr>
            <w:r w:rsidRPr="00932BB1">
              <w:t>T9. Gas meter storage &amp; transporting require</w:t>
            </w:r>
            <w:r w:rsidRPr="00932BB1">
              <w:t>ments</w:t>
            </w:r>
          </w:p>
          <w:p w:rsidR="00000000" w:rsidRPr="00932BB1" w:rsidP="00932BB1">
            <w:pPr>
              <w:pStyle w:val="BodyText"/>
            </w:pPr>
            <w:r w:rsidRPr="00932BB1">
              <w:t>T10. Relevant documentation</w:t>
            </w:r>
          </w:p>
          <w:p w:rsidR="00000000" w:rsidRPr="00932BB1" w:rsidP="00932BB1">
            <w:pPr>
              <w:pStyle w:val="ListBullet"/>
            </w:pPr>
            <w:r w:rsidRPr="00932BB1">
              <w:t>signs, symbols terminology and legends as used in industry procedures and documents</w:t>
            </w:r>
          </w:p>
          <w:p w:rsidR="00000000" w:rsidRPr="00932BB1" w:rsidP="00932BB1">
            <w:pPr>
              <w:pStyle w:val="ListBullet"/>
            </w:pPr>
            <w:r w:rsidRPr="00932BB1">
              <w:t>workplace forms and reports</w:t>
            </w:r>
          </w:p>
        </w:tc>
      </w:tr>
    </w:tbl>
    <w:p w:rsidR="00A34FEE" w:rsidP="00932BB1">
      <w:pPr>
        <w:pStyle w:val="BodyText"/>
      </w:pPr>
    </w:p>
    <w:p w:rsidR="00A34FEE" w:rsidP="00932BB1">
      <w:pPr>
        <w:pStyle w:val="BodyText"/>
      </w:pPr>
    </w:p>
    <w:p w:rsidR="00000000" w:rsidRPr="00932BB1" w:rsidP="00932BB1">
      <w:pPr>
        <w:pStyle w:val="Heading1"/>
      </w:pPr>
      <w:bookmarkStart w:id="10" w:name="O_613230"/>
      <w:bookmarkEnd w:id="10"/>
      <w:r w:rsidRPr="00932BB1">
        <w:t>Evidence Guide</w:t>
      </w:r>
    </w:p>
    <w:tbl>
      <w:tblPr>
        <w:tblW w:w="0" w:type="auto"/>
        <w:tblLayout w:type="fixed"/>
        <w:tblCellMar>
          <w:left w:w="62" w:type="dxa"/>
          <w:right w:w="62" w:type="dxa"/>
        </w:tblCellMar>
        <w:tblLook w:val="0000"/>
      </w:tblPr>
      <w:tblGrid>
        <w:gridCol w:w="8398"/>
      </w:tblGrid>
      <w:tr w:rsidTr="00932BB1">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rPr>
                <w:rStyle w:val="SpecialBold"/>
              </w:rPr>
              <w:t>EVIDENCE GUIDE</w:t>
            </w:r>
          </w:p>
        </w:tc>
      </w:tr>
      <w:tr w:rsidTr="00932BB1">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932BB1" w:rsidP="00932BB1">
            <w:pPr>
              <w:pStyle w:val="BodyText"/>
            </w:pPr>
            <w:r w:rsidRPr="00932BB1">
              <w:rPr>
                <w:rStyle w:val="SpecialBold"/>
              </w:rPr>
              <w:t>8)</w:t>
            </w:r>
            <w:r w:rsidRPr="00932BB1">
              <w:t xml:space="preserve"> The Evidence Guide forms an integral part of this Unit and shall be used in conjunction with all components parts of this unit and performed in accordance with the Assessment Guidelines of this Training Package.</w:t>
            </w:r>
          </w:p>
        </w:tc>
      </w:tr>
    </w:tbl>
    <w:p w:rsidR="00000000" w:rsidRPr="00932BB1" w:rsidP="00932BB1">
      <w:pPr>
        <w:pStyle w:val="BodyText"/>
      </w:pPr>
    </w:p>
    <w:tbl>
      <w:tblPr>
        <w:tblW w:w="0" w:type="auto"/>
        <w:tblLayout w:type="fixed"/>
        <w:tblCellMar>
          <w:left w:w="62" w:type="dxa"/>
          <w:right w:w="62" w:type="dxa"/>
        </w:tblCellMar>
        <w:tblLook w:val="0000"/>
      </w:tblPr>
      <w:tblGrid>
        <w:gridCol w:w="1828"/>
        <w:gridCol w:w="6570"/>
      </w:tblGrid>
      <w:tr w:rsidTr="00932BB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932BB1" w:rsidP="00932BB1">
            <w:pPr>
              <w:pStyle w:val="BodyText"/>
            </w:pPr>
            <w:r w:rsidRPr="00932BB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rPr>
                <w:rStyle w:val="SpecialBold"/>
              </w:rPr>
              <w:t>8.1)</w:t>
            </w:r>
          </w:p>
        </w:tc>
      </w:tr>
      <w:tr w:rsidTr="00932BB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32BB1" w:rsidP="00932BB1">
            <w:pPr>
              <w:pStyle w:val="BodyText"/>
            </w:pPr>
            <w:r w:rsidRPr="00932BB1">
              <w:t>Longitudinal competency development approaches to assessment, such as Profiling, require data to be reliably gathered in a form that can be consistently interpreted over time. This approach is best utilised in Apprenticeship programs and reduces assessment</w:t>
            </w:r>
            <w:r w:rsidRPr="00932BB1">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932BB1">
              <w:t xml:space="preserve">tency in a realistically simulated work environment. It is recognised that, in some circumstances, assessment </w:t>
            </w:r>
            <w:r w:rsidRPr="00932BB1">
              <w:t>in part or full can occur outside the workplace. However, it must be in accord with industry and regulatory policy in this regard.</w:t>
            </w:r>
          </w:p>
          <w:p w:rsidR="00000000" w:rsidRPr="00932BB1" w:rsidP="00932BB1">
            <w:pPr>
              <w:pStyle w:val="BodyText"/>
            </w:pPr>
            <w:r w:rsidRPr="00932BB1">
              <w:t xml:space="preserve">Methods chosen </w:t>
            </w:r>
            <w:r w:rsidRPr="00932BB1">
              <w:t>for a particular assessment will be influenced by various factors. These include the extent of the assessment, the most effective locations for the assessment activities to take place, access to physical resources, additional safety measures that may be re</w:t>
            </w:r>
            <w:r w:rsidRPr="00932BB1">
              <w:t>quired and the critical nature of the competencies being assessed.</w:t>
            </w:r>
          </w:p>
          <w:p w:rsidR="00000000" w:rsidRPr="00932BB1" w:rsidP="00932BB1">
            <w:pPr>
              <w:pStyle w:val="BodyText"/>
            </w:pPr>
            <w:r w:rsidRPr="00932BB1">
              <w:t>The critical safety nature of working with electricity, electrical equipment, gas or any other hazardous substance/material carries risk in deeming a person competent. Hence, sources of evi</w:t>
            </w:r>
            <w:r w:rsidRPr="00932BB1">
              <w:t>dence need to be ‘rich’ in nature so as to minimise error in judgment.</w:t>
            </w:r>
          </w:p>
          <w:p w:rsidR="00000000" w:rsidRPr="00932BB1" w:rsidP="00932BB1">
            <w:pPr>
              <w:pStyle w:val="BodyText"/>
            </w:pPr>
            <w:r w:rsidRPr="00932BB1">
              <w:t>Activities associated with normal every day work have a bearing on the decision as to how much and how detailed the data gathered will contribute to its ‘richness’. Some skills are more</w:t>
            </w:r>
            <w:r w:rsidRPr="00932BB1">
              <w:t xml:space="preserve"> critical to safety and operational requirements while the same skills may be more or less frequently practised. These points are raised for the assessors to consider when choosing an assessment method and developing assessment instruments. Sample assessme</w:t>
            </w:r>
            <w:r w:rsidRPr="00932BB1">
              <w:t>nt instruments are included in the Assessment Guidelines of this Training Package.</w:t>
            </w:r>
          </w:p>
        </w:tc>
      </w:tr>
    </w:tbl>
    <w:p w:rsidR="00000000" w:rsidRPr="00932BB1" w:rsidP="00932BB1">
      <w:pPr>
        <w:pStyle w:val="BodyText"/>
      </w:pPr>
    </w:p>
    <w:tbl>
      <w:tblPr>
        <w:tblW w:w="0" w:type="auto"/>
        <w:tblLayout w:type="fixed"/>
        <w:tblCellMar>
          <w:left w:w="62" w:type="dxa"/>
          <w:right w:w="62" w:type="dxa"/>
        </w:tblCellMar>
        <w:tblLook w:val="0000"/>
      </w:tblPr>
      <w:tblGrid>
        <w:gridCol w:w="1828"/>
        <w:gridCol w:w="6570"/>
      </w:tblGrid>
      <w:tr w:rsidTr="00932BB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932BB1" w:rsidP="00932BB1">
            <w:pPr>
              <w:pStyle w:val="BodyText"/>
            </w:pPr>
            <w:r w:rsidRPr="00932BB1">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rPr>
                <w:rStyle w:val="SpecialBold"/>
              </w:rPr>
              <w:t>8.2)</w:t>
            </w:r>
          </w:p>
        </w:tc>
      </w:tr>
      <w:tr w:rsidTr="00932BB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Before the critical aspects of evidence are considered all prerequisites shall be met.</w:t>
            </w:r>
          </w:p>
        </w:tc>
      </w:tr>
      <w:tr w:rsidTr="00932BB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Evidence for competence in this unit shall be considered holistically. Each element and associated Performance Criteria shall be demonstrated on at least two occasions in accordance with the ‘Assessment Guidelines — UEG11’. Evidence shall also comprise:</w:t>
            </w:r>
          </w:p>
        </w:tc>
      </w:tr>
      <w:tr w:rsidTr="00932BB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A representative body of Performance Criteria demonstrated within the timeframes typically expected of the discipline, work function and industrial environment. In particular this shall incorporate evidence that shows a candidate is able to:</w:t>
            </w:r>
          </w:p>
        </w:tc>
      </w:tr>
      <w:tr w:rsidTr="00932BB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32BB1">
            <w:pPr>
              <w:pStyle w:val="ListBullet2"/>
              <w:rPr>
                <w:lang w:val="en-NZ"/>
              </w:rPr>
            </w:pPr>
            <w:r w:rsidRPr="00932BB1">
              <w:t>Implement</w:t>
            </w:r>
            <w:r w:rsidRPr="00932BB1">
              <w:t xml:space="preserve"> Occupational Health and Safety workplace procedures and practices including the use of risk control measures as specified in the Performance Criteria and range</w:t>
            </w:r>
          </w:p>
        </w:tc>
      </w:tr>
      <w:tr w:rsidTr="00932BB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32BB1">
            <w:pPr>
              <w:pStyle w:val="ListBullet2"/>
              <w:rPr>
                <w:lang w:val="en-NZ"/>
              </w:rPr>
            </w:pPr>
            <w:r w:rsidRPr="00932BB1">
              <w:t xml:space="preserve">Apply sustainable energy principles and practices as specified in the Performance Criteria </w:t>
            </w:r>
            <w:r w:rsidRPr="00932BB1">
              <w:t>and range</w:t>
            </w:r>
          </w:p>
        </w:tc>
      </w:tr>
      <w:tr w:rsidTr="00932BB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32BB1">
            <w:pPr>
              <w:pStyle w:val="ListBullet2"/>
              <w:rPr>
                <w:lang w:val="en-NZ"/>
              </w:rPr>
            </w:pPr>
            <w:r w:rsidRPr="00932BB1">
              <w:t>Demonstrate an understanding of the required  knowledge and skills as described in this unit to such an extent that the learner’s performance outcome is reported in accordance with the preferred approach; namely a percentile graded result, whe</w:t>
            </w:r>
            <w:r w:rsidRPr="00932BB1">
              <w:t>re required by the regulated environment</w:t>
            </w:r>
          </w:p>
        </w:tc>
      </w:tr>
      <w:tr w:rsidTr="00932BB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32BB1">
            <w:pPr>
              <w:pStyle w:val="ListBullet2"/>
              <w:rPr>
                <w:lang w:val="en-NZ"/>
              </w:rPr>
            </w:pPr>
            <w:r w:rsidRPr="00932BB1">
              <w:t>Demonstrate an appropriate level of skills enabling employment</w:t>
            </w:r>
          </w:p>
        </w:tc>
      </w:tr>
      <w:tr w:rsidTr="00932BB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32BB1">
            <w:pPr>
              <w:pStyle w:val="ListBullet2"/>
              <w:rPr>
                <w:lang w:val="en-NZ"/>
              </w:rPr>
            </w:pPr>
            <w:r w:rsidRPr="00932BB1">
              <w:t>Conduct work observing the relevant Anti-discrimination legislation, regulations, polices and workplace procedures</w:t>
            </w:r>
          </w:p>
        </w:tc>
      </w:tr>
      <w:tr w:rsidTr="00932BB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932BB1" w:rsidP="00932BB1">
            <w:pPr>
              <w:pStyle w:val="ListBullet"/>
            </w:pPr>
            <w:r w:rsidRPr="00932BB1">
              <w:t>Demonstrate performance across a representative range of contexts from the prescribed items below.</w:t>
            </w:r>
          </w:p>
          <w:p w:rsidR="00000000" w:rsidRPr="00932BB1" w:rsidP="00932BB1">
            <w:pPr>
              <w:pStyle w:val="ListBullet2"/>
            </w:pPr>
            <w:r w:rsidRPr="00932BB1">
              <w:t>Disconnecting, replacing and reconnecting small capacity gas meters and associated components as described in 9.) Range Statement and including:</w:t>
            </w:r>
          </w:p>
        </w:tc>
      </w:tr>
    </w:tbl>
    <w:p w:rsidR="00000000" w:rsidRPr="00932BB1" w:rsidP="00932BB1">
      <w:pPr>
        <w:pStyle w:val="BodyText"/>
      </w:pPr>
    </w:p>
    <w:tbl>
      <w:tblPr>
        <w:tblW w:w="0" w:type="auto"/>
        <w:tblLayout w:type="fixed"/>
        <w:tblCellMar>
          <w:left w:w="62" w:type="dxa"/>
          <w:right w:w="62" w:type="dxa"/>
        </w:tblCellMar>
        <w:tblLook w:val="0000"/>
      </w:tblPr>
      <w:tblGrid>
        <w:gridCol w:w="1800"/>
        <w:gridCol w:w="810"/>
        <w:gridCol w:w="1350"/>
        <w:gridCol w:w="1428"/>
        <w:gridCol w:w="2982"/>
      </w:tblGrid>
      <w:tr w:rsidTr="00932BB1">
        <w:tblPrEx>
          <w:tblW w:w="0" w:type="auto"/>
          <w:tblLayout w:type="fixed"/>
          <w:tblCellMar>
            <w:left w:w="62" w:type="dxa"/>
            <w:right w:w="62" w:type="dxa"/>
          </w:tblCellMar>
          <w:tblLook w:val="0000"/>
        </w:tblPrEx>
        <w:trPr>
          <w:trHeight w:val="286"/>
        </w:trPr>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932BB1">
            <w:pPr>
              <w:pStyle w:val="BodyText"/>
              <w:keepNext w:val="0"/>
              <w:keepLines w:val="0"/>
              <w:contextualSpacing w:val="0"/>
            </w:pPr>
          </w:p>
        </w:tc>
        <w:tc>
          <w:tcPr>
            <w:tcW w:w="576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2BB1">
            <w:pPr>
              <w:pStyle w:val="BodyText"/>
              <w:rPr>
                <w:lang w:val="en-NZ"/>
              </w:rPr>
            </w:pPr>
            <w:r w:rsidRPr="00932BB1">
              <w:rPr>
                <w:rStyle w:val="SpecialBold"/>
              </w:rPr>
              <w:t>Range of tools/equipment/procedures/workplace</w:t>
            </w:r>
          </w:p>
        </w:tc>
      </w:tr>
      <w:tr w:rsidTr="00932BB1">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932BB1">
            <w:pPr>
              <w:pStyle w:val="BodyText"/>
              <w:keepNext w:val="0"/>
              <w:keepLines w:val="0"/>
              <w:contextualSpacing w:val="0"/>
            </w:pP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2BB1" w:rsidP="00932BB1">
            <w:pPr>
              <w:pStyle w:val="BodyText"/>
            </w:pPr>
            <w:r w:rsidRPr="00932BB1">
              <w:rPr>
                <w:rStyle w:val="SpecialBold"/>
              </w:rPr>
              <w:t>Group No</w:t>
            </w:r>
          </w:p>
        </w:tc>
        <w:tc>
          <w:tcPr>
            <w:tcW w:w="1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2BB1" w:rsidP="00932BB1">
            <w:pPr>
              <w:pStyle w:val="BodyText"/>
            </w:pPr>
            <w:r w:rsidRPr="00932BB1">
              <w:rPr>
                <w:rStyle w:val="SpecialBold"/>
              </w:rPr>
              <w:t>The minimum number of items on which skill is to be demonstrated</w:t>
            </w:r>
          </w:p>
        </w:tc>
        <w:tc>
          <w:tcPr>
            <w:tcW w:w="2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2BB1">
            <w:pPr>
              <w:pStyle w:val="BodyText"/>
              <w:rPr>
                <w:lang w:val="en-NZ"/>
              </w:rPr>
            </w:pPr>
            <w:r w:rsidRPr="00932BB1">
              <w:rPr>
                <w:rStyle w:val="SpecialBold"/>
              </w:rPr>
              <w:t>Item List</w:t>
            </w:r>
          </w:p>
        </w:tc>
      </w:tr>
      <w:tr w:rsidTr="00932BB1">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4" w:space="0" w:color="auto"/>
            </w:tcBorders>
            <w:tcMar>
              <w:top w:w="0" w:type="dxa"/>
              <w:left w:w="62" w:type="dxa"/>
              <w:bottom w:w="0" w:type="dxa"/>
              <w:right w:w="62" w:type="dxa"/>
            </w:tcMar>
          </w:tcPr>
          <w:p w:rsidR="00000000" w:rsidRPr="00932BB1">
            <w:pPr>
              <w:pStyle w:val="BodyText"/>
              <w:keepNext w:val="0"/>
              <w:keepLines w:val="0"/>
              <w:contextualSpacing w:val="0"/>
            </w:pP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2BB1">
            <w:pPr>
              <w:pStyle w:val="BodyText"/>
              <w:rPr>
                <w:lang w:val="en-NZ"/>
              </w:rPr>
            </w:pPr>
            <w:r w:rsidRPr="00932BB1">
              <w:rPr>
                <w:rStyle w:val="SpecialBold"/>
              </w:rPr>
              <w:t>A. Procedures</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2BB1">
            <w:pPr>
              <w:pStyle w:val="BodyText"/>
              <w:rPr>
                <w:lang w:val="en-NZ"/>
              </w:rPr>
            </w:pPr>
            <w:r w:rsidRPr="00932BB1">
              <w:t>All</w:t>
            </w:r>
          </w:p>
        </w:tc>
        <w:tc>
          <w:tcPr>
            <w:tcW w:w="2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2BB1" w:rsidP="00932BB1">
            <w:pPr>
              <w:pStyle w:val="ListBullet"/>
            </w:pPr>
            <w:r w:rsidRPr="00932BB1">
              <w:t xml:space="preserve">Work utilising relevant OHS/WHS legislation, regulations, codes of practice, policies </w:t>
            </w:r>
            <w:r w:rsidRPr="00932BB1">
              <w:t>and procedures</w:t>
            </w:r>
          </w:p>
          <w:p w:rsidR="00000000" w:rsidRPr="00932BB1" w:rsidP="00932BB1">
            <w:pPr>
              <w:pStyle w:val="ListBullet"/>
            </w:pPr>
            <w:r w:rsidRPr="00932BB1">
              <w:t>Communicate effectively with appropriate personnel and customers</w:t>
            </w:r>
          </w:p>
          <w:p w:rsidR="00000000" w:rsidRPr="00932BB1" w:rsidP="00932BB1">
            <w:pPr>
              <w:pStyle w:val="ListBullet"/>
            </w:pPr>
            <w:r w:rsidRPr="00932BB1">
              <w:t>Accurately complete records and documentation</w:t>
            </w:r>
          </w:p>
          <w:p w:rsidR="00000000" w:rsidRPr="00932BB1" w:rsidP="00932BB1">
            <w:pPr>
              <w:pStyle w:val="ListBullet"/>
            </w:pPr>
            <w:r w:rsidRPr="00932BB1">
              <w:t>Follow work schedules including meeting appointments</w:t>
            </w:r>
          </w:p>
          <w:p w:rsidR="00000000" w:rsidRPr="00932BB1" w:rsidP="00932BB1">
            <w:pPr>
              <w:pStyle w:val="ListBullet"/>
            </w:pPr>
            <w:r w:rsidRPr="00932BB1">
              <w:t xml:space="preserve">Effectively use tools and equipment to disconnect reconnect, replacement gas </w:t>
            </w:r>
            <w:r w:rsidRPr="00932BB1">
              <w:t>meter</w:t>
            </w:r>
          </w:p>
          <w:p w:rsidR="00000000" w:rsidRPr="00932BB1" w:rsidP="00932BB1">
            <w:pPr>
              <w:pStyle w:val="ListBullet"/>
            </w:pPr>
            <w:r w:rsidRPr="00932BB1">
              <w:t>Use of WADS/disconnection discs and valve locks</w:t>
            </w:r>
          </w:p>
          <w:p w:rsidR="00000000" w:rsidRPr="00932BB1" w:rsidP="00932BB1">
            <w:pPr>
              <w:pStyle w:val="ListBullet"/>
            </w:pPr>
            <w:r w:rsidRPr="00932BB1">
              <w:t>Use of Soundness testing equipment Drop test/ bubble leak detector, etc.</w:t>
            </w:r>
          </w:p>
          <w:p w:rsidR="00000000" w:rsidP="00932BB1">
            <w:pPr>
              <w:pStyle w:val="ListBullet"/>
              <w:rPr>
                <w:lang w:val="en-NZ"/>
              </w:rPr>
            </w:pPr>
            <w:r w:rsidRPr="00932BB1">
              <w:t>Advise stakeholders of potentially dangerous or illegal situations</w:t>
            </w:r>
          </w:p>
        </w:tc>
      </w:tr>
      <w:tr w:rsidTr="00932BB1">
        <w:tblPrEx>
          <w:tblW w:w="0" w:type="auto"/>
          <w:tblLayout w:type="fixed"/>
          <w:tblCellMar>
            <w:left w:w="62" w:type="dxa"/>
            <w:right w:w="62" w:type="dxa"/>
          </w:tblCellMar>
          <w:tblLook w:val="0000"/>
        </w:tblPrEx>
        <w:trPr>
          <w:trHeight w:val="1733"/>
        </w:trPr>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4" w:space="0" w:color="auto"/>
            </w:tcBorders>
            <w:tcMar>
              <w:top w:w="0" w:type="dxa"/>
              <w:left w:w="62" w:type="dxa"/>
              <w:bottom w:w="0" w:type="dxa"/>
              <w:right w:w="62" w:type="dxa"/>
            </w:tcMar>
          </w:tcPr>
          <w:p w:rsidR="00000000" w:rsidRPr="00932BB1">
            <w:pPr>
              <w:pStyle w:val="BodyText"/>
              <w:keepNext w:val="0"/>
              <w:keepLines w:val="0"/>
              <w:contextualSpacing w:val="0"/>
            </w:pP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2BB1">
            <w:pPr>
              <w:pStyle w:val="BodyText"/>
              <w:rPr>
                <w:lang w:val="en-NZ"/>
              </w:rPr>
            </w:pPr>
            <w:r w:rsidRPr="00932BB1">
              <w:rPr>
                <w:rStyle w:val="SpecialBold"/>
              </w:rPr>
              <w:t>B. Requirements</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2BB1">
            <w:pPr>
              <w:pStyle w:val="BodyText"/>
              <w:rPr>
                <w:lang w:val="en-NZ"/>
              </w:rPr>
            </w:pPr>
            <w:r w:rsidRPr="00932BB1">
              <w:t>All</w:t>
            </w:r>
          </w:p>
        </w:tc>
        <w:tc>
          <w:tcPr>
            <w:tcW w:w="2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2BB1" w:rsidP="00932BB1">
            <w:pPr>
              <w:pStyle w:val="ListBullet"/>
            </w:pPr>
            <w:r w:rsidRPr="00932BB1">
              <w:t>Stray current testing and protection including Bonding clamps and PPE</w:t>
            </w:r>
          </w:p>
          <w:p w:rsidR="00000000" w:rsidP="00932BB1">
            <w:pPr>
              <w:pStyle w:val="ListBullet"/>
              <w:rPr>
                <w:lang w:val="en-NZ"/>
              </w:rPr>
            </w:pPr>
            <w:r w:rsidRPr="00932BB1">
              <w:t>Storage and transport requirements for gas meters and associated equipment</w:t>
            </w:r>
          </w:p>
        </w:tc>
      </w:tr>
      <w:tr w:rsidTr="00932BB1">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4" w:space="0" w:color="auto"/>
            </w:tcBorders>
            <w:tcMar>
              <w:top w:w="0" w:type="dxa"/>
              <w:left w:w="62" w:type="dxa"/>
              <w:bottom w:w="0" w:type="dxa"/>
              <w:right w:w="62" w:type="dxa"/>
            </w:tcMar>
          </w:tcPr>
          <w:p w:rsidR="00000000" w:rsidRPr="00932BB1">
            <w:pPr>
              <w:pStyle w:val="BodyText"/>
              <w:keepNext w:val="0"/>
              <w:keepLines w:val="0"/>
              <w:contextualSpacing w:val="0"/>
            </w:pP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2BB1">
            <w:pPr>
              <w:pStyle w:val="BodyText"/>
              <w:rPr>
                <w:lang w:val="en-NZ"/>
              </w:rPr>
            </w:pPr>
            <w:r w:rsidRPr="00932BB1">
              <w:rPr>
                <w:rStyle w:val="SpecialBold"/>
              </w:rPr>
              <w:t>C. Unplanned events</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2BB1">
            <w:pPr>
              <w:pStyle w:val="BodyText"/>
              <w:rPr>
                <w:lang w:val="en-NZ"/>
              </w:rPr>
            </w:pPr>
            <w:r w:rsidRPr="00932BB1">
              <w:t>At least on one occasion</w:t>
            </w:r>
          </w:p>
        </w:tc>
        <w:tc>
          <w:tcPr>
            <w:tcW w:w="2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2BB1" w:rsidP="00932BB1">
            <w:pPr>
              <w:pStyle w:val="BodyText"/>
            </w:pPr>
            <w:r w:rsidRPr="00932BB1">
              <w:t>Respond to an unplanned event by drawing on required  knowledge and skills to provide appropriate solutions incorporated in the holistic assessment with the above listed items</w:t>
            </w:r>
          </w:p>
        </w:tc>
      </w:tr>
    </w:tbl>
    <w:p w:rsidR="00000000" w:rsidRPr="00932BB1" w:rsidP="00932BB1">
      <w:pPr>
        <w:pStyle w:val="BodyText"/>
      </w:pPr>
    </w:p>
    <w:tbl>
      <w:tblPr>
        <w:tblW w:w="0" w:type="auto"/>
        <w:tblLayout w:type="fixed"/>
        <w:tblCellMar>
          <w:left w:w="62" w:type="dxa"/>
          <w:right w:w="62" w:type="dxa"/>
        </w:tblCellMar>
        <w:tblLook w:val="0000"/>
      </w:tblPr>
      <w:tblGrid>
        <w:gridCol w:w="1828"/>
        <w:gridCol w:w="6570"/>
      </w:tblGrid>
      <w:tr w:rsidTr="00932BB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932BB1" w:rsidP="00932BB1">
            <w:pPr>
              <w:pStyle w:val="BodyText"/>
            </w:pPr>
            <w:r w:rsidRPr="00932BB1">
              <w:rPr>
                <w:rStyle w:val="SpecialBold"/>
              </w:rPr>
              <w:t xml:space="preserve">Context of and specific resources </w:t>
            </w:r>
            <w:r w:rsidRPr="00932BB1">
              <w:rPr>
                <w:rStyle w:val="SpecialBold"/>
              </w:rPr>
              <w:t>for assessment</w:t>
            </w:r>
          </w:p>
        </w:tc>
        <w:tc>
          <w:tcPr>
            <w:tcW w:w="657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rPr>
                <w:rStyle w:val="SpecialBold"/>
              </w:rPr>
              <w:t>8.3)</w:t>
            </w:r>
          </w:p>
        </w:tc>
      </w:tr>
      <w:tr w:rsidTr="00932BB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This unit should be assessed as it relates to normal work practice using procedures, information and resources typical of a workplace. This should include:</w:t>
            </w:r>
          </w:p>
        </w:tc>
      </w:tr>
      <w:tr w:rsidTr="00932BB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32BB1">
            <w:pPr>
              <w:pStyle w:val="ListBullet"/>
              <w:rPr>
                <w:lang w:val="en-NZ"/>
              </w:rPr>
            </w:pPr>
            <w:r w:rsidRPr="00932BB1">
              <w:t>OHS policy and work procedures and instructions.</w:t>
            </w:r>
          </w:p>
        </w:tc>
      </w:tr>
      <w:tr w:rsidTr="00932BB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32BB1">
            <w:pPr>
              <w:pStyle w:val="ListBullet"/>
              <w:rPr>
                <w:lang w:val="en-NZ"/>
              </w:rPr>
            </w:pPr>
            <w:r w:rsidRPr="00932BB1">
              <w:t>Suitable work environment, facilities, equipm</w:t>
            </w:r>
            <w:r w:rsidRPr="00932BB1">
              <w:t>ent and materials to undertake actual work as prescribed by this Unit.</w:t>
            </w:r>
          </w:p>
        </w:tc>
      </w:tr>
      <w:tr w:rsidTr="00932BB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32BB1">
            <w:pPr>
              <w:pStyle w:val="ListBullet"/>
              <w:rPr>
                <w:lang w:val="en-NZ"/>
              </w:rPr>
            </w:pPr>
            <w:r w:rsidRPr="00932BB1">
              <w:t>Appropriate environmental regulation and work practices.</w:t>
            </w:r>
          </w:p>
        </w:tc>
      </w:tr>
      <w:tr w:rsidTr="00932BB1">
        <w:tblPrEx>
          <w:tblW w:w="0" w:type="auto"/>
          <w:tblLayout w:type="fixed"/>
          <w:tblCellMar>
            <w:left w:w="62" w:type="dxa"/>
            <w:right w:w="62" w:type="dxa"/>
          </w:tblCellMar>
          <w:tblLook w:val="0000"/>
        </w:tblPrEx>
        <w:trPr>
          <w:trHeight w:val="361"/>
        </w:trPr>
        <w:tc>
          <w:tcPr>
            <w:tcW w:w="1828"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32BB1">
            <w:pPr>
              <w:pStyle w:val="ListBullet"/>
              <w:rPr>
                <w:lang w:val="en-NZ"/>
              </w:rPr>
            </w:pPr>
            <w:r w:rsidRPr="00932BB1">
              <w:t>Appropriate organisational requirements.</w:t>
            </w:r>
          </w:p>
        </w:tc>
      </w:tr>
      <w:tr w:rsidTr="00932BB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32BB1">
            <w:pPr>
              <w:pStyle w:val="ListBullet"/>
              <w:rPr>
                <w:lang w:val="en-NZ"/>
              </w:rPr>
            </w:pPr>
            <w:r w:rsidRPr="00932BB1">
              <w:t>Appropriate work environment, equipment and tools.</w:t>
            </w:r>
          </w:p>
        </w:tc>
      </w:tr>
      <w:tr w:rsidTr="00932BB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 xml:space="preserve">In </w:t>
            </w:r>
            <w:r w:rsidRPr="00932BB1">
              <w:t>addition to the resources listed above, in Context of and specific resources for assessment, evidence should show demonstrated competency in conducting appliance relights.</w:t>
            </w:r>
          </w:p>
        </w:tc>
      </w:tr>
      <w:tr w:rsidTr="00932BB1">
        <w:tblPrEx>
          <w:tblW w:w="0" w:type="auto"/>
          <w:tblLayout w:type="fixed"/>
          <w:tblCellMar>
            <w:left w:w="62" w:type="dxa"/>
            <w:right w:w="62" w:type="dxa"/>
          </w:tblCellMar>
          <w:tblLook w:val="0000"/>
        </w:tblPrEx>
        <w:trPr>
          <w:trHeight w:val="963"/>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32BB1" w:rsidP="00932BB1">
            <w:pPr>
              <w:pStyle w:val="BodyText"/>
            </w:pPr>
            <w:r w:rsidRPr="00932BB1">
              <w:t>Assessment of this competency must also be undertaken in either an actual workplac</w:t>
            </w:r>
            <w:r w:rsidRPr="00932BB1">
              <w:t>e or under a simulated work environment. Assessment must also integrate the key competencies.</w:t>
            </w:r>
          </w:p>
        </w:tc>
      </w:tr>
    </w:tbl>
    <w:p w:rsidR="00000000" w:rsidRPr="00932BB1" w:rsidP="00932BB1">
      <w:pPr>
        <w:pStyle w:val="BodyText"/>
      </w:pPr>
    </w:p>
    <w:tbl>
      <w:tblPr>
        <w:tblW w:w="0" w:type="auto"/>
        <w:tblLayout w:type="fixed"/>
        <w:tblCellMar>
          <w:left w:w="62" w:type="dxa"/>
          <w:right w:w="62" w:type="dxa"/>
        </w:tblCellMar>
        <w:tblLook w:val="0000"/>
      </w:tblPr>
      <w:tblGrid>
        <w:gridCol w:w="1828"/>
        <w:gridCol w:w="6542"/>
      </w:tblGrid>
      <w:tr w:rsidTr="00932BB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932BB1" w:rsidP="00932BB1">
            <w:pPr>
              <w:pStyle w:val="BodyText"/>
            </w:pPr>
            <w:r w:rsidRPr="00932BB1">
              <w:rPr>
                <w:rStyle w:val="SpecialBold"/>
              </w:rPr>
              <w:t>Method of assessment</w:t>
            </w:r>
          </w:p>
        </w:tc>
        <w:tc>
          <w:tcPr>
            <w:tcW w:w="6542"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rPr>
                <w:rStyle w:val="SpecialBold"/>
              </w:rPr>
              <w:t>8.4)</w:t>
            </w:r>
          </w:p>
        </w:tc>
      </w:tr>
      <w:tr w:rsidTr="00932BB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42"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This Unit shall be assessed by methods given in Volume 1 Part 3 ‘Assessment Guidelines’.</w:t>
            </w:r>
          </w:p>
        </w:tc>
      </w:tr>
      <w:tr w:rsidTr="00932BB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42" w:type="dxa"/>
            <w:tcBorders>
              <w:top w:val="nil"/>
              <w:left w:val="nil"/>
              <w:bottom w:val="nil"/>
              <w:right w:val="nil"/>
            </w:tcBorders>
            <w:tcMar>
              <w:top w:w="0" w:type="dxa"/>
              <w:left w:w="62" w:type="dxa"/>
              <w:bottom w:w="0" w:type="dxa"/>
              <w:right w:w="62" w:type="dxa"/>
            </w:tcMar>
          </w:tcPr>
          <w:p w:rsidR="00000000" w:rsidRPr="00932BB1" w:rsidP="00932BB1">
            <w:pPr>
              <w:pStyle w:val="BodyText"/>
            </w:pPr>
            <w:r w:rsidRPr="00932BB1">
              <w:t>Note: Competent performance with inherent safe working practices is expected in the Industry to which this Unit applies. This requires that the specified Required Knowledge and Skills are assessed in a structured environment which is primarily intended for</w:t>
            </w:r>
            <w:r w:rsidRPr="00932BB1">
              <w:t xml:space="preserve"> learning/assessment and incorporates all necessary equipment and facilities for learners to develop and demonstrate the Required Knowledge and Skills described in this unit.</w:t>
            </w:r>
          </w:p>
        </w:tc>
      </w:tr>
    </w:tbl>
    <w:p w:rsidR="00000000" w:rsidRPr="00932BB1" w:rsidP="00932BB1">
      <w:pPr>
        <w:pStyle w:val="BodyText"/>
      </w:pPr>
    </w:p>
    <w:tbl>
      <w:tblPr>
        <w:tblW w:w="0" w:type="auto"/>
        <w:tblLayout w:type="fixed"/>
        <w:tblCellMar>
          <w:left w:w="62" w:type="dxa"/>
          <w:right w:w="62" w:type="dxa"/>
        </w:tblCellMar>
        <w:tblLook w:val="0000"/>
      </w:tblPr>
      <w:tblGrid>
        <w:gridCol w:w="1828"/>
        <w:gridCol w:w="1620"/>
        <w:gridCol w:w="4950"/>
      </w:tblGrid>
      <w:tr w:rsidTr="00932BB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932BB1" w:rsidP="00932BB1">
            <w:pPr>
              <w:pStyle w:val="BodyText"/>
            </w:pPr>
            <w:r w:rsidRPr="00932BB1">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rPr>
                <w:rStyle w:val="SpecialBold"/>
              </w:rPr>
              <w:t>8.5)</w:t>
            </w:r>
          </w:p>
        </w:tc>
      </w:tr>
      <w:tr w:rsidTr="00932BB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There are no recommended concurrent assessments with this unit, however in some cases efficiencies may be gained in terms of learning and assessment effort being concurrently managed with allied Units where listed.</w:t>
            </w:r>
          </w:p>
        </w:tc>
      </w:tr>
      <w:tr w:rsidTr="00932BB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t>UEGNSG132A</w:t>
            </w:r>
          </w:p>
        </w:tc>
        <w:tc>
          <w:tcPr>
            <w:tcW w:w="4950" w:type="dxa"/>
            <w:tcBorders>
              <w:top w:val="nil"/>
              <w:left w:val="nil"/>
              <w:bottom w:val="nil"/>
              <w:right w:val="nil"/>
            </w:tcBorders>
            <w:tcMar>
              <w:top w:w="0" w:type="dxa"/>
              <w:left w:w="62" w:type="dxa"/>
              <w:bottom w:w="0" w:type="dxa"/>
              <w:right w:w="62" w:type="dxa"/>
            </w:tcMar>
          </w:tcPr>
          <w:p w:rsidR="00000000" w:rsidRPr="00932BB1" w:rsidP="00932BB1">
            <w:pPr>
              <w:pStyle w:val="BodyText"/>
            </w:pPr>
            <w:r w:rsidRPr="00932BB1">
              <w:t>Carry out basic work activi</w:t>
            </w:r>
            <w:r w:rsidRPr="00932BB1">
              <w:t>ties in a gas industry work environment</w:t>
            </w:r>
          </w:p>
        </w:tc>
      </w:tr>
    </w:tbl>
    <w:p w:rsidR="00A34FEE" w:rsidP="00932BB1">
      <w:pPr>
        <w:pStyle w:val="BodyText"/>
      </w:pPr>
    </w:p>
    <w:p w:rsidR="00A34FEE" w:rsidP="00932BB1">
      <w:pPr>
        <w:pStyle w:val="BodyText"/>
      </w:pPr>
    </w:p>
    <w:p w:rsidR="00000000" w:rsidRPr="00932BB1" w:rsidP="00932BB1">
      <w:pPr>
        <w:pStyle w:val="Heading1"/>
      </w:pPr>
      <w:bookmarkStart w:id="11" w:name="O_613231"/>
      <w:bookmarkEnd w:id="11"/>
      <w:r w:rsidRPr="00932BB1">
        <w:t>Range Statement</w:t>
      </w:r>
    </w:p>
    <w:tbl>
      <w:tblPr>
        <w:tblW w:w="0" w:type="auto"/>
        <w:tblLayout w:type="fixed"/>
        <w:tblCellMar>
          <w:left w:w="62" w:type="dxa"/>
          <w:right w:w="62" w:type="dxa"/>
        </w:tblCellMar>
        <w:tblLook w:val="0000"/>
      </w:tblPr>
      <w:tblGrid>
        <w:gridCol w:w="9072"/>
      </w:tblGrid>
      <w:tr w:rsidTr="00932BB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rPr>
                <w:rStyle w:val="SpecialBold"/>
              </w:rPr>
              <w:t>RANGE STATEMENT</w:t>
            </w:r>
          </w:p>
        </w:tc>
      </w:tr>
      <w:tr w:rsidTr="00932BB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rPr>
                <w:rStyle w:val="SpecialBold"/>
              </w:rPr>
              <w:t>9)</w:t>
            </w:r>
            <w:r w:rsidRPr="00932BB1">
              <w:t xml:space="preserve"> </w:t>
            </w:r>
            <w:r w:rsidRPr="00932BB1">
              <w:rPr>
                <w:rStyle w:val="Emphasis"/>
              </w:rPr>
              <w:t>This relates to the competency standard unit as a whole providing the range of contexts and conditions to which the Performance Criteria apply. It allows for d</w:t>
            </w:r>
            <w:r w:rsidRPr="00932BB1">
              <w:rPr>
                <w:rStyle w:val="Emphasis"/>
              </w:rPr>
              <w:t>ifferent work environments and situations that will affect performance.</w:t>
            </w:r>
          </w:p>
        </w:tc>
      </w:tr>
      <w:tr w:rsidTr="00932BB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32BB1" w:rsidP="00932BB1">
            <w:pPr>
              <w:pStyle w:val="BodyText"/>
            </w:pPr>
            <w:r w:rsidRPr="00932BB1">
              <w:t>This Unit shall be demonstrated in relation to disconnecting, replacing and reconnecting small capacity gas meters and associated components by a designated gas industry person follow</w:t>
            </w:r>
            <w:r w:rsidRPr="00932BB1">
              <w:t>ing company standard operating procedures in accordance with relevant legislative, standard and code requirements.</w:t>
            </w:r>
          </w:p>
          <w:p w:rsidR="00000000" w:rsidRPr="00932BB1" w:rsidP="00932BB1">
            <w:pPr>
              <w:pStyle w:val="BodyText"/>
            </w:pPr>
            <w:r w:rsidRPr="00932BB1">
              <w:t>The following constants and variables included in the element/Performance Criteria in this unit are fully described in the Definitions Sectio</w:t>
            </w:r>
            <w:r w:rsidRPr="00932BB1">
              <w:t>n of this volume and form an integral part of the Range Statement of this unit:</w:t>
            </w:r>
          </w:p>
          <w:p w:rsidR="00000000" w:rsidRPr="00932BB1" w:rsidP="00932BB1">
            <w:pPr>
              <w:pStyle w:val="ListBullet"/>
            </w:pPr>
            <w:r w:rsidRPr="00932BB1">
              <w:t xml:space="preserve">Appropriate persons Hand tools to disconnect and reconnect meters </w:t>
            </w:r>
          </w:p>
          <w:p w:rsidR="00000000" w:rsidRPr="00932BB1" w:rsidP="00932BB1">
            <w:pPr>
              <w:pStyle w:val="ListBullet"/>
            </w:pPr>
            <w:r w:rsidRPr="00932BB1">
              <w:t>Includes footprints, spanners, neon tester, bonding leads, soap tester, safety matches</w:t>
            </w:r>
          </w:p>
          <w:p w:rsidR="00000000" w:rsidRPr="00932BB1" w:rsidP="00932BB1">
            <w:pPr>
              <w:pStyle w:val="ListBullet"/>
            </w:pPr>
            <w:r w:rsidRPr="00932BB1">
              <w:t>Safe working procedur</w:t>
            </w:r>
            <w:r w:rsidRPr="00932BB1">
              <w:t xml:space="preserve">es </w:t>
            </w:r>
          </w:p>
          <w:p w:rsidR="00000000" w:rsidRPr="00932BB1" w:rsidP="00932BB1">
            <w:pPr>
              <w:pStyle w:val="ListBullet"/>
            </w:pPr>
            <w:r w:rsidRPr="00932BB1">
              <w:t>Legislative requirements</w:t>
            </w:r>
          </w:p>
          <w:p w:rsidR="00000000" w:rsidRPr="00932BB1" w:rsidP="00932BB1">
            <w:pPr>
              <w:pStyle w:val="ListBullet"/>
            </w:pPr>
            <w:r w:rsidRPr="00932BB1">
              <w:t xml:space="preserve">Personal Protective Equipment </w:t>
            </w:r>
          </w:p>
        </w:tc>
      </w:tr>
    </w:tbl>
    <w:p w:rsidR="00A34FEE" w:rsidP="00932BB1">
      <w:pPr>
        <w:pStyle w:val="BodyText"/>
      </w:pPr>
    </w:p>
    <w:p w:rsidR="00A34FEE" w:rsidP="00932BB1">
      <w:pPr>
        <w:pStyle w:val="BodyText"/>
      </w:pPr>
    </w:p>
    <w:p w:rsidR="00000000" w:rsidRPr="00932BB1" w:rsidP="00932BB1">
      <w:pPr>
        <w:pStyle w:val="Heading1"/>
      </w:pPr>
      <w:bookmarkStart w:id="12" w:name="O_613232"/>
      <w:bookmarkEnd w:id="12"/>
      <w:r w:rsidRPr="00932BB1">
        <w:t>Unit Sector(s)</w:t>
      </w:r>
    </w:p>
    <w:p w:rsidR="00000000" w:rsidRPr="00932BB1" w:rsidP="00932BB1">
      <w:pPr>
        <w:pStyle w:val="BodyText"/>
      </w:pPr>
      <w:r w:rsidRPr="00932BB1">
        <w:t>Gas Industry</w:t>
      </w:r>
    </w:p>
    <w:p w:rsidR="00000000" w:rsidRPr="00932BB1" w:rsidP="00932BB1">
      <w:pPr>
        <w:pStyle w:val="AllowPageBreak"/>
      </w:pPr>
    </w:p>
    <w:p w:rsidR="00000000" w:rsidRPr="00932BB1" w:rsidP="00932BB1">
      <w:pPr>
        <w:pStyle w:val="Heading1"/>
      </w:pPr>
      <w:bookmarkStart w:id="13" w:name="O_613233"/>
      <w:bookmarkEnd w:id="13"/>
      <w:r w:rsidRPr="00932BB1">
        <w:t>Competency Field</w:t>
      </w:r>
    </w:p>
    <w:tbl>
      <w:tblPr>
        <w:tblW w:w="0" w:type="auto"/>
        <w:tblLayout w:type="fixed"/>
        <w:tblCellMar>
          <w:left w:w="62" w:type="dxa"/>
          <w:right w:w="62" w:type="dxa"/>
        </w:tblCellMar>
        <w:tblLook w:val="0000"/>
      </w:tblPr>
      <w:tblGrid>
        <w:gridCol w:w="2638"/>
        <w:gridCol w:w="5760"/>
      </w:tblGrid>
      <w:tr w:rsidTr="00932BB1">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932BB1" w:rsidP="00932BB1">
            <w:pPr>
              <w:pStyle w:val="BodyText"/>
            </w:pPr>
            <w:r w:rsidRPr="00932BB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32BB1">
            <w:pPr>
              <w:pStyle w:val="BodyText"/>
              <w:rPr>
                <w:lang w:val="en-NZ"/>
              </w:rPr>
            </w:pPr>
            <w:r w:rsidRPr="00932BB1">
              <w:rPr>
                <w:rStyle w:val="SpecialBold"/>
              </w:rPr>
              <w:t xml:space="preserve">11) </w:t>
            </w:r>
          </w:p>
        </w:tc>
      </w:tr>
      <w:tr w:rsidTr="00932BB1">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32BB1" w:rsidP="00932BB1">
            <w:pPr>
              <w:pStyle w:val="BodyText"/>
            </w:pPr>
            <w:r w:rsidRPr="00932BB1">
              <w:t>Support services</w:t>
            </w:r>
          </w:p>
        </w:tc>
      </w:tr>
    </w:tbl>
    <w:p w:rsidR="00A34FEE" w:rsidP="00932BB1">
      <w:pPr>
        <w:pStyle w:val="BodyText"/>
      </w:pPr>
    </w:p>
    <w:p w:rsidR="00A34FEE" w:rsidP="00932BB1">
      <w:pPr>
        <w:pStyle w:val="BodyText"/>
      </w:pPr>
    </w:p>
    <w:p w:rsidR="00000000" w:rsidRPr="00932BB1" w:rsidP="00932BB1"/>
    <w:sectPr w:rsidSect="00932B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B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BB1" w:rsidRPr="00A34FEE" w:rsidP="00A34F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B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FEE" w:rsidP="00932B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A34FEE" w:rsidP="00932BB1">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A34FEE" w:rsidP="00932B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B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BB1" w:rsidRPr="00A34FEE" w:rsidP="00A34FE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B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FEE" w:rsidRPr="002D2AF8" w:rsidP="00932BB1">
    <w:pPr>
      <w:pStyle w:val="Header"/>
      <w:framePr w:wrap="around"/>
    </w:pPr>
    <w:r>
      <w:fldChar w:fldCharType="begin"/>
    </w:r>
    <w:r>
      <w:instrText xml:space="preserve"> TITLE   \* MERGEFORMAT </w:instrText>
    </w:r>
    <w:r>
      <w:fldChar w:fldCharType="separate"/>
    </w:r>
    <w:r>
      <w:t>UEGNSG705A Disconnect and reconnect small capacity gas meters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A34FEE" w:rsidP="00932B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D021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ACC6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34F4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2B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2BB1"/>
    <w:pPr>
      <w:spacing w:before="360" w:after="60"/>
      <w:outlineLvl w:val="0"/>
    </w:pPr>
    <w:rPr>
      <w:sz w:val="32"/>
    </w:rPr>
  </w:style>
  <w:style w:type="paragraph" w:styleId="Heading2">
    <w:name w:val="heading 2"/>
    <w:basedOn w:val="HeadingBase"/>
    <w:next w:val="BodyText"/>
    <w:link w:val="Heading2Char"/>
    <w:qFormat/>
    <w:rsid w:val="00932BB1"/>
    <w:pPr>
      <w:keepLines/>
      <w:spacing w:before="240" w:after="120"/>
      <w:outlineLvl w:val="1"/>
    </w:pPr>
    <w:rPr>
      <w:sz w:val="28"/>
      <w:szCs w:val="40"/>
    </w:rPr>
  </w:style>
  <w:style w:type="paragraph" w:styleId="Heading3">
    <w:name w:val="heading 3"/>
    <w:basedOn w:val="HeadingBase"/>
    <w:next w:val="BodyText"/>
    <w:link w:val="Heading3Char"/>
    <w:qFormat/>
    <w:rsid w:val="00932BB1"/>
    <w:pPr>
      <w:spacing w:before="180" w:after="120"/>
      <w:outlineLvl w:val="2"/>
    </w:pPr>
    <w:rPr>
      <w:spacing w:val="-10"/>
      <w:kern w:val="32"/>
    </w:rPr>
  </w:style>
  <w:style w:type="paragraph" w:styleId="Heading4">
    <w:name w:val="heading 4"/>
    <w:basedOn w:val="HeadingBase"/>
    <w:next w:val="BodyText"/>
    <w:link w:val="Heading4Char"/>
    <w:qFormat/>
    <w:rsid w:val="00932BB1"/>
    <w:pPr>
      <w:spacing w:before="160" w:after="120"/>
      <w:outlineLvl w:val="3"/>
    </w:pPr>
    <w:rPr>
      <w:sz w:val="22"/>
    </w:rPr>
  </w:style>
  <w:style w:type="paragraph" w:styleId="Heading5">
    <w:name w:val="heading 5"/>
    <w:basedOn w:val="HeadingBase"/>
    <w:next w:val="Normal"/>
    <w:link w:val="Heading5Char"/>
    <w:qFormat/>
    <w:rsid w:val="00932BB1"/>
    <w:pPr>
      <w:spacing w:before="80"/>
      <w:outlineLvl w:val="4"/>
    </w:pPr>
    <w:rPr>
      <w:color w:val="918585"/>
      <w:sz w:val="20"/>
    </w:rPr>
  </w:style>
  <w:style w:type="paragraph" w:styleId="Heading6">
    <w:name w:val="heading 6"/>
    <w:basedOn w:val="HeadingBase"/>
    <w:next w:val="Normal"/>
    <w:link w:val="Heading6Char"/>
    <w:qFormat/>
    <w:rsid w:val="00932BB1"/>
    <w:pPr>
      <w:spacing w:before="60"/>
      <w:outlineLvl w:val="5"/>
    </w:pPr>
    <w:rPr>
      <w:color w:val="918585"/>
      <w:sz w:val="20"/>
    </w:rPr>
  </w:style>
  <w:style w:type="paragraph" w:styleId="Heading7">
    <w:name w:val="heading 7"/>
    <w:basedOn w:val="Normal"/>
    <w:next w:val="Normal"/>
    <w:link w:val="Heading7Char"/>
    <w:qFormat/>
    <w:rsid w:val="00932BB1"/>
    <w:pPr>
      <w:ind w:left="720"/>
      <w:outlineLvl w:val="6"/>
    </w:pPr>
    <w:rPr>
      <w:i/>
    </w:rPr>
  </w:style>
  <w:style w:type="paragraph" w:styleId="Heading8">
    <w:name w:val="heading 8"/>
    <w:basedOn w:val="Normal"/>
    <w:next w:val="Normal"/>
    <w:link w:val="Heading8Char"/>
    <w:qFormat/>
    <w:rsid w:val="00932BB1"/>
    <w:pPr>
      <w:ind w:left="720"/>
      <w:outlineLvl w:val="7"/>
    </w:pPr>
    <w:rPr>
      <w:i/>
    </w:rPr>
  </w:style>
  <w:style w:type="paragraph" w:styleId="Heading9">
    <w:name w:val="heading 9"/>
    <w:basedOn w:val="Normal"/>
    <w:next w:val="Normal"/>
    <w:link w:val="Heading9Char"/>
    <w:qFormat/>
    <w:rsid w:val="00932BB1"/>
    <w:pPr>
      <w:ind w:left="720"/>
      <w:outlineLvl w:val="8"/>
    </w:pPr>
    <w:rPr>
      <w:i/>
    </w:rPr>
  </w:style>
  <w:style w:type="character" w:default="1" w:styleId="DefaultParagraphFont">
    <w:name w:val="Default Paragraph Font"/>
    <w:uiPriority w:val="1"/>
    <w:unhideWhenUsed/>
    <w:rsid w:val="00932B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2BB1"/>
  </w:style>
  <w:style w:type="character" w:customStyle="1" w:styleId="Heading1Char">
    <w:name w:val="Heading 1 Char"/>
    <w:basedOn w:val="DefaultParagraphFont"/>
    <w:link w:val="Heading1"/>
    <w:rsid w:val="00932BB1"/>
    <w:rPr>
      <w:rFonts w:ascii="Times New Roman" w:eastAsia="Times New Roman" w:hAnsi="Times New Roman" w:cs="Times New Roman"/>
      <w:b/>
      <w:sz w:val="32"/>
      <w:szCs w:val="20"/>
      <w:lang w:eastAsia="en-US"/>
    </w:rPr>
  </w:style>
  <w:style w:type="paragraph" w:styleId="BodyText">
    <w:name w:val="Body Text"/>
    <w:basedOn w:val="Normal"/>
    <w:link w:val="BodyTextChar"/>
    <w:rsid w:val="00932B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2BB1"/>
    <w:rPr>
      <w:rFonts w:ascii="Times New Roman" w:eastAsia="Times New Roman" w:hAnsi="Times New Roman" w:cs="Times New Roman"/>
      <w:sz w:val="24"/>
      <w:lang w:eastAsia="en-US"/>
    </w:rPr>
  </w:style>
  <w:style w:type="paragraph" w:styleId="ListBullet">
    <w:name w:val="List Bullet"/>
    <w:basedOn w:val="List"/>
    <w:rsid w:val="00932BB1"/>
    <w:pPr>
      <w:numPr>
        <w:numId w:val="13"/>
      </w:numPr>
      <w:tabs>
        <w:tab w:val="clear" w:pos="340"/>
      </w:tabs>
      <w:spacing w:before="40" w:after="40"/>
    </w:pPr>
  </w:style>
  <w:style w:type="character" w:customStyle="1" w:styleId="SpecialBold">
    <w:name w:val="Special Bold"/>
    <w:basedOn w:val="DefaultParagraphFont"/>
    <w:rsid w:val="00932BB1"/>
    <w:rPr>
      <w:b/>
      <w:spacing w:val="0"/>
    </w:rPr>
  </w:style>
  <w:style w:type="paragraph" w:styleId="ListBullet2">
    <w:name w:val="List Bullet 2"/>
    <w:basedOn w:val="List2"/>
    <w:rsid w:val="00932BB1"/>
    <w:pPr>
      <w:numPr>
        <w:numId w:val="14"/>
      </w:numPr>
      <w:tabs>
        <w:tab w:val="clear" w:pos="680"/>
      </w:tabs>
    </w:pPr>
  </w:style>
  <w:style w:type="character" w:styleId="Emphasis">
    <w:name w:val="Emphasis"/>
    <w:basedOn w:val="DefaultParagraphFont"/>
    <w:qFormat/>
    <w:rsid w:val="00932BB1"/>
    <w:rPr>
      <w:i/>
    </w:rPr>
  </w:style>
  <w:style w:type="paragraph" w:customStyle="1" w:styleId="SuperHeading">
    <w:name w:val="SuperHeading"/>
    <w:basedOn w:val="Normal"/>
    <w:rsid w:val="00932BB1"/>
    <w:pPr>
      <w:spacing w:before="240" w:after="120"/>
      <w:outlineLvl w:val="0"/>
    </w:pPr>
    <w:rPr>
      <w:rFonts w:ascii="Times New Roman" w:hAnsi="Times New Roman"/>
      <w:b/>
      <w:sz w:val="32"/>
    </w:rPr>
  </w:style>
  <w:style w:type="paragraph" w:customStyle="1" w:styleId="AllowPageBreak">
    <w:name w:val="AllowPageBreak"/>
    <w:rsid w:val="00932B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2B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2B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2B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2B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2B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2B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2B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2BB1"/>
    <w:rPr>
      <w:rFonts w:ascii="Courier New" w:eastAsia="Times New Roman" w:hAnsi="Courier New" w:cs="Times New Roman"/>
      <w:i/>
      <w:szCs w:val="20"/>
      <w:lang w:eastAsia="en-US"/>
    </w:rPr>
  </w:style>
  <w:style w:type="paragraph" w:customStyle="1" w:styleId="HeadingBase">
    <w:name w:val="Heading Base"/>
    <w:rsid w:val="00932B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2BB1"/>
    <w:pPr>
      <w:tabs>
        <w:tab w:val="right" w:leader="dot" w:pos="9072"/>
      </w:tabs>
      <w:ind w:left="567"/>
    </w:pPr>
    <w:rPr>
      <w:szCs w:val="22"/>
    </w:rPr>
  </w:style>
  <w:style w:type="paragraph" w:customStyle="1" w:styleId="TOCBase">
    <w:name w:val="TOC Base"/>
    <w:rsid w:val="00932B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2BB1"/>
    <w:pPr>
      <w:tabs>
        <w:tab w:val="right" w:leader="dot" w:pos="9072"/>
      </w:tabs>
      <w:spacing w:before="40" w:after="40"/>
      <w:ind w:left="284"/>
    </w:pPr>
    <w:rPr>
      <w:rFonts w:ascii="Times New Roman" w:hAnsi="Times New Roman"/>
    </w:rPr>
  </w:style>
  <w:style w:type="paragraph" w:styleId="TOC1">
    <w:name w:val="toc 1"/>
    <w:basedOn w:val="TOCBase"/>
    <w:next w:val="Normal"/>
    <w:rsid w:val="00932B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2B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2BB1"/>
    <w:rPr>
      <w:rFonts w:ascii="Times New Roman" w:eastAsia="Times New Roman" w:hAnsi="Times New Roman" w:cs="Times New Roman"/>
      <w:sz w:val="16"/>
      <w:lang w:eastAsia="en-US"/>
    </w:rPr>
  </w:style>
  <w:style w:type="paragraph" w:styleId="Title">
    <w:name w:val="Title"/>
    <w:basedOn w:val="HeadingBase"/>
    <w:link w:val="TitleChar"/>
    <w:qFormat/>
    <w:rsid w:val="00932BB1"/>
    <w:pPr>
      <w:spacing w:before="5040"/>
      <w:jc w:val="center"/>
    </w:pPr>
    <w:rPr>
      <w:sz w:val="48"/>
      <w:szCs w:val="72"/>
      <w:lang w:val="en-US"/>
    </w:rPr>
  </w:style>
  <w:style w:type="character" w:customStyle="1" w:styleId="TitleChar">
    <w:name w:val="Title Char"/>
    <w:basedOn w:val="DefaultParagraphFont"/>
    <w:link w:val="Title"/>
    <w:rsid w:val="00932B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2BB1"/>
    <w:pPr>
      <w:tabs>
        <w:tab w:val="left" w:pos="3600"/>
        <w:tab w:val="left" w:pos="3958"/>
      </w:tabs>
    </w:pPr>
  </w:style>
  <w:style w:type="paragraph" w:styleId="List">
    <w:name w:val="List"/>
    <w:basedOn w:val="BodyText"/>
    <w:next w:val="BodyText"/>
    <w:rsid w:val="00932BB1"/>
    <w:pPr>
      <w:tabs>
        <w:tab w:val="left" w:pos="340"/>
      </w:tabs>
      <w:spacing w:before="60" w:after="60"/>
      <w:ind w:left="340" w:hanging="340"/>
    </w:pPr>
  </w:style>
  <w:style w:type="paragraph" w:customStyle="1" w:styleId="Note">
    <w:name w:val="Note"/>
    <w:basedOn w:val="BodyText"/>
    <w:rsid w:val="00932B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2BB1"/>
    <w:pPr>
      <w:framePr w:wrap="auto" w:hAnchor="text" w:y="6049"/>
    </w:pPr>
    <w:rPr>
      <w:color w:val="000000"/>
      <w:sz w:val="40"/>
    </w:rPr>
  </w:style>
  <w:style w:type="paragraph" w:customStyle="1" w:styleId="TOCTitle">
    <w:name w:val="TOCTitle"/>
    <w:basedOn w:val="Heading1"/>
    <w:rsid w:val="00932BB1"/>
    <w:pPr>
      <w:spacing w:after="240"/>
      <w:jc w:val="center"/>
      <w:outlineLvl w:val="9"/>
    </w:pPr>
    <w:rPr>
      <w:caps/>
    </w:rPr>
  </w:style>
  <w:style w:type="paragraph" w:customStyle="1" w:styleId="Version">
    <w:name w:val="Version"/>
    <w:rsid w:val="00932B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2BB1"/>
    <w:pPr>
      <w:keepNext w:val="0"/>
      <w:tabs>
        <w:tab w:val="right" w:pos="4176"/>
      </w:tabs>
      <w:ind w:left="198" w:hanging="198"/>
    </w:pPr>
    <w:rPr>
      <w:rFonts w:ascii="Garamond" w:hAnsi="Garamond"/>
    </w:rPr>
  </w:style>
  <w:style w:type="paragraph" w:styleId="IndexHeading">
    <w:name w:val="index heading"/>
    <w:basedOn w:val="Normal"/>
    <w:next w:val="Index1"/>
    <w:semiHidden/>
    <w:rsid w:val="00932BB1"/>
    <w:pPr>
      <w:spacing w:before="120" w:after="120"/>
    </w:pPr>
    <w:rPr>
      <w:rFonts w:ascii="Arial" w:hAnsi="Arial"/>
      <w:b/>
      <w:color w:val="918585"/>
      <w:sz w:val="24"/>
    </w:rPr>
  </w:style>
  <w:style w:type="paragraph" w:styleId="Header">
    <w:name w:val="header"/>
    <w:basedOn w:val="Normal"/>
    <w:link w:val="HeaderChar"/>
    <w:rsid w:val="00932B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2BB1"/>
    <w:rPr>
      <w:rFonts w:ascii="Times New Roman" w:eastAsia="Times New Roman" w:hAnsi="Times New Roman" w:cs="Times New Roman"/>
      <w:sz w:val="16"/>
      <w:szCs w:val="20"/>
      <w:lang w:val="en-GB" w:eastAsia="en-US"/>
    </w:rPr>
  </w:style>
  <w:style w:type="paragraph" w:customStyle="1" w:styleId="Chapter">
    <w:name w:val="Chapter"/>
    <w:basedOn w:val="Normal"/>
    <w:rsid w:val="00932BB1"/>
    <w:pPr>
      <w:spacing w:before="240"/>
    </w:pPr>
    <w:rPr>
      <w:rFonts w:ascii="Times New Roman" w:hAnsi="Times New Roman"/>
      <w:smallCaps/>
      <w:spacing w:val="80"/>
      <w:sz w:val="28"/>
    </w:rPr>
  </w:style>
  <w:style w:type="paragraph" w:customStyle="1" w:styleId="InChapter">
    <w:name w:val="InChapter"/>
    <w:basedOn w:val="Heading3"/>
    <w:rsid w:val="00932BB1"/>
    <w:pPr>
      <w:spacing w:after="240"/>
      <w:outlineLvl w:val="9"/>
    </w:pPr>
    <w:rPr>
      <w:noProof/>
    </w:rPr>
  </w:style>
  <w:style w:type="paragraph" w:styleId="Index2">
    <w:name w:val="index 2"/>
    <w:basedOn w:val="Normal"/>
    <w:next w:val="Normal"/>
    <w:semiHidden/>
    <w:rsid w:val="00932BB1"/>
    <w:pPr>
      <w:tabs>
        <w:tab w:val="right" w:pos="4176"/>
      </w:tabs>
      <w:ind w:left="568" w:hanging="284"/>
    </w:pPr>
    <w:rPr>
      <w:rFonts w:ascii="Garamond" w:hAnsi="Garamond"/>
    </w:rPr>
  </w:style>
  <w:style w:type="paragraph" w:customStyle="1" w:styleId="Byline">
    <w:name w:val="Byline"/>
    <w:rsid w:val="00932B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2BB1"/>
    <w:pPr>
      <w:tabs>
        <w:tab w:val="clear" w:pos="3600"/>
        <w:tab w:val="clear" w:pos="3958"/>
      </w:tabs>
      <w:jc w:val="right"/>
    </w:pPr>
  </w:style>
  <w:style w:type="paragraph" w:styleId="Caption">
    <w:name w:val="caption"/>
    <w:basedOn w:val="BodyText"/>
    <w:next w:val="Normal"/>
    <w:qFormat/>
    <w:rsid w:val="00932BB1"/>
    <w:pPr>
      <w:framePr w:w="2268" w:hSpace="181" w:vSpace="181" w:wrap="around" w:vAnchor="text" w:hAnchor="page" w:x="1135" w:y="285" w:anchorLock="1"/>
    </w:pPr>
    <w:rPr>
      <w:i/>
    </w:rPr>
  </w:style>
  <w:style w:type="paragraph" w:customStyle="1" w:styleId="MiniTOCTitle">
    <w:name w:val="MiniTOCTitle"/>
    <w:basedOn w:val="Heading4"/>
    <w:rsid w:val="00932BB1"/>
    <w:pPr>
      <w:spacing w:before="240"/>
      <w:outlineLvl w:val="9"/>
    </w:pPr>
    <w:rPr>
      <w:noProof/>
      <w:sz w:val="24"/>
    </w:rPr>
  </w:style>
  <w:style w:type="paragraph" w:customStyle="1" w:styleId="MiniTOCItem">
    <w:name w:val="MiniTOCItem"/>
    <w:basedOn w:val="ListBullet"/>
    <w:rsid w:val="00932BB1"/>
    <w:pPr>
      <w:numPr>
        <w:numId w:val="0"/>
      </w:numPr>
      <w:tabs>
        <w:tab w:val="right" w:leader="dot" w:pos="6521"/>
      </w:tabs>
      <w:spacing w:before="0" w:after="0"/>
    </w:pPr>
  </w:style>
  <w:style w:type="paragraph" w:customStyle="1" w:styleId="TOFTitle">
    <w:name w:val="TOFTitle"/>
    <w:basedOn w:val="TOCTitle"/>
    <w:rsid w:val="00932BB1"/>
  </w:style>
  <w:style w:type="paragraph" w:styleId="TableofFigures">
    <w:name w:val="table of figures"/>
    <w:basedOn w:val="Normal"/>
    <w:next w:val="Normal"/>
    <w:semiHidden/>
    <w:rsid w:val="00932BB1"/>
    <w:pPr>
      <w:tabs>
        <w:tab w:val="right" w:leader="dot" w:pos="9072"/>
      </w:tabs>
      <w:ind w:left="970" w:hanging="403"/>
    </w:pPr>
    <w:rPr>
      <w:rFonts w:ascii="Times New Roman" w:hAnsi="Times New Roman"/>
      <w:b/>
    </w:rPr>
  </w:style>
  <w:style w:type="paragraph" w:styleId="ListNumber">
    <w:name w:val="List Number"/>
    <w:basedOn w:val="List"/>
    <w:rsid w:val="00932BB1"/>
    <w:pPr>
      <w:numPr>
        <w:numId w:val="11"/>
      </w:numPr>
    </w:pPr>
  </w:style>
  <w:style w:type="character" w:customStyle="1" w:styleId="WingdingSymbols">
    <w:name w:val="Wingding Symbols"/>
    <w:rsid w:val="00932BB1"/>
    <w:rPr>
      <w:rFonts w:ascii="Wingdings" w:hAnsi="Wingdings"/>
    </w:rPr>
  </w:style>
  <w:style w:type="paragraph" w:customStyle="1" w:styleId="TableHeading">
    <w:name w:val="Table Heading"/>
    <w:basedOn w:val="HeadingBase"/>
    <w:rsid w:val="00932BB1"/>
    <w:pPr>
      <w:keepLines/>
      <w:pBdr>
        <w:bottom w:val="single" w:sz="6" w:space="1" w:color="918585"/>
      </w:pBdr>
      <w:spacing w:before="240"/>
    </w:pPr>
  </w:style>
  <w:style w:type="character" w:customStyle="1" w:styleId="HotSpot">
    <w:name w:val="HotSpot"/>
    <w:rsid w:val="00932BB1"/>
    <w:rPr>
      <w:color w:val="0033CC"/>
      <w:u w:val="none"/>
    </w:rPr>
  </w:style>
  <w:style w:type="paragraph" w:customStyle="1" w:styleId="BodyTextRight">
    <w:name w:val="Body Text Right"/>
    <w:basedOn w:val="BodyText"/>
    <w:rsid w:val="00932BB1"/>
    <w:pPr>
      <w:spacing w:before="0" w:after="0"/>
      <w:jc w:val="right"/>
    </w:pPr>
  </w:style>
  <w:style w:type="paragraph" w:styleId="Index3">
    <w:name w:val="index 3"/>
    <w:basedOn w:val="ListNumber2"/>
    <w:next w:val="Normal"/>
    <w:semiHidden/>
    <w:rsid w:val="00932BB1"/>
    <w:pPr>
      <w:numPr>
        <w:numId w:val="0"/>
      </w:numPr>
      <w:tabs>
        <w:tab w:val="right" w:leader="dot" w:pos="4176"/>
      </w:tabs>
    </w:pPr>
  </w:style>
  <w:style w:type="paragraph" w:styleId="ListNumber2">
    <w:name w:val="List Number 2"/>
    <w:basedOn w:val="List2"/>
    <w:rsid w:val="00932BB1"/>
    <w:pPr>
      <w:numPr>
        <w:numId w:val="10"/>
      </w:numPr>
      <w:tabs>
        <w:tab w:val="clear" w:pos="1060"/>
      </w:tabs>
    </w:pPr>
  </w:style>
  <w:style w:type="paragraph" w:customStyle="1" w:styleId="MarginNote">
    <w:name w:val="Margin Note"/>
    <w:basedOn w:val="BodyText"/>
    <w:rsid w:val="00932B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2B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2B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2BB1"/>
    <w:rPr>
      <w:sz w:val="32"/>
    </w:rPr>
  </w:style>
  <w:style w:type="paragraph" w:customStyle="1" w:styleId="HeadingProcedure">
    <w:name w:val="Heading Procedure"/>
    <w:basedOn w:val="HeadingBase"/>
    <w:next w:val="Normal"/>
    <w:rsid w:val="00932BB1"/>
    <w:pPr>
      <w:tabs>
        <w:tab w:val="left" w:pos="0"/>
      </w:tabs>
      <w:spacing w:before="120" w:after="60"/>
    </w:pPr>
    <w:rPr>
      <w:i/>
      <w:color w:val="918585"/>
      <w:sz w:val="22"/>
    </w:rPr>
  </w:style>
  <w:style w:type="paragraph" w:customStyle="1" w:styleId="TableBodyText">
    <w:name w:val="Table Body Text"/>
    <w:basedOn w:val="BodyText"/>
    <w:rsid w:val="00932BB1"/>
    <w:pPr>
      <w:spacing w:before="60" w:after="60"/>
    </w:pPr>
  </w:style>
  <w:style w:type="paragraph" w:styleId="ListContinue">
    <w:name w:val="List Continue"/>
    <w:basedOn w:val="List"/>
    <w:rsid w:val="00932BB1"/>
    <w:pPr>
      <w:ind w:firstLine="0"/>
    </w:pPr>
  </w:style>
  <w:style w:type="paragraph" w:customStyle="1" w:styleId="ListNote">
    <w:name w:val="List Note"/>
    <w:basedOn w:val="List"/>
    <w:rsid w:val="00932BB1"/>
    <w:pPr>
      <w:pBdr>
        <w:top w:val="single" w:sz="6" w:space="2" w:color="918585"/>
        <w:bottom w:val="single" w:sz="6" w:space="2" w:color="918585"/>
      </w:pBdr>
      <w:tabs>
        <w:tab w:val="left" w:pos="1021"/>
      </w:tabs>
      <w:ind w:firstLine="0"/>
    </w:pPr>
  </w:style>
  <w:style w:type="paragraph" w:customStyle="1" w:styleId="Warning">
    <w:name w:val="Warning"/>
    <w:basedOn w:val="BodyText"/>
    <w:rsid w:val="00932BB1"/>
    <w:pPr>
      <w:shd w:val="clear" w:color="auto" w:fill="D9D9D9"/>
      <w:tabs>
        <w:tab w:val="left" w:pos="992"/>
      </w:tabs>
      <w:ind w:left="119" w:right="119"/>
    </w:pPr>
    <w:rPr>
      <w:sz w:val="20"/>
    </w:rPr>
  </w:style>
  <w:style w:type="paragraph" w:customStyle="1" w:styleId="MarginIcons">
    <w:name w:val="Margin Icons"/>
    <w:basedOn w:val="BodyText"/>
    <w:rsid w:val="00932B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2BB1"/>
    <w:rPr>
      <w:rFonts w:ascii="Courier New" w:hAnsi="Courier New"/>
    </w:rPr>
  </w:style>
  <w:style w:type="paragraph" w:customStyle="1" w:styleId="NoteBullet">
    <w:name w:val="Note Bullet"/>
    <w:basedOn w:val="Note"/>
    <w:rsid w:val="00932BB1"/>
    <w:pPr>
      <w:tabs>
        <w:tab w:val="clear" w:pos="680"/>
      </w:tabs>
      <w:spacing w:before="60" w:after="60"/>
    </w:pPr>
  </w:style>
  <w:style w:type="paragraph" w:customStyle="1" w:styleId="SubHeading2">
    <w:name w:val="SubHeading2"/>
    <w:basedOn w:val="HeadingBase"/>
    <w:rsid w:val="00932BB1"/>
    <w:pPr>
      <w:spacing w:before="240" w:after="60"/>
    </w:pPr>
    <w:rPr>
      <w:sz w:val="20"/>
    </w:rPr>
  </w:style>
  <w:style w:type="paragraph" w:customStyle="1" w:styleId="SubHeading1">
    <w:name w:val="SubHeading1"/>
    <w:basedOn w:val="HeadingBase"/>
    <w:rsid w:val="00932BB1"/>
    <w:pPr>
      <w:spacing w:before="240" w:after="60"/>
    </w:pPr>
    <w:rPr>
      <w:color w:val="918585"/>
      <w:sz w:val="22"/>
    </w:rPr>
  </w:style>
  <w:style w:type="paragraph" w:customStyle="1" w:styleId="SideHeading">
    <w:name w:val="Side Heading"/>
    <w:basedOn w:val="HeadingBase"/>
    <w:rsid w:val="00932B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2BB1"/>
    <w:pPr>
      <w:numPr>
        <w:numId w:val="12"/>
      </w:numPr>
    </w:pPr>
  </w:style>
  <w:style w:type="paragraph" w:styleId="PlainText">
    <w:name w:val="Plain Text"/>
    <w:basedOn w:val="Normal"/>
    <w:link w:val="PlainTextChar"/>
    <w:rsid w:val="00932BB1"/>
    <w:rPr>
      <w:sz w:val="20"/>
    </w:rPr>
  </w:style>
  <w:style w:type="character" w:customStyle="1" w:styleId="PlainTextChar">
    <w:name w:val="Plain Text Char"/>
    <w:basedOn w:val="DefaultParagraphFont"/>
    <w:link w:val="PlainText"/>
    <w:rsid w:val="00932BB1"/>
    <w:rPr>
      <w:rFonts w:ascii="Courier New" w:eastAsia="Times New Roman" w:hAnsi="Courier New" w:cs="Times New Roman"/>
      <w:sz w:val="20"/>
      <w:szCs w:val="20"/>
      <w:lang w:eastAsia="en-US"/>
    </w:rPr>
  </w:style>
  <w:style w:type="character" w:customStyle="1" w:styleId="MenuOption">
    <w:name w:val="Menu Option"/>
    <w:basedOn w:val="DefaultParagraphFont"/>
    <w:rsid w:val="00932BB1"/>
    <w:rPr>
      <w:b/>
      <w:smallCaps/>
    </w:rPr>
  </w:style>
  <w:style w:type="paragraph" w:customStyle="1" w:styleId="TableListNumber">
    <w:name w:val="Table List Number"/>
    <w:basedOn w:val="ListNumber"/>
    <w:rsid w:val="00932BB1"/>
    <w:pPr>
      <w:numPr>
        <w:numId w:val="0"/>
      </w:numPr>
    </w:pPr>
  </w:style>
  <w:style w:type="paragraph" w:styleId="TOC4">
    <w:name w:val="toc 4"/>
    <w:basedOn w:val="TOCBase"/>
    <w:next w:val="Normal"/>
    <w:semiHidden/>
    <w:rsid w:val="00932BB1"/>
    <w:pPr>
      <w:tabs>
        <w:tab w:val="right" w:leader="dot" w:pos="9071"/>
      </w:tabs>
      <w:ind w:left="1701"/>
    </w:pPr>
  </w:style>
  <w:style w:type="paragraph" w:customStyle="1" w:styleId="ListAlpha">
    <w:name w:val="List Alpha"/>
    <w:basedOn w:val="List"/>
    <w:rsid w:val="00932BB1"/>
    <w:pPr>
      <w:numPr>
        <w:numId w:val="9"/>
      </w:numPr>
    </w:pPr>
  </w:style>
  <w:style w:type="paragraph" w:customStyle="1" w:styleId="ListAlpha2">
    <w:name w:val="List Alpha 2"/>
    <w:basedOn w:val="List2"/>
    <w:rsid w:val="00932BB1"/>
    <w:pPr>
      <w:numPr>
        <w:numId w:val="8"/>
      </w:numPr>
    </w:pPr>
  </w:style>
  <w:style w:type="paragraph" w:styleId="List2">
    <w:name w:val="List 2"/>
    <w:basedOn w:val="BodyText"/>
    <w:rsid w:val="00932BB1"/>
    <w:pPr>
      <w:tabs>
        <w:tab w:val="left" w:pos="680"/>
      </w:tabs>
      <w:spacing w:before="60" w:after="60"/>
      <w:ind w:left="680" w:hanging="340"/>
    </w:pPr>
  </w:style>
  <w:style w:type="paragraph" w:styleId="List3">
    <w:name w:val="List 3"/>
    <w:basedOn w:val="BodyText"/>
    <w:rsid w:val="00932BB1"/>
    <w:pPr>
      <w:tabs>
        <w:tab w:val="left" w:pos="1021"/>
      </w:tabs>
      <w:spacing w:before="60" w:after="60"/>
      <w:ind w:left="1020" w:hanging="340"/>
    </w:pPr>
  </w:style>
  <w:style w:type="paragraph" w:styleId="List4">
    <w:name w:val="List 4"/>
    <w:basedOn w:val="BodyText"/>
    <w:rsid w:val="00932BB1"/>
    <w:pPr>
      <w:tabs>
        <w:tab w:val="left" w:pos="1361"/>
      </w:tabs>
      <w:spacing w:before="60" w:after="60"/>
      <w:ind w:left="1361" w:hanging="340"/>
    </w:pPr>
  </w:style>
  <w:style w:type="paragraph" w:styleId="List5">
    <w:name w:val="List 5"/>
    <w:basedOn w:val="BodyText"/>
    <w:rsid w:val="00932BB1"/>
    <w:pPr>
      <w:tabs>
        <w:tab w:val="left" w:pos="1701"/>
      </w:tabs>
      <w:spacing w:before="60" w:after="60"/>
      <w:ind w:left="1701" w:hanging="340"/>
    </w:pPr>
  </w:style>
  <w:style w:type="paragraph" w:styleId="ListBullet3">
    <w:name w:val="List Bullet 3"/>
    <w:basedOn w:val="List3"/>
    <w:rsid w:val="00932BB1"/>
    <w:pPr>
      <w:numPr>
        <w:numId w:val="15"/>
      </w:numPr>
      <w:tabs>
        <w:tab w:val="clear" w:pos="1021"/>
      </w:tabs>
      <w:ind w:left="1037" w:hanging="357"/>
    </w:pPr>
  </w:style>
  <w:style w:type="paragraph" w:styleId="ListBullet4">
    <w:name w:val="List Bullet 4"/>
    <w:basedOn w:val="List4"/>
    <w:rsid w:val="00932BB1"/>
    <w:pPr>
      <w:numPr>
        <w:numId w:val="3"/>
      </w:numPr>
    </w:pPr>
  </w:style>
  <w:style w:type="paragraph" w:styleId="ListBullet5">
    <w:name w:val="List Bullet 5"/>
    <w:basedOn w:val="List5"/>
    <w:rsid w:val="00932BB1"/>
    <w:pPr>
      <w:numPr>
        <w:numId w:val="4"/>
      </w:numPr>
    </w:pPr>
  </w:style>
  <w:style w:type="paragraph" w:styleId="ListContinue2">
    <w:name w:val="List Continue 2"/>
    <w:basedOn w:val="List2"/>
    <w:rsid w:val="00932BB1"/>
    <w:pPr>
      <w:ind w:firstLine="0"/>
    </w:pPr>
  </w:style>
  <w:style w:type="paragraph" w:styleId="ListContinue3">
    <w:name w:val="List Continue 3"/>
    <w:basedOn w:val="List3"/>
    <w:rsid w:val="00932BB1"/>
    <w:pPr>
      <w:ind w:left="1021" w:firstLine="0"/>
    </w:pPr>
  </w:style>
  <w:style w:type="paragraph" w:styleId="ListContinue4">
    <w:name w:val="List Continue 4"/>
    <w:basedOn w:val="List4"/>
    <w:rsid w:val="00932BB1"/>
    <w:pPr>
      <w:ind w:firstLine="0"/>
    </w:pPr>
  </w:style>
  <w:style w:type="paragraph" w:styleId="ListContinue5">
    <w:name w:val="List Continue 5"/>
    <w:basedOn w:val="List5"/>
    <w:rsid w:val="00932BB1"/>
    <w:pPr>
      <w:ind w:firstLine="0"/>
    </w:pPr>
  </w:style>
  <w:style w:type="paragraph" w:styleId="ListNumber3">
    <w:name w:val="List Number 3"/>
    <w:basedOn w:val="List3"/>
    <w:rsid w:val="00932BB1"/>
    <w:pPr>
      <w:numPr>
        <w:numId w:val="5"/>
      </w:numPr>
    </w:pPr>
  </w:style>
  <w:style w:type="paragraph" w:styleId="ListNumber4">
    <w:name w:val="List Number 4"/>
    <w:basedOn w:val="List4"/>
    <w:rsid w:val="00932BB1"/>
    <w:pPr>
      <w:numPr>
        <w:numId w:val="6"/>
      </w:numPr>
    </w:pPr>
  </w:style>
  <w:style w:type="paragraph" w:styleId="ListNumber5">
    <w:name w:val="List Number 5"/>
    <w:basedOn w:val="List5"/>
    <w:rsid w:val="00932BB1"/>
    <w:pPr>
      <w:numPr>
        <w:numId w:val="7"/>
      </w:numPr>
    </w:pPr>
  </w:style>
  <w:style w:type="paragraph" w:styleId="BlockText">
    <w:name w:val="Block Text"/>
    <w:basedOn w:val="Normal"/>
    <w:rsid w:val="00932BB1"/>
    <w:pPr>
      <w:spacing w:after="120"/>
      <w:ind w:left="1440" w:right="1440"/>
    </w:pPr>
  </w:style>
  <w:style w:type="character" w:customStyle="1" w:styleId="Subscript">
    <w:name w:val="Subscript"/>
    <w:basedOn w:val="DefaultParagraphFont"/>
    <w:rsid w:val="00932BB1"/>
    <w:rPr>
      <w:sz w:val="16"/>
      <w:vertAlign w:val="subscript"/>
    </w:rPr>
  </w:style>
  <w:style w:type="character" w:customStyle="1" w:styleId="Superscript">
    <w:name w:val="Superscript"/>
    <w:basedOn w:val="DefaultParagraphFont"/>
    <w:rsid w:val="00932BB1"/>
    <w:rPr>
      <w:sz w:val="16"/>
      <w:vertAlign w:val="superscript"/>
    </w:rPr>
  </w:style>
  <w:style w:type="character" w:customStyle="1" w:styleId="Symbols">
    <w:name w:val="Symbols"/>
    <w:basedOn w:val="DefaultParagraphFont"/>
    <w:rsid w:val="00932BB1"/>
    <w:rPr>
      <w:rFonts w:ascii="Symbol" w:hAnsi="Symbol"/>
    </w:rPr>
  </w:style>
  <w:style w:type="character" w:customStyle="1" w:styleId="MenuOptions">
    <w:name w:val="Menu Options"/>
    <w:basedOn w:val="DefaultParagraphFont"/>
    <w:rsid w:val="00932BB1"/>
    <w:rPr>
      <w:rFonts w:ascii="Arial Narrow" w:hAnsi="Arial Narrow"/>
      <w:smallCaps/>
    </w:rPr>
  </w:style>
  <w:style w:type="character" w:customStyle="1" w:styleId="Buttons">
    <w:name w:val="Buttons"/>
    <w:basedOn w:val="DefaultParagraphFont"/>
    <w:rsid w:val="00932BB1"/>
    <w:rPr>
      <w:b/>
    </w:rPr>
  </w:style>
  <w:style w:type="character" w:customStyle="1" w:styleId="Underlined">
    <w:name w:val="Underlined"/>
    <w:basedOn w:val="DefaultParagraphFont"/>
    <w:rsid w:val="00932BB1"/>
    <w:rPr>
      <w:u w:val="single"/>
    </w:rPr>
  </w:style>
  <w:style w:type="paragraph" w:customStyle="1" w:styleId="TableBodyTextRight">
    <w:name w:val="Table Body Text Right"/>
    <w:basedOn w:val="TableBodyText"/>
    <w:rsid w:val="00932BB1"/>
    <w:pPr>
      <w:widowControl w:val="0"/>
      <w:autoSpaceDE w:val="0"/>
      <w:autoSpaceDN w:val="0"/>
      <w:adjustRightInd w:val="0"/>
      <w:jc w:val="right"/>
    </w:pPr>
    <w:rPr>
      <w:rFonts w:cs="Arial"/>
      <w:szCs w:val="18"/>
    </w:rPr>
  </w:style>
  <w:style w:type="paragraph" w:customStyle="1" w:styleId="CopyrightText">
    <w:name w:val="Copyright Text"/>
    <w:basedOn w:val="BodyText"/>
    <w:rsid w:val="00932BB1"/>
    <w:rPr>
      <w:sz w:val="18"/>
    </w:rPr>
  </w:style>
  <w:style w:type="paragraph" w:customStyle="1" w:styleId="BodySmallRight">
    <w:name w:val="Body Small Right"/>
    <w:basedOn w:val="BodyTextRight"/>
    <w:rsid w:val="00932BB1"/>
    <w:rPr>
      <w:sz w:val="18"/>
      <w:szCs w:val="18"/>
    </w:rPr>
  </w:style>
  <w:style w:type="paragraph" w:customStyle="1" w:styleId="MarginEdition">
    <w:name w:val="Margin Edition"/>
    <w:basedOn w:val="MarginNote"/>
    <w:rsid w:val="00932BB1"/>
    <w:pPr>
      <w:spacing w:before="0" w:after="0"/>
    </w:pPr>
    <w:rPr>
      <w:rFonts w:ascii="Times New Roman" w:hAnsi="Times New Roman"/>
      <w:color w:val="999999"/>
    </w:rPr>
  </w:style>
  <w:style w:type="paragraph" w:customStyle="1" w:styleId="Spacer">
    <w:name w:val="Spacer"/>
    <w:basedOn w:val="Normal"/>
    <w:rsid w:val="00932BB1"/>
    <w:rPr>
      <w:sz w:val="2"/>
      <w:szCs w:val="2"/>
    </w:rPr>
  </w:style>
  <w:style w:type="character" w:customStyle="1" w:styleId="Small">
    <w:name w:val="Small"/>
    <w:basedOn w:val="DefaultParagraphFont"/>
    <w:rsid w:val="00932BB1"/>
    <w:rPr>
      <w:sz w:val="16"/>
    </w:rPr>
  </w:style>
  <w:style w:type="paragraph" w:customStyle="1" w:styleId="WideTable">
    <w:name w:val="Wide Table"/>
    <w:basedOn w:val="Normal"/>
    <w:rsid w:val="00932BB1"/>
    <w:pPr>
      <w:ind w:left="-1418"/>
    </w:pPr>
    <w:rPr>
      <w:sz w:val="2"/>
      <w:szCs w:val="2"/>
    </w:rPr>
  </w:style>
  <w:style w:type="character" w:styleId="PageNumber">
    <w:name w:val="page number"/>
    <w:basedOn w:val="DefaultParagraphFont"/>
    <w:rsid w:val="00932BB1"/>
  </w:style>
  <w:style w:type="paragraph" w:styleId="Quote">
    <w:name w:val="Quote"/>
    <w:basedOn w:val="Heading1"/>
    <w:link w:val="QuoteChar"/>
    <w:qFormat/>
    <w:rsid w:val="00932BB1"/>
    <w:rPr>
      <w:b w:val="0"/>
      <w:sz w:val="72"/>
      <w:szCs w:val="72"/>
      <w:lang w:val="en-NZ"/>
    </w:rPr>
  </w:style>
  <w:style w:type="character" w:customStyle="1" w:styleId="QuoteChar">
    <w:name w:val="Quote Char"/>
    <w:basedOn w:val="DefaultParagraphFont"/>
    <w:link w:val="Quote"/>
    <w:rsid w:val="00932B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2BB1"/>
    <w:pPr>
      <w:pageBreakBefore/>
    </w:pPr>
  </w:style>
  <w:style w:type="paragraph" w:customStyle="1" w:styleId="Border">
    <w:name w:val="Border"/>
    <w:basedOn w:val="Normal"/>
    <w:qFormat/>
    <w:rsid w:val="00932B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2BB1"/>
    <w:rPr>
      <w:b/>
      <w:bCs/>
      <w:i/>
      <w:iCs/>
      <w:color w:val="auto"/>
    </w:rPr>
  </w:style>
  <w:style w:type="paragraph" w:styleId="IntenseQuote">
    <w:name w:val="Intense Quote"/>
    <w:basedOn w:val="Normal"/>
    <w:next w:val="Normal"/>
    <w:link w:val="IntenseQuoteChar"/>
    <w:uiPriority w:val="30"/>
    <w:qFormat/>
    <w:rsid w:val="00932B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2B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2BB1"/>
    <w:rPr>
      <w:smallCaps/>
      <w:color w:val="auto"/>
      <w:u w:val="single"/>
    </w:rPr>
  </w:style>
  <w:style w:type="character" w:styleId="IntenseReference">
    <w:name w:val="Intense Reference"/>
    <w:basedOn w:val="DefaultParagraphFont"/>
    <w:uiPriority w:val="32"/>
    <w:qFormat/>
    <w:rsid w:val="00932BB1"/>
    <w:rPr>
      <w:b/>
      <w:bCs/>
      <w:smallCaps/>
      <w:color w:val="auto"/>
      <w:spacing w:val="5"/>
      <w:u w:val="single"/>
    </w:rPr>
  </w:style>
  <w:style w:type="paragraph" w:customStyle="1" w:styleId="2ColumnHeading">
    <w:name w:val="2Column Heading"/>
    <w:basedOn w:val="BodyText"/>
    <w:qFormat/>
    <w:rsid w:val="00932BB1"/>
    <w:pPr>
      <w:spacing w:after="60"/>
      <w:ind w:left="-2268"/>
    </w:pPr>
    <w:rPr>
      <w:b/>
    </w:rPr>
  </w:style>
  <w:style w:type="paragraph" w:customStyle="1" w:styleId="Heading1TOC">
    <w:name w:val="Heading1 TOC"/>
    <w:basedOn w:val="Normal"/>
    <w:qFormat/>
    <w:rsid w:val="00932BB1"/>
    <w:pPr>
      <w:spacing w:before="240" w:after="120"/>
    </w:pPr>
    <w:rPr>
      <w:rFonts w:ascii="Times New Roman" w:hAnsi="Times New Roman"/>
      <w:b/>
      <w:sz w:val="32"/>
    </w:rPr>
  </w:style>
  <w:style w:type="paragraph" w:customStyle="1" w:styleId="Heading2TOC">
    <w:name w:val="Heading2 TOC"/>
    <w:basedOn w:val="Normal"/>
    <w:qFormat/>
    <w:rsid w:val="00932BB1"/>
    <w:pPr>
      <w:spacing w:before="240" w:after="60"/>
    </w:pPr>
    <w:rPr>
      <w:rFonts w:ascii="Times New Roman" w:hAnsi="Times New Roman"/>
      <w:b/>
      <w:sz w:val="28"/>
    </w:rPr>
  </w:style>
  <w:style w:type="character" w:customStyle="1" w:styleId="Underline">
    <w:name w:val="Underline"/>
    <w:basedOn w:val="DefaultParagraphFont"/>
    <w:qFormat/>
    <w:rsid w:val="00932BB1"/>
    <w:rPr>
      <w:u w:val="single"/>
    </w:rPr>
  </w:style>
  <w:style w:type="character" w:customStyle="1" w:styleId="BoldandItalics">
    <w:name w:val="Bold and Italics"/>
    <w:qFormat/>
    <w:rsid w:val="00932BB1"/>
    <w:rPr>
      <w:b/>
      <w:i/>
      <w:u w:val="none"/>
    </w:rPr>
  </w:style>
  <w:style w:type="paragraph" w:styleId="BalloonText">
    <w:name w:val="Balloon Text"/>
    <w:basedOn w:val="Normal"/>
    <w:link w:val="BalloonTextChar"/>
    <w:rsid w:val="00932BB1"/>
    <w:rPr>
      <w:rFonts w:ascii="Tahoma" w:hAnsi="Tahoma" w:cs="Tahoma"/>
      <w:sz w:val="16"/>
      <w:szCs w:val="16"/>
    </w:rPr>
  </w:style>
  <w:style w:type="character" w:customStyle="1" w:styleId="BalloonTextChar">
    <w:name w:val="Balloon Text Char"/>
    <w:basedOn w:val="DefaultParagraphFont"/>
    <w:link w:val="BalloonText"/>
    <w:rsid w:val="00932B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2B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2B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2BB1"/>
    <w:rPr>
      <w:b/>
      <w:color w:val="660033"/>
      <w:spacing w:val="0"/>
    </w:rPr>
  </w:style>
  <w:style w:type="paragraph" w:customStyle="1" w:styleId="Nameditemlist">
    <w:name w:val="Named item list"/>
    <w:basedOn w:val="BodyText"/>
    <w:qFormat/>
    <w:rsid w:val="00932BB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2376</Words>
  <Characters>14500</Characters>
  <Application>Microsoft Office Word</Application>
  <DocSecurity>0</DocSecurity>
  <Lines>601</Lines>
  <Paragraphs>213</Paragraphs>
  <ScaleCrop>false</ScaleCrop>
  <Company>Author-it Software Corporation Ltd.</Company>
  <LinksUpToDate>false</LinksUpToDate>
  <CharactersWithSpaces>16725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UEGNSG705A Disconnect and reconnect small capacity gas meters</dc:title>
  <dc:subject>Approved</dc:subject>
  <dc:creator>E-Oz Training Standards</dc:creator>
  <cp:keywords>Release 1</cp:keywords>
  <dc:description>Review Date: 12 April 2008</dc:description>
  <cp:lastModifiedBy>TPCMS</cp:lastModifiedBy>
  <cp:revision>3</cp:revision>
  <dcterms:created xsi:type="dcterms:W3CDTF">2014-03-13T15:19:29Z</dcterms:created>
  <dcterms:modified xsi:type="dcterms:W3CDTF">2014-03-13T03:49:00Z</dcterms:modified>
</cp:coreProperties>
</file>