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A06" w:rsidP="007A4A06">
      <w:pPr>
        <w:pStyle w:val="Title"/>
      </w:pPr>
      <w:r>
        <w:fldChar w:fldCharType="begin"/>
      </w:r>
      <w:r>
        <w:instrText xml:space="preserve"> TITLE   \* MERGEFORMAT </w:instrText>
      </w:r>
      <w:r>
        <w:fldChar w:fldCharType="separate"/>
      </w:r>
      <w:r>
        <w:t>UEGNSG704A Conduct an appliance relight</w:t>
      </w:r>
      <w:r>
        <w:fldChar w:fldCharType="end"/>
      </w:r>
    </w:p>
    <w:p w:rsidR="007A4A06" w:rsidP="007A4A06">
      <w:pPr>
        <w:pStyle w:val="Version"/>
        <w:sectPr w:rsidSect="00874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592" w:rsidP="00874592">
      <w:pPr>
        <w:pStyle w:val="SuperHeading"/>
      </w:pPr>
      <w:r w:rsidRPr="00874592">
        <w:t>UEGNSG704A Conduct an appliance relight</w:t>
      </w:r>
    </w:p>
    <w:p w:rsidR="00000000" w:rsidRPr="00874592" w:rsidP="00874592">
      <w:pPr>
        <w:pStyle w:val="Heading1"/>
      </w:pPr>
      <w:bookmarkStart w:id="1" w:name="O_402706"/>
      <w:bookmarkEnd w:id="1"/>
      <w:r w:rsidRPr="00874592">
        <w:t>Modification History</w:t>
      </w:r>
    </w:p>
    <w:p w:rsidR="00000000" w:rsidRPr="00874592" w:rsidP="00874592">
      <w:pPr>
        <w:pStyle w:val="BodyText"/>
      </w:pPr>
      <w:r w:rsidRPr="00874592">
        <w:t>Not applicable.</w:t>
      </w:r>
    </w:p>
    <w:p w:rsidR="00000000" w:rsidRPr="00874592" w:rsidP="00874592">
      <w:pPr>
        <w:pStyle w:val="AllowPageBreak"/>
      </w:pPr>
    </w:p>
    <w:p w:rsidR="00000000" w:rsidRPr="00874592" w:rsidP="00874592">
      <w:pPr>
        <w:pStyle w:val="Heading1"/>
      </w:pPr>
      <w:bookmarkStart w:id="2" w:name="O_402704"/>
      <w:bookmarkEnd w:id="2"/>
      <w:r w:rsidRPr="00874592">
        <w:t>Unit Descriptor</w:t>
      </w:r>
    </w:p>
    <w:tbl>
      <w:tblPr>
        <w:tblW w:w="0" w:type="auto"/>
        <w:tblLayout w:type="fixed"/>
        <w:tblCellMar>
          <w:left w:w="62" w:type="dxa"/>
          <w:right w:w="62" w:type="dxa"/>
        </w:tblCellMar>
        <w:tblLook w:val="0000"/>
      </w:tblPr>
      <w:tblGrid>
        <w:gridCol w:w="2700"/>
        <w:gridCol w:w="5760"/>
      </w:tblGrid>
      <w:tr w:rsidTr="007A4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1) Scope:</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459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1.1) Descriptor</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This unit covers the undertaking of a domestic appliance relight by a designated gas industry person following manufacturers lighting instructions and company standard operating procedures. The competency standard unit includes the use of hand tools to dis</w:t>
            </w:r>
            <w:r w:rsidRPr="00874592">
              <w:t>connect and reconnect meters, following occupational health and safety requirements and completing records and appropriate documentation.</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3" w:name="O_402693"/>
      <w:bookmarkEnd w:id="3"/>
      <w:r w:rsidRPr="00874592">
        <w:t>Application of the Unit</w:t>
      </w:r>
    </w:p>
    <w:tbl>
      <w:tblPr>
        <w:tblW w:w="0" w:type="auto"/>
        <w:tblLayout w:type="fixed"/>
        <w:tblCellMar>
          <w:left w:w="62" w:type="dxa"/>
          <w:right w:w="62" w:type="dxa"/>
        </w:tblCellMar>
        <w:tblLook w:val="0000"/>
      </w:tblPr>
      <w:tblGrid>
        <w:gridCol w:w="2672"/>
        <w:gridCol w:w="5699"/>
      </w:tblGrid>
      <w:tr w:rsidTr="007A4A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2)</w:t>
            </w:r>
          </w:p>
        </w:tc>
      </w:tr>
      <w:tr w:rsidTr="007A4A0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This competency standard shall apply to any basic and safe work site where Gas Industry operations occur. It could also apply, where applicable to other workplaces in the electricity supply industry (transmission and distribution and generation), the elect</w:t>
            </w:r>
            <w:r w:rsidRPr="00874592">
              <w:t>rotechnology industry and the water industry, subject to all Occupational Health and Safety and duty of care requirements being met for the workplace.</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4" w:name="O_402700"/>
      <w:bookmarkEnd w:id="4"/>
      <w:r w:rsidRPr="00874592">
        <w:t>Licensing/Regulatory Information</w:t>
      </w:r>
    </w:p>
    <w:tbl>
      <w:tblPr>
        <w:tblW w:w="0" w:type="auto"/>
        <w:tblLayout w:type="fixed"/>
        <w:tblCellMar>
          <w:left w:w="62" w:type="dxa"/>
          <w:right w:w="62" w:type="dxa"/>
        </w:tblCellMar>
        <w:tblLook w:val="0000"/>
      </w:tblPr>
      <w:tblGrid>
        <w:gridCol w:w="2700"/>
        <w:gridCol w:w="5760"/>
      </w:tblGrid>
      <w:tr w:rsidTr="007A4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 xml:space="preserve">3) </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 xml:space="preserve">The skills and knowledge described in this unit are not subject to licence regulation other than those directly related to Occupational Health and Safety, </w:t>
            </w:r>
            <w:r w:rsidRPr="00874592">
              <w:t>gas/electricity/water industry safety and compliance, industrial relations, environmental protection,</w:t>
            </w:r>
            <w:r w:rsidRPr="00874592">
              <w:t xml:space="preserve"> telecommunications, anti discrimination and training. Commonwealth, State/Territory or Local Government legislation and regulations may exist that limit the age at which a person can operate certain equipment.</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5" w:name="O_402701"/>
      <w:bookmarkEnd w:id="5"/>
      <w:r w:rsidRPr="00874592">
        <w:t>Pre-Requisites</w:t>
      </w:r>
    </w:p>
    <w:tbl>
      <w:tblPr>
        <w:tblW w:w="0" w:type="auto"/>
        <w:tblLayout w:type="fixed"/>
        <w:tblCellMar>
          <w:left w:w="62" w:type="dxa"/>
          <w:right w:w="62" w:type="dxa"/>
        </w:tblCellMar>
        <w:tblLook w:val="0000"/>
      </w:tblPr>
      <w:tblGrid>
        <w:gridCol w:w="2700"/>
        <w:gridCol w:w="1800"/>
        <w:gridCol w:w="3960"/>
      </w:tblGrid>
      <w:tr w:rsidTr="007A4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 xml:space="preserve">4) </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4.1)</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Granting of competency in this unit shall be made only after competency in the following unit(s) has/have been confirmed:</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UEGNSG701B</w:t>
            </w:r>
          </w:p>
        </w:tc>
        <w:tc>
          <w:tcPr>
            <w:tcW w:w="39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Process meter reading information using appropriate technology</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UEGNSG702B</w:t>
            </w:r>
          </w:p>
        </w:tc>
        <w:tc>
          <w:tcPr>
            <w:tcW w:w="39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Read and record meter readings</w:t>
            </w:r>
          </w:p>
        </w:tc>
      </w:tr>
    </w:tbl>
    <w:p w:rsidR="00000000" w:rsidRPr="00874592" w:rsidP="0087459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 xml:space="preserve">4.2) </w:t>
            </w:r>
          </w:p>
          <w:p w:rsidR="00000000" w:rsidP="00874592">
            <w:pPr>
              <w:pStyle w:val="BodyText"/>
              <w:rPr>
                <w:lang w:val="en-NZ"/>
              </w:rPr>
            </w:pPr>
            <w:r w:rsidRPr="00874592">
              <w:t>Participants are best equipped to achieve this unit if they have reading, writing and numeracy skills indicated by the following scales. Description of each scale is given in Vo</w:t>
            </w:r>
            <w:r w:rsidRPr="00874592">
              <w:t>lume 2, Part 3 'Literacy and Numeracy'</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Reading</w:t>
            </w:r>
          </w:p>
        </w:tc>
        <w:tc>
          <w:tcPr>
            <w:tcW w:w="81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w:t>
            </w:r>
          </w:p>
        </w:tc>
        <w:tc>
          <w:tcPr>
            <w:tcW w:w="9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Writing</w:t>
            </w: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w:t>
            </w:r>
          </w:p>
        </w:tc>
        <w:tc>
          <w:tcPr>
            <w:tcW w:w="12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Numeracy</w:t>
            </w:r>
          </w:p>
        </w:tc>
        <w:tc>
          <w:tcPr>
            <w:tcW w:w="72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3</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6" w:name="O_402697"/>
      <w:bookmarkEnd w:id="6"/>
      <w:r w:rsidRPr="00874592">
        <w:t>Employability Skills Information</w:t>
      </w:r>
    </w:p>
    <w:tbl>
      <w:tblPr>
        <w:tblW w:w="0" w:type="auto"/>
        <w:tblLayout w:type="fixed"/>
        <w:tblCellMar>
          <w:left w:w="62" w:type="dxa"/>
          <w:right w:w="62" w:type="dxa"/>
        </w:tblCellMar>
        <w:tblLook w:val="0000"/>
      </w:tblPr>
      <w:tblGrid>
        <w:gridCol w:w="2700"/>
        <w:gridCol w:w="5760"/>
      </w:tblGrid>
      <w:tr w:rsidTr="007A4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 xml:space="preserve">5) </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74592">
              <w:t>requirements.</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7" w:name="O_402696"/>
      <w:bookmarkEnd w:id="7"/>
      <w:r w:rsidRPr="00874592">
        <w:t>Elements and Performance Criteria Pre-Content</w:t>
      </w:r>
    </w:p>
    <w:tbl>
      <w:tblPr>
        <w:tblW w:w="0" w:type="auto"/>
        <w:tblLayout w:type="fixed"/>
        <w:tblCellMar>
          <w:left w:w="62" w:type="dxa"/>
          <w:right w:w="62" w:type="dxa"/>
        </w:tblCellMar>
        <w:tblLook w:val="0000"/>
      </w:tblPr>
      <w:tblGrid>
        <w:gridCol w:w="2700"/>
        <w:gridCol w:w="5760"/>
      </w:tblGrid>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6)</w:t>
            </w:r>
            <w:r w:rsidRPr="0087459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Performance Criteria describe the required performance needed to demonstrate achievement of the element</w:t>
            </w:r>
            <w:r w:rsidRPr="00874592">
              <w:t>. Assessment of performance is to be consistent with the Evidence Guide.</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8" w:name="O_402695"/>
      <w:bookmarkEnd w:id="8"/>
      <w:r w:rsidRPr="0087459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A4A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PERFORMANCE CRITERIA</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w:t>
            </w:r>
          </w:p>
        </w:tc>
        <w:tc>
          <w:tcPr>
            <w:tcW w:w="2296" w:type="dxa"/>
            <w:vMerge w:val="restart"/>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Prepare to conduct an appliance relight</w:t>
            </w: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1.1</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Instructions for the preparation of the appliance relight are received and confirmed to ensure clear understanding</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1.2</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OHS, environmental and sustainable energy policies and procedures are received and confirmed to ensure they are understood as to be applied in the carrying out of the work</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1.3</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Equipment, tools and personal protective equipment needed to conduct an appli</w:t>
            </w:r>
            <w:r w:rsidRPr="00874592">
              <w:t>ance relight are identified, scheduled and checked to ensure they work correctly as intended and are safe to use in accordance with established procedures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1.4</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Appropriate persons are consulted to ensure the appliance relight is coordinated effectively w</w:t>
            </w:r>
            <w:r w:rsidRPr="00874592">
              <w:t>ith others involved</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1.5</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Resources and materials needed to conduct an appliance relight are confirmed, scheduled and obtained in accordance with established procedures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1.6</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Schedule of work including practices for working safely are confirmed in accord</w:t>
            </w:r>
            <w:r w:rsidRPr="00874592">
              <w:t>ance with established procedures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w:t>
            </w:r>
          </w:p>
        </w:tc>
        <w:tc>
          <w:tcPr>
            <w:tcW w:w="2296" w:type="dxa"/>
            <w:vMerge w:val="restart"/>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Carry out an appliance relight</w:t>
            </w: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2.1</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OHS policies and procedures and safe work practices required for conducting an appliance relight are followed to eliminate or minimise incidents and hazards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2.2</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Schedule of work is followed to ensure work is completed in an agreed time, to a quality standard and with a minimum of waste</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2.3</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Operational knowledge for utilising correct and safe use of basic equipment and tools to perform an appliance relight is co</w:t>
            </w:r>
            <w:r w:rsidRPr="00874592">
              <w:t>nfirmed to ensure completion in an agreed time and to a quality standard with a minimum of waste according to requirements and established procedures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2.4</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Appliance relight is undertaken following manufacturer’s instructions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2.5</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Further instructions are sought from appropriate persons for unplanned events or conditions occurring</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2.6</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Ongoing checks of quality of the work are undertaken in accordance with instructions and requirements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w:t>
            </w:r>
          </w:p>
        </w:tc>
        <w:tc>
          <w:tcPr>
            <w:tcW w:w="2296" w:type="dxa"/>
            <w:vMerge w:val="restart"/>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Complete the appliance relight</w:t>
            </w: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3.1</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Final c</w:t>
            </w:r>
            <w:r w:rsidRPr="00874592">
              <w:t>hecks including visual observation is performed to ensure the quality of the work complies with established procedures and to appliance manufacturers instructions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3.2</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Appropriate persons are notified of completion of the work</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3.3</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Equipment and tools and any surplus resources and materials are, where appropriate, cleaned, checked and returned to storage in accordance with established procedures</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3.4</w:t>
            </w:r>
          </w:p>
        </w:tc>
        <w:tc>
          <w:tcPr>
            <w:tcW w:w="48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Work area is cleaned up and made safe and sustainable energy practices are followe</w:t>
            </w:r>
            <w:r w:rsidRPr="00874592">
              <w:t>d</w:t>
            </w:r>
          </w:p>
        </w:tc>
      </w:tr>
      <w:tr w:rsidTr="007A4A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3.5</w:t>
            </w:r>
          </w:p>
        </w:tc>
        <w:tc>
          <w:tcPr>
            <w:tcW w:w="48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Appropriate records and documentation are updated in accordance with instructions and established procedures</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9" w:name="O_402703"/>
      <w:bookmarkEnd w:id="9"/>
      <w:r w:rsidRPr="00874592">
        <w:t>Required Skills and Knowledge</w:t>
      </w:r>
    </w:p>
    <w:tbl>
      <w:tblPr>
        <w:tblW w:w="0" w:type="auto"/>
        <w:tblLayout w:type="fixed"/>
        <w:tblCellMar>
          <w:left w:w="62" w:type="dxa"/>
          <w:right w:w="62" w:type="dxa"/>
        </w:tblCellMar>
        <w:tblLook w:val="0000"/>
      </w:tblPr>
      <w:tblGrid>
        <w:gridCol w:w="8460"/>
      </w:tblGrid>
      <w:tr w:rsidTr="007A4A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REQUIRED SKILLS AND KNOWLEDGE</w:t>
            </w:r>
          </w:p>
        </w:tc>
      </w:tr>
      <w:tr w:rsidTr="007A4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8)</w:t>
            </w:r>
            <w:r w:rsidRPr="00874592">
              <w:t xml:space="preserve"> This describes the essent</w:t>
            </w:r>
            <w:r w:rsidRPr="00874592">
              <w:t>ial skills and knowledge and their level, required for this unit.</w:t>
            </w:r>
          </w:p>
        </w:tc>
      </w:tr>
      <w:tr w:rsidTr="007A4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Evidence shall show that knowledge has been acquired of safe working practices for carrying out work in a gas industry environment.</w:t>
            </w:r>
          </w:p>
        </w:tc>
      </w:tr>
      <w:tr w:rsidTr="007A4A06">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All knowledge and skills detailed in this unit should be contextualised to current industry practices and technologies.</w:t>
            </w:r>
          </w:p>
        </w:tc>
      </w:tr>
    </w:tbl>
    <w:p w:rsidR="00000000" w:rsidRPr="00874592" w:rsidP="00874592">
      <w:pPr>
        <w:pStyle w:val="BodyText"/>
      </w:pPr>
    </w:p>
    <w:tbl>
      <w:tblPr>
        <w:tblW w:w="0" w:type="auto"/>
        <w:tblLayout w:type="fixed"/>
        <w:tblCellMar>
          <w:left w:w="62" w:type="dxa"/>
          <w:right w:w="62" w:type="dxa"/>
        </w:tblCellMar>
        <w:tblLook w:val="0000"/>
      </w:tblPr>
      <w:tblGrid>
        <w:gridCol w:w="1440"/>
        <w:gridCol w:w="990"/>
        <w:gridCol w:w="6030"/>
      </w:tblGrid>
      <w:tr w:rsidTr="007A4A06">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KS01-G704A</w:t>
            </w:r>
          </w:p>
        </w:tc>
        <w:tc>
          <w:tcPr>
            <w:tcW w:w="702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Appliance relight</w:t>
            </w:r>
          </w:p>
        </w:tc>
      </w:tr>
      <w:tr w:rsidTr="007A4A06">
        <w:tblPrEx>
          <w:tblW w:w="0" w:type="auto"/>
          <w:tblLayout w:type="fixed"/>
          <w:tblCellMar>
            <w:left w:w="62" w:type="dxa"/>
            <w:right w:w="62" w:type="dxa"/>
          </w:tblCellMar>
          <w:tblLook w:val="0000"/>
        </w:tblPrEx>
        <w:trPr>
          <w:trHeight w:val="318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 xml:space="preserve">G 2.2.43 </w:t>
            </w:r>
          </w:p>
        </w:tc>
        <w:tc>
          <w:tcPr>
            <w:tcW w:w="603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Appliance relighting within enterprise guidelines</w:t>
            </w:r>
          </w:p>
          <w:p w:rsidR="00000000" w:rsidRPr="00874592" w:rsidP="00874592">
            <w:pPr>
              <w:pStyle w:val="BodyText"/>
            </w:pPr>
            <w:r w:rsidRPr="00874592">
              <w:t>Evidence shall show an understanding of Appliance relighting indicated by the following:</w:t>
            </w:r>
          </w:p>
          <w:p w:rsidR="00000000" w:rsidRPr="00874592" w:rsidP="00874592">
            <w:pPr>
              <w:pStyle w:val="ListBullet"/>
            </w:pPr>
            <w:r w:rsidRPr="00874592">
              <w:t>Customer liaison skills</w:t>
            </w:r>
          </w:p>
          <w:p w:rsidR="00000000" w:rsidRPr="00874592" w:rsidP="00874592">
            <w:pPr>
              <w:pStyle w:val="ListBullet"/>
            </w:pPr>
            <w:r w:rsidRPr="00874592">
              <w:t>Identify environmental and safety hazards, assess risks and implement control measures</w:t>
            </w:r>
          </w:p>
          <w:p w:rsidR="00000000" w:rsidRPr="00874592" w:rsidP="00874592">
            <w:pPr>
              <w:pStyle w:val="ListBullet"/>
            </w:pPr>
            <w:r w:rsidRPr="00874592">
              <w:t>Safety requirements for entering domestic and commercia</w:t>
            </w:r>
            <w:r w:rsidRPr="00874592">
              <w:t>l customer sites</w:t>
            </w:r>
          </w:p>
          <w:p w:rsidR="00000000" w:rsidRPr="00874592" w:rsidP="00874592">
            <w:pPr>
              <w:pStyle w:val="ListBullet"/>
            </w:pPr>
            <w:r w:rsidRPr="00874592">
              <w:t>Procedures for purging service lines</w:t>
            </w:r>
          </w:p>
          <w:p w:rsidR="00000000" w:rsidRPr="00874592" w:rsidP="00874592">
            <w:pPr>
              <w:pStyle w:val="ListBullet"/>
            </w:pPr>
            <w:r w:rsidRPr="00874592">
              <w:t>Procedures for conducting appliance relights</w:t>
            </w:r>
          </w:p>
        </w:tc>
      </w:tr>
    </w:tbl>
    <w:p w:rsidR="007A4A06" w:rsidP="00874592">
      <w:pPr>
        <w:pStyle w:val="BodyText"/>
      </w:pPr>
    </w:p>
    <w:p w:rsidR="007A4A06" w:rsidP="00874592">
      <w:pPr>
        <w:pStyle w:val="BodyText"/>
      </w:pPr>
    </w:p>
    <w:p w:rsidR="00000000" w:rsidRPr="00874592" w:rsidP="00874592">
      <w:pPr>
        <w:pStyle w:val="Heading1"/>
      </w:pPr>
      <w:bookmarkStart w:id="10" w:name="O_402698"/>
      <w:bookmarkEnd w:id="10"/>
      <w:r w:rsidRPr="00874592">
        <w:t>Evidence Guide</w:t>
      </w:r>
    </w:p>
    <w:tbl>
      <w:tblPr>
        <w:tblW w:w="0" w:type="auto"/>
        <w:tblLayout w:type="fixed"/>
        <w:tblCellMar>
          <w:left w:w="62" w:type="dxa"/>
          <w:right w:w="62" w:type="dxa"/>
        </w:tblCellMar>
        <w:tblLook w:val="0000"/>
      </w:tblPr>
      <w:tblGrid>
        <w:gridCol w:w="8460"/>
      </w:tblGrid>
      <w:tr w:rsidTr="007A4A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EVIDENCE GUIDE</w:t>
            </w:r>
          </w:p>
        </w:tc>
      </w:tr>
      <w:tr w:rsidTr="007A4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9)</w:t>
            </w:r>
            <w:r w:rsidRPr="00874592">
              <w:t xml:space="preserve"> The Evidence Guide forms an integral part of this Unit and shall be used in conjunction with </w:t>
            </w:r>
            <w:r w:rsidRPr="00874592">
              <w:t>all components parts of this unit and performed in accordance with the Assessment Guidelines of this Training Package.</w:t>
            </w:r>
          </w:p>
        </w:tc>
      </w:tr>
    </w:tbl>
    <w:p w:rsidR="00000000" w:rsidRPr="00874592" w:rsidP="00874592">
      <w:pPr>
        <w:pStyle w:val="BodyText"/>
      </w:pPr>
    </w:p>
    <w:tbl>
      <w:tblPr>
        <w:tblW w:w="0" w:type="auto"/>
        <w:tblLayout w:type="fixed"/>
        <w:tblCellMar>
          <w:left w:w="62" w:type="dxa"/>
          <w:right w:w="62" w:type="dxa"/>
        </w:tblCellMar>
        <w:tblLook w:val="0000"/>
      </w:tblPr>
      <w:tblGrid>
        <w:gridCol w:w="1890"/>
        <w:gridCol w:w="6570"/>
      </w:tblGrid>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9.1)</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Longitudinal competency development approaches to assessment, such as Profiling, require data to be reliably gathered in a form that can be consistently interpreted over time. This approach is best utilised in Apprenticeship programs and reduces assessment</w:t>
            </w:r>
            <w:r w:rsidRPr="0087459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74592">
              <w:t>tency in a realistically simulated work environment. It is recognised that, in some circumstances, assessment in part or full can occur outside the workplace. However, it must be in accord with industry and regulatory policy in this regard.</w:t>
            </w:r>
          </w:p>
          <w:p w:rsidR="00000000" w:rsidRPr="00874592" w:rsidP="00874592">
            <w:pPr>
              <w:pStyle w:val="BodyText"/>
            </w:pPr>
            <w:r w:rsidRPr="00874592">
              <w:t xml:space="preserve">Methods chosen </w:t>
            </w:r>
            <w:r w:rsidRPr="00874592">
              <w:t>for a particular assessment will be influenced by various factors. These include the extent of the assessment, the most effective locations for the assessment activities to take place, access to physical resources, additional safety measures that may be re</w:t>
            </w:r>
            <w:r w:rsidRPr="00874592">
              <w:t>quired and the critical nature of the competencies being assessed.</w:t>
            </w:r>
          </w:p>
          <w:p w:rsidR="00000000" w:rsidRPr="00874592" w:rsidP="00874592">
            <w:pPr>
              <w:pStyle w:val="BodyText"/>
            </w:pPr>
            <w:r w:rsidRPr="00874592">
              <w:t>The critical safety nature of working with electricity, electrical equipment, gas or any other hazardous substance/material carries risk in deeming a person competent. Hence, sources of evi</w:t>
            </w:r>
            <w:r w:rsidRPr="00874592">
              <w:t>dence need to be ‘rich’ in nature so as to minimise error in judgment.</w:t>
            </w:r>
          </w:p>
          <w:p w:rsidR="00000000" w:rsidRPr="00874592" w:rsidP="00874592">
            <w:pPr>
              <w:pStyle w:val="BodyText"/>
            </w:pPr>
            <w:r w:rsidRPr="00874592">
              <w:t>Activities associated with normal every day work have a bearing on the decision as to how much and how detailed the data gathered will contribute to its ‘richness’. Some skills are more</w:t>
            </w:r>
            <w:r w:rsidRPr="00874592">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874592">
              <w:t>nt instruments are included in the Assessment Guidelines of this Training Package.</w:t>
            </w:r>
          </w:p>
        </w:tc>
      </w:tr>
    </w:tbl>
    <w:p w:rsidR="00000000" w:rsidRPr="00874592" w:rsidP="00874592">
      <w:pPr>
        <w:pStyle w:val="BodyText"/>
      </w:pPr>
    </w:p>
    <w:tbl>
      <w:tblPr>
        <w:tblW w:w="0" w:type="auto"/>
        <w:tblLayout w:type="fixed"/>
        <w:tblCellMar>
          <w:left w:w="62" w:type="dxa"/>
          <w:right w:w="62" w:type="dxa"/>
        </w:tblCellMar>
        <w:tblLook w:val="0000"/>
      </w:tblPr>
      <w:tblGrid>
        <w:gridCol w:w="1890"/>
        <w:gridCol w:w="6570"/>
      </w:tblGrid>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9.2)</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Before the critical aspects of evidence are considered all prerequisites shall be met.</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
              <w:rPr>
                <w:lang w:val="en-NZ"/>
              </w:rPr>
            </w:pPr>
            <w:r w:rsidRPr="00874592">
              <w:t>A representative body of Performance Criteria demonstrated within the timeframes typically expected of the discipline, work function and industrial environment. In particular this shall incorporate evidence that shows a candidate is able to:</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2"/>
              <w:rPr>
                <w:lang w:val="en-NZ"/>
              </w:rPr>
            </w:pPr>
            <w:r w:rsidRPr="00874592">
              <w:t>Implement Occupational Health and Safety workplace procedures and practices including the use of risk control measures as specified in the Performance Criteria and range</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2"/>
              <w:rPr>
                <w:lang w:val="en-NZ"/>
              </w:rPr>
            </w:pPr>
            <w:r w:rsidRPr="00874592">
              <w:t>Apply sustainable energy principles and practices as specified in the Performance C</w:t>
            </w:r>
            <w:r w:rsidRPr="00874592">
              <w:t>riteria and range</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2"/>
              <w:rPr>
                <w:lang w:val="en-NZ"/>
              </w:rPr>
            </w:pPr>
            <w:r w:rsidRPr="00874592">
              <w:t>Demonstrate an understanding of the essential knowledge and associated skills as described in this unit to such an extent that the learner’</w:t>
            </w:r>
            <w:r w:rsidRPr="00874592">
              <w:t>s performance outcome is reported in accordance with the preferred approach; namely a percentile graded result, where required by the regulated environment</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2"/>
              <w:rPr>
                <w:lang w:val="en-NZ"/>
              </w:rPr>
            </w:pPr>
            <w:r w:rsidRPr="00874592">
              <w:t>Demonstrate an appropriate level of skills enabling employment</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2"/>
              <w:rPr>
                <w:lang w:val="en-NZ"/>
              </w:rPr>
            </w:pPr>
            <w:r w:rsidRPr="00874592">
              <w:t>Conduct work observing the rele</w:t>
            </w:r>
            <w:r w:rsidRPr="00874592">
              <w:t>vant Anti discrimination legislation, regulations, polices and workplace procedures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74592" w:rsidP="00874592">
            <w:pPr>
              <w:pStyle w:val="ListBullet"/>
            </w:pPr>
            <w:r w:rsidRPr="00874592">
              <w:t>Conduct work observing the relevant Anti discrimination legislation, regulations, polices and workplace procedures</w:t>
            </w:r>
          </w:p>
        </w:tc>
      </w:tr>
    </w:tbl>
    <w:p w:rsidR="00000000" w:rsidRPr="00874592" w:rsidP="00874592">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A4A06">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74592">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592">
            <w:pPr>
              <w:pStyle w:val="BodyText"/>
              <w:rPr>
                <w:lang w:val="en-NZ"/>
              </w:rPr>
            </w:pPr>
            <w:r w:rsidRPr="00874592">
              <w:rPr>
                <w:rStyle w:val="SpecialBold"/>
              </w:rPr>
              <w:t>Range of tools/equipment/procedures/workplace</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7459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592" w:rsidP="00874592">
            <w:pPr>
              <w:pStyle w:val="BodyText"/>
            </w:pPr>
            <w:r w:rsidRPr="00874592">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592" w:rsidP="00874592">
            <w:pPr>
              <w:pStyle w:val="BodyText"/>
            </w:pPr>
            <w:r w:rsidRPr="00874592">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592">
            <w:pPr>
              <w:pStyle w:val="BodyText"/>
              <w:rPr>
                <w:lang w:val="en-NZ"/>
              </w:rPr>
            </w:pPr>
            <w:r w:rsidRPr="00874592">
              <w:rPr>
                <w:rStyle w:val="SpecialBold"/>
              </w:rPr>
              <w:t>Item List</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592">
            <w:pPr>
              <w:pStyle w:val="BodyText"/>
              <w:rPr>
                <w:lang w:val="en-NZ"/>
              </w:rPr>
            </w:pPr>
            <w:r w:rsidRPr="00874592">
              <w:t>A</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592">
            <w:pPr>
              <w:pStyle w:val="BodyText"/>
              <w:rPr>
                <w:lang w:val="en-NZ"/>
              </w:rPr>
            </w:pPr>
            <w:r w:rsidRPr="00874592">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592" w:rsidP="00874592">
            <w:pPr>
              <w:pStyle w:val="BodyText"/>
            </w:pPr>
            <w:r w:rsidRPr="00874592">
              <w:t>Work utilising relevant OHS legislation, regulations, codes of practice, policies and procedures</w:t>
            </w:r>
          </w:p>
          <w:p w:rsidR="00000000" w:rsidRPr="00874592" w:rsidP="00874592">
            <w:pPr>
              <w:pStyle w:val="BodyText"/>
            </w:pPr>
            <w:r w:rsidRPr="00874592">
              <w:t>Communicate effectively with appropriate personnel and customers</w:t>
            </w:r>
          </w:p>
          <w:p w:rsidR="00000000" w:rsidRPr="00874592" w:rsidP="00874592">
            <w:pPr>
              <w:pStyle w:val="BodyText"/>
            </w:pPr>
            <w:r w:rsidRPr="00874592">
              <w:t>Accurately complete records and documentation</w:t>
            </w:r>
          </w:p>
          <w:p w:rsidR="00000000" w:rsidRPr="00874592" w:rsidP="00874592">
            <w:pPr>
              <w:pStyle w:val="BodyText"/>
            </w:pPr>
            <w:r w:rsidRPr="00874592">
              <w:t>Follow work schedules including meeting appointments</w:t>
            </w:r>
          </w:p>
          <w:p w:rsidR="00000000" w:rsidRPr="00874592" w:rsidP="00874592">
            <w:pPr>
              <w:pStyle w:val="BodyText"/>
            </w:pPr>
            <w:r w:rsidRPr="00874592">
              <w:t>Effectively use tools and equipment to conduct an appliance relight</w:t>
            </w:r>
          </w:p>
          <w:p w:rsidR="00000000" w:rsidP="00874592">
            <w:pPr>
              <w:pStyle w:val="BodyText"/>
              <w:rPr>
                <w:lang w:val="en-NZ"/>
              </w:rPr>
            </w:pPr>
            <w:r w:rsidRPr="00874592">
              <w:t>Advise stakeholders of potentially dangerous or illegal situations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592">
            <w:pPr>
              <w:pStyle w:val="BodyText"/>
              <w:rPr>
                <w:lang w:val="en-NZ"/>
              </w:rPr>
            </w:pPr>
            <w:r w:rsidRPr="00874592">
              <w:t>B</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592">
            <w:pPr>
              <w:pStyle w:val="BodyText"/>
              <w:rPr>
                <w:lang w:val="en-NZ"/>
              </w:rPr>
            </w:pPr>
            <w:r w:rsidRPr="00874592">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592" w:rsidP="00874592">
            <w:pPr>
              <w:pStyle w:val="BodyText"/>
            </w:pPr>
            <w:r w:rsidRPr="00874592">
              <w:t xml:space="preserve">Deal with an </w:t>
            </w:r>
            <w:r w:rsidRPr="00874592">
              <w:t>unplanned event by drawing on essential knowledge and associated skills to provide appropriate solutions incorporated in the holistic assessment with the above listed items</w:t>
            </w:r>
          </w:p>
        </w:tc>
      </w:tr>
    </w:tbl>
    <w:p w:rsidR="00000000" w:rsidRPr="00874592" w:rsidP="00874592">
      <w:pPr>
        <w:pStyle w:val="BodyText"/>
      </w:pPr>
    </w:p>
    <w:tbl>
      <w:tblPr>
        <w:tblW w:w="0" w:type="auto"/>
        <w:tblLayout w:type="fixed"/>
        <w:tblCellMar>
          <w:left w:w="62" w:type="dxa"/>
          <w:right w:w="62" w:type="dxa"/>
        </w:tblCellMar>
        <w:tblLook w:val="0000"/>
      </w:tblPr>
      <w:tblGrid>
        <w:gridCol w:w="1890"/>
        <w:gridCol w:w="6570"/>
      </w:tblGrid>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9.3)</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This unit should be assessed as it relates to normal work practice using procedures, information and resources typical of a workplace. This should include:</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
              <w:rPr>
                <w:lang w:val="en-NZ"/>
              </w:rPr>
            </w:pPr>
            <w:r w:rsidRPr="00874592">
              <w:t>OHS policy and work procedures and instructions.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
              <w:rPr>
                <w:lang w:val="en-NZ"/>
              </w:rPr>
            </w:pPr>
            <w:r w:rsidRPr="00874592">
              <w:t>Suitable work environment, facilities, equipm</w:t>
            </w:r>
            <w:r w:rsidRPr="00874592">
              <w:t>ent and materials to undertake actual work as prescribed by this Unit.</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
              <w:rPr>
                <w:lang w:val="en-NZ"/>
              </w:rPr>
            </w:pPr>
            <w:r w:rsidRPr="00874592">
              <w:t>Appropriate environmental regulation and work practices.</w:t>
            </w:r>
          </w:p>
        </w:tc>
      </w:tr>
      <w:tr w:rsidTr="007A4A0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
              <w:rPr>
                <w:lang w:val="en-NZ"/>
              </w:rPr>
            </w:pPr>
            <w:r w:rsidRPr="00874592">
              <w:t>Appropriate organisational requirements.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ListBullet"/>
              <w:rPr>
                <w:lang w:val="en-NZ"/>
              </w:rPr>
            </w:pPr>
            <w:r w:rsidRPr="00874592">
              <w:t>Appropriate work environment, equipment and tools.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In addition to the resources listed above, in Context of and specific resources for assessment, evidence should show demonstrated competency in conducting appliance relights.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Assessment of this competency must also be undertaken in either an actual workp</w:t>
            </w:r>
            <w:r w:rsidRPr="00874592">
              <w:t>lace or under a simulated work environment. Assessment must also integrate the key competencies.</w:t>
            </w:r>
          </w:p>
        </w:tc>
      </w:tr>
    </w:tbl>
    <w:p w:rsidR="00000000" w:rsidRPr="00874592" w:rsidP="00874592">
      <w:pPr>
        <w:pStyle w:val="BodyText"/>
      </w:pPr>
    </w:p>
    <w:tbl>
      <w:tblPr>
        <w:tblW w:w="0" w:type="auto"/>
        <w:tblLayout w:type="fixed"/>
        <w:tblCellMar>
          <w:left w:w="62" w:type="dxa"/>
          <w:right w:w="62" w:type="dxa"/>
        </w:tblCellMar>
        <w:tblLook w:val="0000"/>
      </w:tblPr>
      <w:tblGrid>
        <w:gridCol w:w="1890"/>
        <w:gridCol w:w="6570"/>
      </w:tblGrid>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9.4)</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This Unit shall be assessed by methods given in Volume 1 Part 3 ‘Assessment Guidelines’.</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874592">
              <w:t>intended for learning/assessment and incorporates all necessary equipment and facilities for learners to develop and demonstrate the Essential Knowledge and Associated Skills described in this unit.</w:t>
            </w:r>
          </w:p>
        </w:tc>
      </w:tr>
    </w:tbl>
    <w:p w:rsidR="00000000" w:rsidRPr="00874592" w:rsidP="00874592">
      <w:pPr>
        <w:pStyle w:val="BodyText"/>
      </w:pPr>
    </w:p>
    <w:tbl>
      <w:tblPr>
        <w:tblW w:w="0" w:type="auto"/>
        <w:tblLayout w:type="fixed"/>
        <w:tblCellMar>
          <w:left w:w="62" w:type="dxa"/>
          <w:right w:w="62" w:type="dxa"/>
        </w:tblCellMar>
        <w:tblLook w:val="0000"/>
      </w:tblPr>
      <w:tblGrid>
        <w:gridCol w:w="1890"/>
        <w:gridCol w:w="1620"/>
        <w:gridCol w:w="4950"/>
      </w:tblGrid>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9.5)</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There are no recommended concurrent assessments with this unit, however in some cases efficiencies may be gained in terms of learning and assessment effort being concurrently managed with allied Units where listed.</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UEGNSG701B</w:t>
            </w:r>
          </w:p>
        </w:tc>
        <w:tc>
          <w:tcPr>
            <w:tcW w:w="495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Process meter reading information using appropriate technology</w:t>
            </w:r>
          </w:p>
        </w:tc>
      </w:tr>
      <w:tr w:rsidTr="007A4A0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t>UEGNSG702B</w:t>
            </w:r>
          </w:p>
        </w:tc>
        <w:tc>
          <w:tcPr>
            <w:tcW w:w="495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Read and record meter readings</w:t>
            </w:r>
          </w:p>
        </w:tc>
      </w:tr>
    </w:tbl>
    <w:p w:rsidR="007A4A06" w:rsidP="00874592">
      <w:pPr>
        <w:pStyle w:val="BodyText"/>
      </w:pPr>
    </w:p>
    <w:p w:rsidR="007A4A06" w:rsidP="00874592">
      <w:pPr>
        <w:pStyle w:val="BodyText"/>
      </w:pPr>
    </w:p>
    <w:p w:rsidR="00000000" w:rsidRPr="00874592" w:rsidP="00874592">
      <w:pPr>
        <w:pStyle w:val="Heading1"/>
      </w:pPr>
      <w:bookmarkStart w:id="11" w:name="O_402702"/>
      <w:bookmarkEnd w:id="11"/>
      <w:r w:rsidRPr="00874592">
        <w:t>Range Statement</w:t>
      </w:r>
    </w:p>
    <w:tbl>
      <w:tblPr>
        <w:tblW w:w="0" w:type="auto"/>
        <w:tblLayout w:type="fixed"/>
        <w:tblCellMar>
          <w:left w:w="62" w:type="dxa"/>
          <w:right w:w="62" w:type="dxa"/>
        </w:tblCellMar>
        <w:tblLook w:val="0000"/>
      </w:tblPr>
      <w:tblGrid>
        <w:gridCol w:w="8460"/>
      </w:tblGrid>
      <w:tr w:rsidTr="007A4A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RANGE STATEMENT</w:t>
            </w:r>
          </w:p>
        </w:tc>
      </w:tr>
      <w:tr w:rsidTr="007A4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10)</w:t>
            </w:r>
            <w:r w:rsidRPr="00874592">
              <w:t xml:space="preserve"> This relates to the competency standard unit as a whole providing the range of contexts and conditions to which the Performance Criteria apply. It allows for different work environments and situations that will affect performance.</w:t>
            </w:r>
          </w:p>
        </w:tc>
      </w:tr>
      <w:tr w:rsidTr="007A4A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 xml:space="preserve">This Unit shall/may be </w:t>
            </w:r>
            <w:r w:rsidRPr="00874592">
              <w:t>demonstrated in relation to carrying out work activities in a utilities industry work environment.</w:t>
            </w:r>
          </w:p>
          <w:p w:rsidR="00000000" w:rsidRPr="00874592" w:rsidP="00874592">
            <w:pPr>
              <w:pStyle w:val="BodyText"/>
            </w:pPr>
            <w:r w:rsidRPr="00874592">
              <w:t>The following constants and variables included in the element/Performance Criteria in this unit are fully described in the Definitions Section of this volume</w:t>
            </w:r>
            <w:r w:rsidRPr="00874592">
              <w:t xml:space="preserve"> and form an integral part of the Range Statement of this unit:</w:t>
            </w:r>
          </w:p>
          <w:p w:rsidR="00000000" w:rsidRPr="00874592" w:rsidP="00874592">
            <w:pPr>
              <w:pStyle w:val="BodyText"/>
            </w:pPr>
            <w:r w:rsidRPr="00874592">
              <w:t>Appropriate persons (2)</w:t>
            </w:r>
          </w:p>
          <w:p w:rsidR="00000000" w:rsidRPr="00874592" w:rsidP="00874592">
            <w:pPr>
              <w:pStyle w:val="BodyText"/>
            </w:pPr>
            <w:r w:rsidRPr="00874592">
              <w:t xml:space="preserve">Hand tools to disconnect and reconnect meters </w:t>
            </w:r>
          </w:p>
          <w:p w:rsidR="00000000" w:rsidRPr="00874592" w:rsidP="00874592">
            <w:pPr>
              <w:pStyle w:val="BodyText"/>
            </w:pPr>
            <w:r w:rsidRPr="00874592">
              <w:t>Includes footprints, spanners, neon tester, bonding leads, soap tester, safety matches</w:t>
            </w:r>
          </w:p>
          <w:p w:rsidR="00000000" w:rsidRPr="00874592" w:rsidP="00874592">
            <w:pPr>
              <w:pStyle w:val="BodyText"/>
            </w:pPr>
            <w:r w:rsidRPr="00874592">
              <w:t>Safe working procedures (2)</w:t>
            </w:r>
          </w:p>
          <w:p w:rsidR="00000000" w:rsidRPr="00874592" w:rsidP="00874592">
            <w:pPr>
              <w:pStyle w:val="BodyText"/>
            </w:pPr>
            <w:r w:rsidRPr="00874592">
              <w:t>Legisl</w:t>
            </w:r>
            <w:r w:rsidRPr="00874592">
              <w:t>ative requirements (2)</w:t>
            </w:r>
          </w:p>
          <w:p w:rsidR="00000000" w:rsidRPr="00874592" w:rsidP="00874592">
            <w:pPr>
              <w:pStyle w:val="BodyText"/>
            </w:pPr>
            <w:r w:rsidRPr="00874592">
              <w:t xml:space="preserve">Personal Protective Equipment </w:t>
            </w:r>
          </w:p>
        </w:tc>
      </w:tr>
    </w:tbl>
    <w:p w:rsidR="00000000" w:rsidRPr="00874592" w:rsidP="00874592">
      <w:pPr>
        <w:pStyle w:val="BodyText"/>
      </w:pPr>
    </w:p>
    <w:p w:rsidR="00000000" w:rsidRPr="00874592" w:rsidP="00874592">
      <w:pPr>
        <w:pStyle w:val="AllowPageBreak"/>
      </w:pPr>
    </w:p>
    <w:p w:rsidR="00000000" w:rsidRPr="00874592" w:rsidP="00874592">
      <w:pPr>
        <w:pStyle w:val="Heading1"/>
      </w:pPr>
      <w:bookmarkStart w:id="12" w:name="O_402705"/>
      <w:bookmarkEnd w:id="12"/>
      <w:r w:rsidRPr="00874592">
        <w:t>Unit Sector(s)</w:t>
      </w:r>
    </w:p>
    <w:p w:rsidR="00000000" w:rsidRPr="00874592" w:rsidP="00874592">
      <w:pPr>
        <w:pStyle w:val="BodyText"/>
      </w:pPr>
      <w:r w:rsidRPr="00874592">
        <w:t>Not applicable.</w:t>
      </w:r>
    </w:p>
    <w:p w:rsidR="00000000" w:rsidRPr="00874592" w:rsidP="00874592">
      <w:pPr>
        <w:pStyle w:val="AllowPageBreak"/>
      </w:pPr>
    </w:p>
    <w:p w:rsidR="00000000" w:rsidRPr="00874592" w:rsidP="00874592">
      <w:pPr>
        <w:pStyle w:val="Heading1"/>
      </w:pPr>
      <w:bookmarkStart w:id="13" w:name="O_402694"/>
      <w:bookmarkEnd w:id="13"/>
      <w:r w:rsidRPr="00874592">
        <w:t>Competency Field</w:t>
      </w:r>
    </w:p>
    <w:tbl>
      <w:tblPr>
        <w:tblW w:w="0" w:type="auto"/>
        <w:tblLayout w:type="fixed"/>
        <w:tblCellMar>
          <w:left w:w="62" w:type="dxa"/>
          <w:right w:w="62" w:type="dxa"/>
        </w:tblCellMar>
        <w:tblLook w:val="0000"/>
      </w:tblPr>
      <w:tblGrid>
        <w:gridCol w:w="2700"/>
        <w:gridCol w:w="5760"/>
      </w:tblGrid>
      <w:tr w:rsidTr="007A4A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74592">
            <w:pPr>
              <w:pStyle w:val="BodyText"/>
              <w:rPr>
                <w:lang w:val="en-NZ"/>
              </w:rPr>
            </w:pPr>
            <w:r w:rsidRPr="00874592">
              <w:rPr>
                <w:rStyle w:val="SpecialBold"/>
              </w:rPr>
              <w:t xml:space="preserve">11) </w:t>
            </w:r>
          </w:p>
        </w:tc>
      </w:tr>
      <w:tr w:rsidTr="007A4A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74592" w:rsidP="00874592">
            <w:pPr>
              <w:pStyle w:val="BodyText"/>
            </w:pPr>
            <w:r w:rsidRPr="00874592">
              <w:t>Support services</w:t>
            </w:r>
          </w:p>
        </w:tc>
      </w:tr>
    </w:tbl>
    <w:p w:rsidR="00000000" w:rsidRPr="00874592" w:rsidP="00874592">
      <w:pPr>
        <w:pStyle w:val="BodyText"/>
      </w:pPr>
    </w:p>
    <w:p w:rsidR="00000000" w:rsidRPr="00874592" w:rsidP="00874592"/>
    <w:sectPr w:rsidSect="00874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A06" w:rsidP="007A4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06" w:rsidP="00874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4A06" w:rsidP="008745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A4A06" w:rsidP="008745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A06" w:rsidP="007A4A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06" w:rsidP="00874592">
    <w:pPr>
      <w:pStyle w:val="Header"/>
      <w:framePr w:wrap="around"/>
    </w:pPr>
    <w:r>
      <w:fldChar w:fldCharType="begin"/>
    </w:r>
    <w:r>
      <w:instrText xml:space="preserve"> TITLE   \* MERGEFORMAT </w:instrText>
    </w:r>
    <w:r>
      <w:fldChar w:fldCharType="separate"/>
    </w:r>
    <w:r>
      <w:t>UEGNSG704A Conduct an appliance relight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4A06" w:rsidP="008745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8B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E9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AD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5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592"/>
    <w:pPr>
      <w:spacing w:before="360" w:after="60"/>
      <w:outlineLvl w:val="0"/>
    </w:pPr>
    <w:rPr>
      <w:sz w:val="32"/>
    </w:rPr>
  </w:style>
  <w:style w:type="paragraph" w:styleId="Heading2">
    <w:name w:val="heading 2"/>
    <w:basedOn w:val="HeadingBase"/>
    <w:next w:val="BodyText"/>
    <w:link w:val="Heading2Char"/>
    <w:qFormat/>
    <w:rsid w:val="00874592"/>
    <w:pPr>
      <w:keepLines/>
      <w:spacing w:before="240" w:after="120"/>
      <w:outlineLvl w:val="1"/>
    </w:pPr>
    <w:rPr>
      <w:sz w:val="28"/>
      <w:szCs w:val="40"/>
    </w:rPr>
  </w:style>
  <w:style w:type="paragraph" w:styleId="Heading3">
    <w:name w:val="heading 3"/>
    <w:basedOn w:val="HeadingBase"/>
    <w:next w:val="BodyText"/>
    <w:link w:val="Heading3Char"/>
    <w:qFormat/>
    <w:rsid w:val="00874592"/>
    <w:pPr>
      <w:spacing w:before="180" w:after="120"/>
      <w:outlineLvl w:val="2"/>
    </w:pPr>
    <w:rPr>
      <w:spacing w:val="-10"/>
      <w:kern w:val="32"/>
    </w:rPr>
  </w:style>
  <w:style w:type="paragraph" w:styleId="Heading4">
    <w:name w:val="heading 4"/>
    <w:basedOn w:val="HeadingBase"/>
    <w:next w:val="BodyText"/>
    <w:link w:val="Heading4Char"/>
    <w:qFormat/>
    <w:rsid w:val="00874592"/>
    <w:pPr>
      <w:spacing w:before="160" w:after="120"/>
      <w:outlineLvl w:val="3"/>
    </w:pPr>
    <w:rPr>
      <w:sz w:val="22"/>
    </w:rPr>
  </w:style>
  <w:style w:type="paragraph" w:styleId="Heading5">
    <w:name w:val="heading 5"/>
    <w:basedOn w:val="HeadingBase"/>
    <w:next w:val="Normal"/>
    <w:link w:val="Heading5Char"/>
    <w:qFormat/>
    <w:rsid w:val="00874592"/>
    <w:pPr>
      <w:spacing w:before="80"/>
      <w:outlineLvl w:val="4"/>
    </w:pPr>
    <w:rPr>
      <w:color w:val="918585"/>
      <w:sz w:val="20"/>
    </w:rPr>
  </w:style>
  <w:style w:type="paragraph" w:styleId="Heading6">
    <w:name w:val="heading 6"/>
    <w:basedOn w:val="HeadingBase"/>
    <w:next w:val="Normal"/>
    <w:link w:val="Heading6Char"/>
    <w:qFormat/>
    <w:rsid w:val="00874592"/>
    <w:pPr>
      <w:spacing w:before="60"/>
      <w:outlineLvl w:val="5"/>
    </w:pPr>
    <w:rPr>
      <w:color w:val="918585"/>
      <w:sz w:val="20"/>
    </w:rPr>
  </w:style>
  <w:style w:type="paragraph" w:styleId="Heading7">
    <w:name w:val="heading 7"/>
    <w:basedOn w:val="Normal"/>
    <w:next w:val="Normal"/>
    <w:link w:val="Heading7Char"/>
    <w:qFormat/>
    <w:rsid w:val="00874592"/>
    <w:pPr>
      <w:ind w:left="720"/>
      <w:outlineLvl w:val="6"/>
    </w:pPr>
    <w:rPr>
      <w:i/>
    </w:rPr>
  </w:style>
  <w:style w:type="paragraph" w:styleId="Heading8">
    <w:name w:val="heading 8"/>
    <w:basedOn w:val="Normal"/>
    <w:next w:val="Normal"/>
    <w:link w:val="Heading8Char"/>
    <w:qFormat/>
    <w:rsid w:val="00874592"/>
    <w:pPr>
      <w:ind w:left="720"/>
      <w:outlineLvl w:val="7"/>
    </w:pPr>
    <w:rPr>
      <w:i/>
    </w:rPr>
  </w:style>
  <w:style w:type="paragraph" w:styleId="Heading9">
    <w:name w:val="heading 9"/>
    <w:basedOn w:val="Normal"/>
    <w:next w:val="Normal"/>
    <w:link w:val="Heading9Char"/>
    <w:qFormat/>
    <w:rsid w:val="00874592"/>
    <w:pPr>
      <w:ind w:left="720"/>
      <w:outlineLvl w:val="8"/>
    </w:pPr>
    <w:rPr>
      <w:i/>
    </w:rPr>
  </w:style>
  <w:style w:type="character" w:default="1" w:styleId="DefaultParagraphFont">
    <w:name w:val="Default Paragraph Font"/>
    <w:uiPriority w:val="1"/>
    <w:unhideWhenUsed/>
    <w:rsid w:val="00874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592"/>
  </w:style>
  <w:style w:type="character" w:customStyle="1" w:styleId="Heading1Char">
    <w:name w:val="Heading 1 Char"/>
    <w:basedOn w:val="DefaultParagraphFont"/>
    <w:link w:val="Heading1"/>
    <w:rsid w:val="00874592"/>
    <w:rPr>
      <w:rFonts w:ascii="Times New Roman" w:eastAsia="Times New Roman" w:hAnsi="Times New Roman" w:cs="Times New Roman"/>
      <w:b/>
      <w:sz w:val="32"/>
      <w:szCs w:val="20"/>
      <w:lang w:eastAsia="en-US"/>
    </w:rPr>
  </w:style>
  <w:style w:type="paragraph" w:styleId="BodyText">
    <w:name w:val="Body Text"/>
    <w:basedOn w:val="Normal"/>
    <w:link w:val="BodyTextChar"/>
    <w:rsid w:val="00874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592"/>
    <w:rPr>
      <w:rFonts w:ascii="Times New Roman" w:eastAsia="Times New Roman" w:hAnsi="Times New Roman" w:cs="Times New Roman"/>
      <w:sz w:val="24"/>
      <w:lang w:val="en-US" w:eastAsia="en-US"/>
    </w:rPr>
  </w:style>
  <w:style w:type="paragraph" w:styleId="Footer">
    <w:name w:val="footer"/>
    <w:basedOn w:val="Normal"/>
    <w:link w:val="FooterChar"/>
    <w:rsid w:val="00874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592"/>
    <w:rPr>
      <w:rFonts w:ascii="Times New Roman" w:eastAsia="Times New Roman" w:hAnsi="Times New Roman" w:cs="Times New Roman"/>
      <w:sz w:val="16"/>
      <w:lang w:val="en-US" w:eastAsia="en-US"/>
    </w:rPr>
  </w:style>
  <w:style w:type="paragraph" w:styleId="ListBullet">
    <w:name w:val="List Bullet"/>
    <w:basedOn w:val="List"/>
    <w:rsid w:val="00874592"/>
    <w:pPr>
      <w:numPr>
        <w:numId w:val="13"/>
      </w:numPr>
      <w:tabs>
        <w:tab w:val="clear" w:pos="340"/>
      </w:tabs>
      <w:spacing w:before="40" w:after="40"/>
    </w:pPr>
  </w:style>
  <w:style w:type="character" w:customStyle="1" w:styleId="SpecialBold">
    <w:name w:val="Special Bold"/>
    <w:basedOn w:val="DefaultParagraphFont"/>
    <w:rsid w:val="00874592"/>
    <w:rPr>
      <w:b/>
      <w:spacing w:val="0"/>
    </w:rPr>
  </w:style>
  <w:style w:type="paragraph" w:styleId="ListBullet2">
    <w:name w:val="List Bullet 2"/>
    <w:basedOn w:val="List2"/>
    <w:rsid w:val="00874592"/>
    <w:pPr>
      <w:numPr>
        <w:numId w:val="14"/>
      </w:numPr>
      <w:tabs>
        <w:tab w:val="clear" w:pos="680"/>
      </w:tabs>
    </w:pPr>
  </w:style>
  <w:style w:type="paragraph" w:styleId="Header">
    <w:name w:val="header"/>
    <w:basedOn w:val="Normal"/>
    <w:link w:val="HeaderChar"/>
    <w:rsid w:val="00874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5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592"/>
    <w:pPr>
      <w:spacing w:before="240" w:after="120"/>
      <w:outlineLvl w:val="0"/>
    </w:pPr>
    <w:rPr>
      <w:rFonts w:ascii="Times New Roman" w:hAnsi="Times New Roman"/>
      <w:b/>
      <w:sz w:val="28"/>
    </w:rPr>
  </w:style>
  <w:style w:type="paragraph" w:customStyle="1" w:styleId="AllowPageBreak">
    <w:name w:val="AllowPageBreak"/>
    <w:rsid w:val="00874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5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5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592"/>
    <w:rPr>
      <w:rFonts w:ascii="Courier New" w:eastAsia="Times New Roman" w:hAnsi="Courier New" w:cs="Times New Roman"/>
      <w:i/>
      <w:szCs w:val="20"/>
      <w:lang w:val="en-US" w:eastAsia="en-US"/>
    </w:rPr>
  </w:style>
  <w:style w:type="paragraph" w:customStyle="1" w:styleId="HeadingBase">
    <w:name w:val="Heading Base"/>
    <w:rsid w:val="00874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592"/>
    <w:pPr>
      <w:tabs>
        <w:tab w:val="right" w:leader="dot" w:pos="9072"/>
      </w:tabs>
      <w:ind w:left="567"/>
    </w:pPr>
    <w:rPr>
      <w:szCs w:val="22"/>
    </w:rPr>
  </w:style>
  <w:style w:type="paragraph" w:customStyle="1" w:styleId="TOCBase">
    <w:name w:val="TOC Base"/>
    <w:rsid w:val="00874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592"/>
    <w:pPr>
      <w:tabs>
        <w:tab w:val="right" w:leader="dot" w:pos="9072"/>
      </w:tabs>
      <w:spacing w:before="40" w:after="40"/>
      <w:ind w:left="284"/>
    </w:pPr>
    <w:rPr>
      <w:rFonts w:ascii="Times New Roman" w:hAnsi="Times New Roman"/>
    </w:rPr>
  </w:style>
  <w:style w:type="paragraph" w:styleId="TOC1">
    <w:name w:val="toc 1"/>
    <w:basedOn w:val="TOCBase"/>
    <w:next w:val="Normal"/>
    <w:rsid w:val="008745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592"/>
    <w:pPr>
      <w:spacing w:before="5040"/>
      <w:jc w:val="center"/>
    </w:pPr>
    <w:rPr>
      <w:sz w:val="48"/>
      <w:szCs w:val="72"/>
      <w:lang w:val="en-US"/>
    </w:rPr>
  </w:style>
  <w:style w:type="character" w:customStyle="1" w:styleId="TitleChar">
    <w:name w:val="Title Char"/>
    <w:basedOn w:val="DefaultParagraphFont"/>
    <w:link w:val="Title"/>
    <w:rsid w:val="00874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592"/>
    <w:pPr>
      <w:tabs>
        <w:tab w:val="left" w:pos="3600"/>
        <w:tab w:val="left" w:pos="3958"/>
      </w:tabs>
    </w:pPr>
  </w:style>
  <w:style w:type="paragraph" w:styleId="List">
    <w:name w:val="List"/>
    <w:basedOn w:val="BodyText"/>
    <w:next w:val="BodyText"/>
    <w:rsid w:val="00874592"/>
    <w:pPr>
      <w:tabs>
        <w:tab w:val="left" w:pos="340"/>
      </w:tabs>
      <w:spacing w:before="60" w:after="60"/>
      <w:ind w:left="340" w:hanging="340"/>
    </w:pPr>
  </w:style>
  <w:style w:type="paragraph" w:customStyle="1" w:styleId="Note">
    <w:name w:val="Note"/>
    <w:basedOn w:val="BodyText"/>
    <w:rsid w:val="00874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592"/>
    <w:pPr>
      <w:framePr w:wrap="auto" w:hAnchor="text" w:y="6049"/>
    </w:pPr>
    <w:rPr>
      <w:color w:val="000000"/>
      <w:sz w:val="40"/>
    </w:rPr>
  </w:style>
  <w:style w:type="paragraph" w:customStyle="1" w:styleId="TOCTitle">
    <w:name w:val="TOCTitle"/>
    <w:basedOn w:val="Heading1"/>
    <w:rsid w:val="00874592"/>
    <w:pPr>
      <w:spacing w:after="240"/>
      <w:jc w:val="center"/>
      <w:outlineLvl w:val="9"/>
    </w:pPr>
    <w:rPr>
      <w:caps/>
    </w:rPr>
  </w:style>
  <w:style w:type="paragraph" w:customStyle="1" w:styleId="Version">
    <w:name w:val="Version"/>
    <w:rsid w:val="00874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592"/>
    <w:pPr>
      <w:keepNext w:val="0"/>
      <w:tabs>
        <w:tab w:val="right" w:pos="4176"/>
      </w:tabs>
      <w:ind w:left="198" w:hanging="198"/>
    </w:pPr>
    <w:rPr>
      <w:rFonts w:ascii="Garamond" w:hAnsi="Garamond"/>
    </w:rPr>
  </w:style>
  <w:style w:type="paragraph" w:styleId="IndexHeading">
    <w:name w:val="index heading"/>
    <w:basedOn w:val="Normal"/>
    <w:next w:val="Index1"/>
    <w:semiHidden/>
    <w:rsid w:val="00874592"/>
    <w:pPr>
      <w:spacing w:before="120" w:after="120"/>
    </w:pPr>
    <w:rPr>
      <w:rFonts w:ascii="Arial" w:hAnsi="Arial"/>
      <w:b/>
      <w:color w:val="918585"/>
      <w:sz w:val="24"/>
    </w:rPr>
  </w:style>
  <w:style w:type="paragraph" w:customStyle="1" w:styleId="Chapter">
    <w:name w:val="Chapter"/>
    <w:basedOn w:val="Normal"/>
    <w:rsid w:val="00874592"/>
    <w:pPr>
      <w:spacing w:before="240"/>
    </w:pPr>
    <w:rPr>
      <w:rFonts w:ascii="Times New Roman" w:hAnsi="Times New Roman"/>
      <w:smallCaps/>
      <w:spacing w:val="80"/>
      <w:sz w:val="28"/>
    </w:rPr>
  </w:style>
  <w:style w:type="paragraph" w:customStyle="1" w:styleId="InChapter">
    <w:name w:val="InChapter"/>
    <w:basedOn w:val="Heading3"/>
    <w:rsid w:val="00874592"/>
    <w:pPr>
      <w:spacing w:after="240"/>
      <w:outlineLvl w:val="9"/>
    </w:pPr>
    <w:rPr>
      <w:noProof/>
    </w:rPr>
  </w:style>
  <w:style w:type="paragraph" w:styleId="Index2">
    <w:name w:val="index 2"/>
    <w:basedOn w:val="Normal"/>
    <w:next w:val="Normal"/>
    <w:semiHidden/>
    <w:rsid w:val="00874592"/>
    <w:pPr>
      <w:tabs>
        <w:tab w:val="right" w:pos="4176"/>
      </w:tabs>
      <w:ind w:left="568" w:hanging="284"/>
    </w:pPr>
    <w:rPr>
      <w:rFonts w:ascii="Garamond" w:hAnsi="Garamond"/>
    </w:rPr>
  </w:style>
  <w:style w:type="paragraph" w:customStyle="1" w:styleId="Byline">
    <w:name w:val="Byline"/>
    <w:rsid w:val="00874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592"/>
    <w:pPr>
      <w:tabs>
        <w:tab w:val="clear" w:pos="3600"/>
        <w:tab w:val="clear" w:pos="3958"/>
      </w:tabs>
      <w:jc w:val="right"/>
    </w:pPr>
  </w:style>
  <w:style w:type="character" w:styleId="Emphasis">
    <w:name w:val="Emphasis"/>
    <w:basedOn w:val="DefaultParagraphFont"/>
    <w:qFormat/>
    <w:rsid w:val="00874592"/>
    <w:rPr>
      <w:i/>
    </w:rPr>
  </w:style>
  <w:style w:type="paragraph" w:styleId="Caption">
    <w:name w:val="caption"/>
    <w:basedOn w:val="BodyText"/>
    <w:next w:val="Normal"/>
    <w:qFormat/>
    <w:rsid w:val="00874592"/>
    <w:pPr>
      <w:framePr w:w="2268" w:hSpace="181" w:vSpace="181" w:wrap="around" w:vAnchor="text" w:hAnchor="page" w:x="1135" w:y="285" w:anchorLock="1"/>
    </w:pPr>
    <w:rPr>
      <w:i/>
    </w:rPr>
  </w:style>
  <w:style w:type="paragraph" w:customStyle="1" w:styleId="MiniTOCTitle">
    <w:name w:val="MiniTOCTitle"/>
    <w:basedOn w:val="Heading4"/>
    <w:rsid w:val="00874592"/>
    <w:pPr>
      <w:spacing w:before="240"/>
      <w:outlineLvl w:val="9"/>
    </w:pPr>
    <w:rPr>
      <w:noProof/>
      <w:sz w:val="24"/>
    </w:rPr>
  </w:style>
  <w:style w:type="paragraph" w:customStyle="1" w:styleId="MiniTOCItem">
    <w:name w:val="MiniTOCItem"/>
    <w:basedOn w:val="ListBullet"/>
    <w:rsid w:val="00874592"/>
    <w:pPr>
      <w:numPr>
        <w:numId w:val="0"/>
      </w:numPr>
      <w:tabs>
        <w:tab w:val="right" w:leader="dot" w:pos="6521"/>
      </w:tabs>
      <w:spacing w:before="0" w:after="0"/>
    </w:pPr>
  </w:style>
  <w:style w:type="paragraph" w:customStyle="1" w:styleId="TOFTitle">
    <w:name w:val="TOFTitle"/>
    <w:basedOn w:val="TOCTitle"/>
    <w:rsid w:val="00874592"/>
  </w:style>
  <w:style w:type="paragraph" w:styleId="TableofFigures">
    <w:name w:val="table of figures"/>
    <w:basedOn w:val="Normal"/>
    <w:next w:val="Normal"/>
    <w:semiHidden/>
    <w:rsid w:val="00874592"/>
    <w:pPr>
      <w:tabs>
        <w:tab w:val="right" w:leader="dot" w:pos="9072"/>
      </w:tabs>
      <w:ind w:left="970" w:hanging="403"/>
    </w:pPr>
    <w:rPr>
      <w:rFonts w:ascii="Times New Roman" w:hAnsi="Times New Roman"/>
      <w:b/>
    </w:rPr>
  </w:style>
  <w:style w:type="paragraph" w:styleId="ListNumber">
    <w:name w:val="List Number"/>
    <w:basedOn w:val="List"/>
    <w:rsid w:val="00874592"/>
    <w:pPr>
      <w:numPr>
        <w:numId w:val="11"/>
      </w:numPr>
    </w:pPr>
  </w:style>
  <w:style w:type="character" w:customStyle="1" w:styleId="WingdingSymbols">
    <w:name w:val="Wingding Symbols"/>
    <w:rsid w:val="00874592"/>
    <w:rPr>
      <w:rFonts w:ascii="Wingdings" w:hAnsi="Wingdings"/>
    </w:rPr>
  </w:style>
  <w:style w:type="paragraph" w:customStyle="1" w:styleId="TableHeading">
    <w:name w:val="Table Heading"/>
    <w:basedOn w:val="HeadingBase"/>
    <w:rsid w:val="00874592"/>
    <w:pPr>
      <w:keepLines/>
      <w:pBdr>
        <w:bottom w:val="single" w:sz="6" w:space="1" w:color="918585"/>
      </w:pBdr>
      <w:spacing w:before="240"/>
    </w:pPr>
  </w:style>
  <w:style w:type="character" w:customStyle="1" w:styleId="HotSpot">
    <w:name w:val="HotSpot"/>
    <w:rsid w:val="00874592"/>
    <w:rPr>
      <w:color w:val="0033CC"/>
      <w:u w:val="none"/>
    </w:rPr>
  </w:style>
  <w:style w:type="paragraph" w:customStyle="1" w:styleId="BodyTextRight">
    <w:name w:val="Body Text Right"/>
    <w:basedOn w:val="BodyText"/>
    <w:rsid w:val="00874592"/>
    <w:pPr>
      <w:spacing w:before="0" w:after="0"/>
      <w:jc w:val="right"/>
    </w:pPr>
  </w:style>
  <w:style w:type="paragraph" w:styleId="Index3">
    <w:name w:val="index 3"/>
    <w:basedOn w:val="ListNumber2"/>
    <w:next w:val="Normal"/>
    <w:semiHidden/>
    <w:rsid w:val="00874592"/>
    <w:pPr>
      <w:numPr>
        <w:numId w:val="0"/>
      </w:numPr>
      <w:tabs>
        <w:tab w:val="right" w:leader="dot" w:pos="4176"/>
      </w:tabs>
    </w:pPr>
  </w:style>
  <w:style w:type="paragraph" w:styleId="ListNumber2">
    <w:name w:val="List Number 2"/>
    <w:basedOn w:val="List2"/>
    <w:rsid w:val="00874592"/>
    <w:pPr>
      <w:numPr>
        <w:numId w:val="10"/>
      </w:numPr>
      <w:tabs>
        <w:tab w:val="clear" w:pos="1060"/>
      </w:tabs>
    </w:pPr>
  </w:style>
  <w:style w:type="paragraph" w:customStyle="1" w:styleId="MarginNote">
    <w:name w:val="Margin Note"/>
    <w:basedOn w:val="BodyText"/>
    <w:rsid w:val="00874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5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592"/>
    <w:rPr>
      <w:sz w:val="32"/>
    </w:rPr>
  </w:style>
  <w:style w:type="paragraph" w:customStyle="1" w:styleId="HeadingProcedure">
    <w:name w:val="Heading Procedure"/>
    <w:basedOn w:val="HeadingBase"/>
    <w:next w:val="Normal"/>
    <w:rsid w:val="00874592"/>
    <w:pPr>
      <w:tabs>
        <w:tab w:val="left" w:pos="0"/>
      </w:tabs>
      <w:spacing w:before="120" w:after="60"/>
    </w:pPr>
    <w:rPr>
      <w:i/>
      <w:color w:val="918585"/>
      <w:sz w:val="22"/>
    </w:rPr>
  </w:style>
  <w:style w:type="paragraph" w:customStyle="1" w:styleId="TableBodyText">
    <w:name w:val="Table Body Text"/>
    <w:basedOn w:val="BodyText"/>
    <w:rsid w:val="00874592"/>
    <w:pPr>
      <w:spacing w:before="60" w:after="60"/>
    </w:pPr>
  </w:style>
  <w:style w:type="paragraph" w:styleId="ListContinue">
    <w:name w:val="List Continue"/>
    <w:basedOn w:val="List"/>
    <w:rsid w:val="00874592"/>
    <w:pPr>
      <w:ind w:firstLine="0"/>
    </w:pPr>
  </w:style>
  <w:style w:type="paragraph" w:customStyle="1" w:styleId="ListNote">
    <w:name w:val="List Note"/>
    <w:basedOn w:val="List"/>
    <w:rsid w:val="00874592"/>
    <w:pPr>
      <w:pBdr>
        <w:top w:val="single" w:sz="6" w:space="2" w:color="918585"/>
        <w:bottom w:val="single" w:sz="6" w:space="2" w:color="918585"/>
      </w:pBdr>
      <w:tabs>
        <w:tab w:val="left" w:pos="1021"/>
      </w:tabs>
      <w:ind w:firstLine="0"/>
    </w:pPr>
  </w:style>
  <w:style w:type="paragraph" w:customStyle="1" w:styleId="Warning">
    <w:name w:val="Warning"/>
    <w:basedOn w:val="BodyText"/>
    <w:rsid w:val="00874592"/>
    <w:pPr>
      <w:shd w:val="clear" w:color="auto" w:fill="D9D9D9"/>
      <w:tabs>
        <w:tab w:val="left" w:pos="992"/>
      </w:tabs>
      <w:ind w:left="119" w:right="119"/>
    </w:pPr>
    <w:rPr>
      <w:sz w:val="20"/>
    </w:rPr>
  </w:style>
  <w:style w:type="paragraph" w:customStyle="1" w:styleId="MarginIcons">
    <w:name w:val="Margin Icons"/>
    <w:basedOn w:val="BodyText"/>
    <w:rsid w:val="00874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592"/>
    <w:rPr>
      <w:rFonts w:ascii="Courier New" w:hAnsi="Courier New"/>
    </w:rPr>
  </w:style>
  <w:style w:type="paragraph" w:customStyle="1" w:styleId="NoteBullet">
    <w:name w:val="Note Bullet"/>
    <w:basedOn w:val="Note"/>
    <w:rsid w:val="00874592"/>
    <w:pPr>
      <w:tabs>
        <w:tab w:val="clear" w:pos="680"/>
      </w:tabs>
      <w:spacing w:before="60" w:after="60"/>
    </w:pPr>
  </w:style>
  <w:style w:type="paragraph" w:customStyle="1" w:styleId="SubHeading2">
    <w:name w:val="SubHeading2"/>
    <w:basedOn w:val="HeadingBase"/>
    <w:rsid w:val="00874592"/>
    <w:pPr>
      <w:spacing w:before="240" w:after="60"/>
    </w:pPr>
    <w:rPr>
      <w:sz w:val="20"/>
    </w:rPr>
  </w:style>
  <w:style w:type="paragraph" w:customStyle="1" w:styleId="SubHeading1">
    <w:name w:val="SubHeading1"/>
    <w:basedOn w:val="HeadingBase"/>
    <w:rsid w:val="00874592"/>
    <w:pPr>
      <w:spacing w:before="240" w:after="60"/>
    </w:pPr>
    <w:rPr>
      <w:color w:val="918585"/>
      <w:sz w:val="22"/>
    </w:rPr>
  </w:style>
  <w:style w:type="paragraph" w:customStyle="1" w:styleId="SideHeading">
    <w:name w:val="Side Heading"/>
    <w:basedOn w:val="HeadingBase"/>
    <w:rsid w:val="00874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592"/>
    <w:pPr>
      <w:numPr>
        <w:numId w:val="12"/>
      </w:numPr>
    </w:pPr>
  </w:style>
  <w:style w:type="paragraph" w:styleId="PlainText">
    <w:name w:val="Plain Text"/>
    <w:basedOn w:val="Normal"/>
    <w:link w:val="PlainTextChar"/>
    <w:rsid w:val="00874592"/>
    <w:rPr>
      <w:sz w:val="20"/>
    </w:rPr>
  </w:style>
  <w:style w:type="character" w:customStyle="1" w:styleId="PlainTextChar">
    <w:name w:val="Plain Text Char"/>
    <w:basedOn w:val="DefaultParagraphFont"/>
    <w:link w:val="PlainText"/>
    <w:rsid w:val="008745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592"/>
    <w:rPr>
      <w:b/>
      <w:smallCaps/>
    </w:rPr>
  </w:style>
  <w:style w:type="paragraph" w:customStyle="1" w:styleId="TableListNumber">
    <w:name w:val="Table List Number"/>
    <w:basedOn w:val="ListNumber"/>
    <w:rsid w:val="00874592"/>
    <w:pPr>
      <w:numPr>
        <w:numId w:val="0"/>
      </w:numPr>
    </w:pPr>
  </w:style>
  <w:style w:type="paragraph" w:styleId="TOC4">
    <w:name w:val="toc 4"/>
    <w:basedOn w:val="TOCBase"/>
    <w:next w:val="Normal"/>
    <w:semiHidden/>
    <w:rsid w:val="00874592"/>
    <w:pPr>
      <w:tabs>
        <w:tab w:val="right" w:leader="dot" w:pos="9071"/>
      </w:tabs>
      <w:ind w:left="1701"/>
    </w:pPr>
  </w:style>
  <w:style w:type="paragraph" w:customStyle="1" w:styleId="ListAlpha">
    <w:name w:val="List Alpha"/>
    <w:basedOn w:val="List"/>
    <w:rsid w:val="00874592"/>
    <w:pPr>
      <w:numPr>
        <w:numId w:val="9"/>
      </w:numPr>
    </w:pPr>
  </w:style>
  <w:style w:type="paragraph" w:customStyle="1" w:styleId="ListAlpha2">
    <w:name w:val="List Alpha 2"/>
    <w:basedOn w:val="List2"/>
    <w:rsid w:val="00874592"/>
    <w:pPr>
      <w:numPr>
        <w:numId w:val="8"/>
      </w:numPr>
    </w:pPr>
  </w:style>
  <w:style w:type="paragraph" w:styleId="List2">
    <w:name w:val="List 2"/>
    <w:basedOn w:val="BodyText"/>
    <w:rsid w:val="00874592"/>
    <w:pPr>
      <w:tabs>
        <w:tab w:val="left" w:pos="680"/>
      </w:tabs>
      <w:spacing w:before="60" w:after="60"/>
      <w:ind w:left="680" w:hanging="340"/>
    </w:pPr>
  </w:style>
  <w:style w:type="paragraph" w:styleId="List3">
    <w:name w:val="List 3"/>
    <w:basedOn w:val="BodyText"/>
    <w:rsid w:val="00874592"/>
    <w:pPr>
      <w:tabs>
        <w:tab w:val="left" w:pos="1021"/>
      </w:tabs>
      <w:spacing w:before="60" w:after="60"/>
      <w:ind w:left="1020" w:hanging="340"/>
    </w:pPr>
  </w:style>
  <w:style w:type="paragraph" w:styleId="List4">
    <w:name w:val="List 4"/>
    <w:basedOn w:val="BodyText"/>
    <w:rsid w:val="00874592"/>
    <w:pPr>
      <w:tabs>
        <w:tab w:val="left" w:pos="1361"/>
      </w:tabs>
      <w:spacing w:before="60" w:after="60"/>
      <w:ind w:left="1361" w:hanging="340"/>
    </w:pPr>
  </w:style>
  <w:style w:type="paragraph" w:styleId="List5">
    <w:name w:val="List 5"/>
    <w:basedOn w:val="BodyText"/>
    <w:rsid w:val="00874592"/>
    <w:pPr>
      <w:tabs>
        <w:tab w:val="left" w:pos="1701"/>
      </w:tabs>
      <w:spacing w:before="60" w:after="60"/>
      <w:ind w:left="1701" w:hanging="340"/>
    </w:pPr>
  </w:style>
  <w:style w:type="paragraph" w:styleId="ListBullet3">
    <w:name w:val="List Bullet 3"/>
    <w:basedOn w:val="List3"/>
    <w:rsid w:val="00874592"/>
    <w:pPr>
      <w:numPr>
        <w:numId w:val="15"/>
      </w:numPr>
      <w:tabs>
        <w:tab w:val="clear" w:pos="1021"/>
      </w:tabs>
      <w:ind w:left="1037" w:hanging="357"/>
    </w:pPr>
  </w:style>
  <w:style w:type="paragraph" w:styleId="ListBullet4">
    <w:name w:val="List Bullet 4"/>
    <w:basedOn w:val="List4"/>
    <w:rsid w:val="00874592"/>
    <w:pPr>
      <w:numPr>
        <w:numId w:val="3"/>
      </w:numPr>
    </w:pPr>
  </w:style>
  <w:style w:type="paragraph" w:styleId="ListBullet5">
    <w:name w:val="List Bullet 5"/>
    <w:basedOn w:val="List5"/>
    <w:rsid w:val="00874592"/>
    <w:pPr>
      <w:numPr>
        <w:numId w:val="4"/>
      </w:numPr>
    </w:pPr>
  </w:style>
  <w:style w:type="paragraph" w:styleId="ListContinue2">
    <w:name w:val="List Continue 2"/>
    <w:basedOn w:val="List2"/>
    <w:rsid w:val="00874592"/>
    <w:pPr>
      <w:ind w:firstLine="0"/>
    </w:pPr>
  </w:style>
  <w:style w:type="paragraph" w:styleId="ListContinue3">
    <w:name w:val="List Continue 3"/>
    <w:basedOn w:val="List3"/>
    <w:rsid w:val="00874592"/>
    <w:pPr>
      <w:ind w:left="1021" w:firstLine="0"/>
    </w:pPr>
  </w:style>
  <w:style w:type="paragraph" w:styleId="ListContinue4">
    <w:name w:val="List Continue 4"/>
    <w:basedOn w:val="List4"/>
    <w:rsid w:val="00874592"/>
    <w:pPr>
      <w:ind w:firstLine="0"/>
    </w:pPr>
  </w:style>
  <w:style w:type="paragraph" w:styleId="ListContinue5">
    <w:name w:val="List Continue 5"/>
    <w:basedOn w:val="List5"/>
    <w:rsid w:val="00874592"/>
    <w:pPr>
      <w:ind w:firstLine="0"/>
    </w:pPr>
  </w:style>
  <w:style w:type="paragraph" w:styleId="ListNumber3">
    <w:name w:val="List Number 3"/>
    <w:basedOn w:val="List3"/>
    <w:rsid w:val="00874592"/>
    <w:pPr>
      <w:numPr>
        <w:numId w:val="5"/>
      </w:numPr>
    </w:pPr>
  </w:style>
  <w:style w:type="paragraph" w:styleId="ListNumber4">
    <w:name w:val="List Number 4"/>
    <w:basedOn w:val="List4"/>
    <w:rsid w:val="00874592"/>
    <w:pPr>
      <w:numPr>
        <w:numId w:val="6"/>
      </w:numPr>
    </w:pPr>
  </w:style>
  <w:style w:type="paragraph" w:styleId="ListNumber5">
    <w:name w:val="List Number 5"/>
    <w:basedOn w:val="List5"/>
    <w:rsid w:val="00874592"/>
    <w:pPr>
      <w:numPr>
        <w:numId w:val="7"/>
      </w:numPr>
    </w:pPr>
  </w:style>
  <w:style w:type="paragraph" w:styleId="BlockText">
    <w:name w:val="Block Text"/>
    <w:basedOn w:val="Normal"/>
    <w:rsid w:val="00874592"/>
    <w:pPr>
      <w:spacing w:after="120"/>
      <w:ind w:left="1440" w:right="1440"/>
    </w:pPr>
  </w:style>
  <w:style w:type="character" w:customStyle="1" w:styleId="Subscript">
    <w:name w:val="Subscript"/>
    <w:basedOn w:val="DefaultParagraphFont"/>
    <w:rsid w:val="00874592"/>
    <w:rPr>
      <w:sz w:val="16"/>
      <w:vertAlign w:val="subscript"/>
    </w:rPr>
  </w:style>
  <w:style w:type="character" w:customStyle="1" w:styleId="Superscript">
    <w:name w:val="Superscript"/>
    <w:basedOn w:val="DefaultParagraphFont"/>
    <w:rsid w:val="00874592"/>
    <w:rPr>
      <w:sz w:val="16"/>
      <w:vertAlign w:val="superscript"/>
    </w:rPr>
  </w:style>
  <w:style w:type="character" w:customStyle="1" w:styleId="Symbols">
    <w:name w:val="Symbols"/>
    <w:basedOn w:val="DefaultParagraphFont"/>
    <w:rsid w:val="00874592"/>
    <w:rPr>
      <w:rFonts w:ascii="Symbol" w:hAnsi="Symbol"/>
    </w:rPr>
  </w:style>
  <w:style w:type="character" w:customStyle="1" w:styleId="MenuOptions">
    <w:name w:val="Menu Options"/>
    <w:basedOn w:val="DefaultParagraphFont"/>
    <w:rsid w:val="00874592"/>
    <w:rPr>
      <w:rFonts w:ascii="Arial Narrow" w:hAnsi="Arial Narrow"/>
      <w:smallCaps/>
    </w:rPr>
  </w:style>
  <w:style w:type="character" w:customStyle="1" w:styleId="Buttons">
    <w:name w:val="Buttons"/>
    <w:basedOn w:val="DefaultParagraphFont"/>
    <w:rsid w:val="00874592"/>
    <w:rPr>
      <w:b/>
    </w:rPr>
  </w:style>
  <w:style w:type="character" w:customStyle="1" w:styleId="Underlined">
    <w:name w:val="Underlined"/>
    <w:basedOn w:val="DefaultParagraphFont"/>
    <w:rsid w:val="00874592"/>
    <w:rPr>
      <w:u w:val="single"/>
    </w:rPr>
  </w:style>
  <w:style w:type="paragraph" w:customStyle="1" w:styleId="TableBodyTextRight">
    <w:name w:val="Table Body Text Right"/>
    <w:basedOn w:val="TableBodyText"/>
    <w:rsid w:val="00874592"/>
    <w:pPr>
      <w:widowControl w:val="0"/>
      <w:autoSpaceDE w:val="0"/>
      <w:autoSpaceDN w:val="0"/>
      <w:adjustRightInd w:val="0"/>
      <w:jc w:val="right"/>
    </w:pPr>
    <w:rPr>
      <w:rFonts w:cs="Arial"/>
      <w:szCs w:val="18"/>
    </w:rPr>
  </w:style>
  <w:style w:type="paragraph" w:customStyle="1" w:styleId="CopyrightText">
    <w:name w:val="Copyright Text"/>
    <w:basedOn w:val="BodyText"/>
    <w:rsid w:val="00874592"/>
    <w:rPr>
      <w:sz w:val="18"/>
    </w:rPr>
  </w:style>
  <w:style w:type="paragraph" w:customStyle="1" w:styleId="BodySmallRight">
    <w:name w:val="Body Small Right"/>
    <w:basedOn w:val="BodyTextRight"/>
    <w:rsid w:val="00874592"/>
    <w:rPr>
      <w:sz w:val="18"/>
      <w:szCs w:val="18"/>
    </w:rPr>
  </w:style>
  <w:style w:type="paragraph" w:customStyle="1" w:styleId="MarginEdition">
    <w:name w:val="Margin Edition"/>
    <w:basedOn w:val="MarginNote"/>
    <w:rsid w:val="00874592"/>
    <w:pPr>
      <w:spacing w:before="0" w:after="0"/>
    </w:pPr>
    <w:rPr>
      <w:rFonts w:ascii="Times New Roman" w:hAnsi="Times New Roman"/>
      <w:color w:val="999999"/>
    </w:rPr>
  </w:style>
  <w:style w:type="paragraph" w:customStyle="1" w:styleId="Spacer">
    <w:name w:val="Spacer"/>
    <w:basedOn w:val="Normal"/>
    <w:rsid w:val="00874592"/>
    <w:rPr>
      <w:sz w:val="2"/>
      <w:szCs w:val="2"/>
    </w:rPr>
  </w:style>
  <w:style w:type="character" w:customStyle="1" w:styleId="Small">
    <w:name w:val="Small"/>
    <w:basedOn w:val="DefaultParagraphFont"/>
    <w:rsid w:val="00874592"/>
    <w:rPr>
      <w:sz w:val="16"/>
    </w:rPr>
  </w:style>
  <w:style w:type="paragraph" w:customStyle="1" w:styleId="WideTable">
    <w:name w:val="Wide Table"/>
    <w:basedOn w:val="Normal"/>
    <w:rsid w:val="00874592"/>
    <w:pPr>
      <w:ind w:left="-1418"/>
    </w:pPr>
    <w:rPr>
      <w:sz w:val="2"/>
      <w:szCs w:val="2"/>
    </w:rPr>
  </w:style>
  <w:style w:type="character" w:styleId="PageNumber">
    <w:name w:val="page number"/>
    <w:basedOn w:val="DefaultParagraphFont"/>
    <w:rsid w:val="00874592"/>
  </w:style>
  <w:style w:type="paragraph" w:styleId="Quote">
    <w:name w:val="Quote"/>
    <w:basedOn w:val="Heading1"/>
    <w:link w:val="QuoteChar"/>
    <w:qFormat/>
    <w:rsid w:val="00874592"/>
    <w:rPr>
      <w:b w:val="0"/>
      <w:sz w:val="72"/>
      <w:szCs w:val="72"/>
      <w:lang w:val="en-NZ"/>
    </w:rPr>
  </w:style>
  <w:style w:type="character" w:customStyle="1" w:styleId="QuoteChar">
    <w:name w:val="Quote Char"/>
    <w:basedOn w:val="DefaultParagraphFont"/>
    <w:link w:val="Quote"/>
    <w:rsid w:val="00874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592"/>
    <w:pPr>
      <w:pageBreakBefore/>
    </w:pPr>
  </w:style>
  <w:style w:type="paragraph" w:customStyle="1" w:styleId="Border">
    <w:name w:val="Border"/>
    <w:basedOn w:val="Normal"/>
    <w:qFormat/>
    <w:rsid w:val="00874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592"/>
    <w:rPr>
      <w:b/>
      <w:bCs/>
      <w:i/>
      <w:iCs/>
      <w:color w:val="auto"/>
    </w:rPr>
  </w:style>
  <w:style w:type="paragraph" w:styleId="IntenseQuote">
    <w:name w:val="Intense Quote"/>
    <w:basedOn w:val="Normal"/>
    <w:next w:val="Normal"/>
    <w:link w:val="IntenseQuoteChar"/>
    <w:uiPriority w:val="30"/>
    <w:qFormat/>
    <w:rsid w:val="00874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5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592"/>
    <w:rPr>
      <w:smallCaps/>
      <w:color w:val="auto"/>
      <w:u w:val="single"/>
    </w:rPr>
  </w:style>
  <w:style w:type="character" w:styleId="IntenseReference">
    <w:name w:val="Intense Reference"/>
    <w:basedOn w:val="DefaultParagraphFont"/>
    <w:uiPriority w:val="32"/>
    <w:qFormat/>
    <w:rsid w:val="00874592"/>
    <w:rPr>
      <w:b/>
      <w:bCs/>
      <w:smallCaps/>
      <w:color w:val="auto"/>
      <w:spacing w:val="5"/>
      <w:u w:val="single"/>
    </w:rPr>
  </w:style>
  <w:style w:type="paragraph" w:customStyle="1" w:styleId="2ColumnHeading">
    <w:name w:val="2Column Heading"/>
    <w:basedOn w:val="BodyText"/>
    <w:qFormat/>
    <w:rsid w:val="00874592"/>
    <w:pPr>
      <w:spacing w:after="60"/>
      <w:ind w:left="-2268"/>
    </w:pPr>
    <w:rPr>
      <w:b/>
    </w:rPr>
  </w:style>
  <w:style w:type="paragraph" w:customStyle="1" w:styleId="Heading1TOC">
    <w:name w:val="Heading1 TOC"/>
    <w:basedOn w:val="Normal"/>
    <w:qFormat/>
    <w:rsid w:val="00874592"/>
    <w:pPr>
      <w:spacing w:before="240" w:after="120"/>
    </w:pPr>
    <w:rPr>
      <w:rFonts w:ascii="Times New Roman" w:hAnsi="Times New Roman"/>
      <w:b/>
      <w:sz w:val="32"/>
    </w:rPr>
  </w:style>
  <w:style w:type="paragraph" w:customStyle="1" w:styleId="Heading2TOC">
    <w:name w:val="Heading2 TOC"/>
    <w:basedOn w:val="Normal"/>
    <w:qFormat/>
    <w:rsid w:val="00874592"/>
    <w:pPr>
      <w:spacing w:before="240" w:after="60"/>
    </w:pPr>
    <w:rPr>
      <w:rFonts w:ascii="Times New Roman" w:hAnsi="Times New Roman"/>
      <w:b/>
      <w:sz w:val="28"/>
    </w:rPr>
  </w:style>
  <w:style w:type="character" w:customStyle="1" w:styleId="Underline">
    <w:name w:val="Underline"/>
    <w:basedOn w:val="DefaultParagraphFont"/>
    <w:qFormat/>
    <w:rsid w:val="00874592"/>
    <w:rPr>
      <w:u w:val="single"/>
    </w:rPr>
  </w:style>
  <w:style w:type="character" w:customStyle="1" w:styleId="BoldandItalics">
    <w:name w:val="Bold and Italics"/>
    <w:qFormat/>
    <w:rsid w:val="00874592"/>
    <w:rPr>
      <w:b/>
      <w:i/>
      <w:u w:val="none"/>
    </w:rPr>
  </w:style>
  <w:style w:type="paragraph" w:styleId="BalloonText">
    <w:name w:val="Balloon Text"/>
    <w:basedOn w:val="Normal"/>
    <w:link w:val="BalloonTextChar"/>
    <w:rsid w:val="00874592"/>
    <w:rPr>
      <w:rFonts w:ascii="Tahoma" w:hAnsi="Tahoma" w:cs="Tahoma"/>
      <w:sz w:val="16"/>
      <w:szCs w:val="16"/>
    </w:rPr>
  </w:style>
  <w:style w:type="character" w:customStyle="1" w:styleId="BalloonTextChar">
    <w:name w:val="Balloon Text Char"/>
    <w:basedOn w:val="DefaultParagraphFont"/>
    <w:link w:val="BalloonText"/>
    <w:rsid w:val="008745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5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1895</Words>
  <Characters>11448</Characters>
  <Application>Microsoft Office Word</Application>
  <DocSecurity>0</DocSecurity>
  <Lines>477</Lines>
  <Paragraphs>175</Paragraphs>
  <ScaleCrop>false</ScaleCrop>
  <Company>Author-it Software Corporation Ltd.</Company>
  <LinksUpToDate>false</LinksUpToDate>
  <CharactersWithSpaces>13193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UEGNSG704A Conduct an appliance relight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2012-05-26T22:12:00Z</dcterms:created>
  <dcterms:modified xsi:type="dcterms:W3CDTF">2012-05-26T22:12:00Z</dcterms:modified>
</cp:coreProperties>
</file>