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3A6" w:rsidP="003A23A6">
      <w:pPr>
        <w:pStyle w:val="Title"/>
      </w:pPr>
      <w:r>
        <w:fldChar w:fldCharType="begin"/>
      </w:r>
      <w:r>
        <w:instrText xml:space="preserve"> TITLE   \* MERGEFORMAT </w:instrText>
      </w:r>
      <w:r>
        <w:fldChar w:fldCharType="separate"/>
      </w:r>
      <w:r>
        <w:t>UEGNSG622A Assess the operational capability of gas safety equipment on a delivery vehicle</w:t>
      </w:r>
      <w:r>
        <w:fldChar w:fldCharType="end"/>
      </w:r>
    </w:p>
    <w:p w:rsidR="003A23A6" w:rsidP="003A23A6">
      <w:pPr>
        <w:pStyle w:val="Version"/>
        <w:sectPr w:rsidSect="008D1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0B3" w:rsidP="008D10B3">
      <w:pPr>
        <w:pStyle w:val="SuperHeading"/>
      </w:pPr>
      <w:r w:rsidRPr="008D10B3">
        <w:t>UEGNSG622A Assess the operational capability of gas safety equipment on a delivery vehicle</w:t>
      </w:r>
    </w:p>
    <w:p w:rsidR="00000000" w:rsidRPr="008D10B3" w:rsidP="008D10B3">
      <w:pPr>
        <w:pStyle w:val="Heading1"/>
      </w:pPr>
      <w:bookmarkStart w:id="1" w:name="O_594035"/>
      <w:bookmarkEnd w:id="1"/>
      <w:r w:rsidRPr="008D10B3">
        <w:t>Modification History</w:t>
      </w:r>
    </w:p>
    <w:p w:rsidR="00000000" w:rsidRPr="008D10B3" w:rsidP="008D10B3">
      <w:pPr>
        <w:pStyle w:val="BodyText"/>
      </w:pPr>
      <w:r w:rsidRPr="008D10B3">
        <w:t>This unit replaces UEGNSG613A Assess the operational capability of gas safety equipment on delivery vehicle</w:t>
      </w:r>
    </w:p>
    <w:p w:rsidR="00000000" w:rsidRPr="008D10B3" w:rsidP="008D10B3">
      <w:pPr>
        <w:pStyle w:val="AllowPageBreak"/>
      </w:pPr>
    </w:p>
    <w:p w:rsidR="00000000" w:rsidRPr="008D10B3" w:rsidP="008D10B3">
      <w:pPr>
        <w:pStyle w:val="Heading1"/>
      </w:pPr>
      <w:bookmarkStart w:id="2" w:name="O_594036"/>
      <w:bookmarkEnd w:id="2"/>
      <w:r w:rsidRPr="008D10B3">
        <w:t>Unit Descriptor</w:t>
      </w:r>
    </w:p>
    <w:tbl>
      <w:tblPr>
        <w:tblW w:w="0" w:type="auto"/>
        <w:tblLayout w:type="fixed"/>
        <w:tblCellMar>
          <w:left w:w="62" w:type="dxa"/>
          <w:right w:w="62" w:type="dxa"/>
        </w:tblCellMar>
        <w:tblLook w:val="0000"/>
      </w:tblPr>
      <w:tblGrid>
        <w:gridCol w:w="2638"/>
        <w:gridCol w:w="5760"/>
      </w:tblGrid>
      <w:tr w:rsidTr="008D10B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1) Scope:</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D10B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1.1) Descriptor</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This unit covers the assessment of the gas and safety equipment on a delivery vehicle for the distribution of gaseous fuel in accordance with relevant legislation, codes, regulations and establi</w:t>
            </w:r>
            <w:r w:rsidRPr="008D10B3">
              <w:t xml:space="preserve">shed procedures. </w:t>
            </w:r>
          </w:p>
          <w:p w:rsidR="00000000" w:rsidRPr="008D10B3" w:rsidP="008D10B3">
            <w:pPr>
              <w:pStyle w:val="BodyText"/>
            </w:pPr>
          </w:p>
          <w:p w:rsidR="00000000" w:rsidRPr="008D10B3" w:rsidP="008D10B3">
            <w:pPr>
              <w:pStyle w:val="BodyText"/>
            </w:pPr>
            <w:r w:rsidRPr="008D10B3">
              <w:t>It encompasses assessing the equipment, identifying faults, using standard operating procedures, liaising with appropriate persons, conducting inspections and tests. Delivery vehicles include heavy rigid or heavy combination gaseous fuel</w:t>
            </w:r>
            <w:r w:rsidRPr="008D10B3">
              <w:t xml:space="preserve"> bulk tankers.</w:t>
            </w:r>
          </w:p>
        </w:tc>
      </w:tr>
    </w:tbl>
    <w:p w:rsidR="003A23A6" w:rsidP="008D10B3">
      <w:pPr>
        <w:pStyle w:val="BodyText"/>
      </w:pPr>
    </w:p>
    <w:p w:rsidR="003A23A6" w:rsidP="008D10B3">
      <w:pPr>
        <w:pStyle w:val="BodyText"/>
      </w:pPr>
    </w:p>
    <w:p w:rsidR="00000000" w:rsidRPr="008D10B3" w:rsidP="008D10B3">
      <w:pPr>
        <w:pStyle w:val="Heading1"/>
      </w:pPr>
      <w:bookmarkStart w:id="3" w:name="O_594037"/>
      <w:bookmarkEnd w:id="3"/>
      <w:r w:rsidRPr="008D10B3">
        <w:t>Application of the Unit</w:t>
      </w:r>
    </w:p>
    <w:tbl>
      <w:tblPr>
        <w:tblW w:w="0" w:type="auto"/>
        <w:tblLayout w:type="fixed"/>
        <w:tblCellMar>
          <w:left w:w="62" w:type="dxa"/>
          <w:right w:w="62" w:type="dxa"/>
        </w:tblCellMar>
        <w:tblLook w:val="0000"/>
      </w:tblPr>
      <w:tblGrid>
        <w:gridCol w:w="2610"/>
        <w:gridCol w:w="5699"/>
      </w:tblGrid>
      <w:tr w:rsidTr="008D10B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2)</w:t>
            </w:r>
          </w:p>
        </w:tc>
      </w:tr>
      <w:tr w:rsidTr="008D10B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 xml:space="preserve">This competency standard shall apply to work sites where the bulk distribution of liquefied petroleum gas (LPG) occurs using delivery vehicles, </w:t>
            </w:r>
            <w:r w:rsidRPr="008D10B3">
              <w:t>subject to all Workplace Health and Safety (WHS)/Occupational Health and Safety (OHS) and duty of care requirements being met for the workplace.</w:t>
            </w:r>
          </w:p>
          <w:p w:rsidR="00000000" w:rsidRPr="008D10B3" w:rsidP="008D10B3">
            <w:pPr>
              <w:pStyle w:val="BodyText"/>
            </w:pPr>
          </w:p>
          <w:p w:rsidR="00000000" w:rsidRPr="008D10B3" w:rsidP="008D10B3">
            <w:pPr>
              <w:pStyle w:val="BodyText"/>
            </w:pPr>
            <w:r w:rsidRPr="008D10B3">
              <w:t xml:space="preserve">This unit is intended as an entry level AQF 3 competency for new entrants in the gas industry. It is suitable </w:t>
            </w:r>
            <w:r w:rsidRPr="008D10B3">
              <w:t>for employment-based programs under an approved contract of training.</w:t>
            </w:r>
          </w:p>
        </w:tc>
      </w:tr>
    </w:tbl>
    <w:p w:rsidR="003A23A6" w:rsidP="008D10B3">
      <w:pPr>
        <w:pStyle w:val="BodyText"/>
      </w:pPr>
    </w:p>
    <w:p w:rsidR="003A23A6" w:rsidP="008D10B3">
      <w:pPr>
        <w:pStyle w:val="BodyText"/>
      </w:pPr>
    </w:p>
    <w:p w:rsidR="00000000" w:rsidRPr="008D10B3" w:rsidP="008D10B3">
      <w:pPr>
        <w:pStyle w:val="Heading1"/>
      </w:pPr>
      <w:bookmarkStart w:id="4" w:name="O_594038"/>
      <w:bookmarkEnd w:id="4"/>
      <w:r w:rsidRPr="008D10B3">
        <w:t>Licensing/Regulatory Information</w:t>
      </w:r>
    </w:p>
    <w:tbl>
      <w:tblPr>
        <w:tblW w:w="0" w:type="auto"/>
        <w:tblLayout w:type="fixed"/>
        <w:tblCellMar>
          <w:left w:w="62" w:type="dxa"/>
          <w:right w:w="62" w:type="dxa"/>
        </w:tblCellMar>
        <w:tblLook w:val="0000"/>
      </w:tblPr>
      <w:tblGrid>
        <w:gridCol w:w="2638"/>
        <w:gridCol w:w="5760"/>
      </w:tblGrid>
      <w:tr w:rsidTr="008D10B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 xml:space="preserve">3) </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D10B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 xml:space="preserve">During Training: </w:t>
            </w:r>
          </w:p>
          <w:p w:rsidR="00000000" w:rsidRPr="008D10B3" w:rsidP="008D10B3">
            <w:pPr>
              <w:pStyle w:val="BodyText"/>
            </w:pPr>
            <w:r w:rsidRPr="008D10B3">
              <w:t xml:space="preserve">Competency development activities are subject to regulations directly related to licensing, occupational health and safety and where applicable contracts of training such as apprenticeships. </w:t>
            </w:r>
          </w:p>
          <w:p w:rsidR="00000000" w:rsidRPr="008D10B3" w:rsidP="008D10B3">
            <w:pPr>
              <w:pStyle w:val="BodyText"/>
            </w:pPr>
          </w:p>
          <w:p w:rsidR="00000000" w:rsidRPr="008D10B3" w:rsidP="008D10B3">
            <w:pPr>
              <w:pStyle w:val="BodyText"/>
            </w:pPr>
            <w:r w:rsidRPr="008D10B3">
              <w:rPr>
                <w:rStyle w:val="SpecialBold"/>
              </w:rPr>
              <w:t>In the workplace</w:t>
            </w:r>
          </w:p>
          <w:p w:rsidR="00000000" w:rsidRPr="008D10B3" w:rsidP="008D10B3">
            <w:pPr>
              <w:pStyle w:val="BodyText"/>
            </w:pPr>
            <w:r w:rsidRPr="008D10B3">
              <w:t>The skills and knowledge described in this uni</w:t>
            </w:r>
            <w:r w:rsidRPr="008D10B3">
              <w:t>t are not subject to licence regulation other than those directly related to Occupational Health and Safety, gas/electricity/water industry safety and compliance, industrial relations, environmental protection, telecommunications, anti-discrimination and t</w:t>
            </w:r>
            <w:r w:rsidRPr="008D10B3">
              <w:t xml:space="preserve">raining. </w:t>
            </w:r>
          </w:p>
          <w:p w:rsidR="00000000" w:rsidRPr="008D10B3" w:rsidP="008D10B3">
            <w:pPr>
              <w:pStyle w:val="BodyText"/>
            </w:pPr>
          </w:p>
          <w:p w:rsidR="00000000" w:rsidRPr="008D10B3" w:rsidP="008D10B3">
            <w:pPr>
              <w:pStyle w:val="BodyText"/>
            </w:pPr>
            <w:r w:rsidRPr="008D10B3">
              <w:t>Commonwealth, State/Territory or Local Government legislation and regulations may exist that limits the age of operating certain equipment. Other conditions may apply to this competency under State and Territory legislative and regulatory requir</w:t>
            </w:r>
            <w:r w:rsidRPr="008D10B3">
              <w:t>ements.</w:t>
            </w:r>
          </w:p>
        </w:tc>
      </w:tr>
    </w:tbl>
    <w:p w:rsidR="003A23A6" w:rsidP="008D10B3">
      <w:pPr>
        <w:pStyle w:val="BodyText"/>
      </w:pPr>
    </w:p>
    <w:p w:rsidR="003A23A6" w:rsidP="008D10B3">
      <w:pPr>
        <w:pStyle w:val="BodyText"/>
      </w:pPr>
    </w:p>
    <w:p w:rsidR="00000000" w:rsidRPr="008D10B3" w:rsidP="008D10B3">
      <w:pPr>
        <w:pStyle w:val="Heading1"/>
      </w:pPr>
      <w:bookmarkStart w:id="5" w:name="O_594039"/>
      <w:bookmarkEnd w:id="5"/>
      <w:r w:rsidRPr="008D10B3">
        <w:t>Pre-Requisites</w:t>
      </w:r>
    </w:p>
    <w:tbl>
      <w:tblPr>
        <w:tblW w:w="0" w:type="auto"/>
        <w:tblLayout w:type="fixed"/>
        <w:tblCellMar>
          <w:left w:w="62" w:type="dxa"/>
          <w:right w:w="62" w:type="dxa"/>
        </w:tblCellMar>
        <w:tblLook w:val="0000"/>
      </w:tblPr>
      <w:tblGrid>
        <w:gridCol w:w="2638"/>
        <w:gridCol w:w="1800"/>
        <w:gridCol w:w="3960"/>
      </w:tblGrid>
      <w:tr w:rsidTr="008D10B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 xml:space="preserve">4) </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4.1)</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Granting of competency in this unit shall be made only after competency in the following unit(s) has/have been confirmed:</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UEGNSG141A</w:t>
            </w:r>
          </w:p>
        </w:tc>
        <w:tc>
          <w:tcPr>
            <w:tcW w:w="39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Apply Workplace Health and Safety regulations, codes and practices in the gas industry</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UEGNSG005A</w:t>
            </w:r>
          </w:p>
        </w:tc>
        <w:tc>
          <w:tcPr>
            <w:tcW w:w="39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Prepare to work in the Australian gas </w:t>
            </w:r>
            <w:r w:rsidRPr="008D10B3">
              <w:t>industry</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UEGNSG132A</w:t>
            </w:r>
          </w:p>
        </w:tc>
        <w:tc>
          <w:tcPr>
            <w:tcW w:w="39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Carry out basic work activities in a gas industry work environment</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UEGNSG140A</w:t>
            </w:r>
          </w:p>
        </w:tc>
        <w:tc>
          <w:tcPr>
            <w:tcW w:w="39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Apply environmental policies and procedures in the utilities industry </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UEGNSG134A</w:t>
            </w:r>
          </w:p>
        </w:tc>
        <w:tc>
          <w:tcPr>
            <w:tcW w:w="39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Establish a utilities infrastructure work site</w:t>
            </w:r>
          </w:p>
        </w:tc>
      </w:tr>
    </w:tbl>
    <w:p w:rsidR="00000000" w:rsidRPr="008D10B3" w:rsidP="008D10B3">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 xml:space="preserve">4.2) </w:t>
            </w:r>
          </w:p>
          <w:p w:rsidR="00000000" w:rsidP="008D10B3">
            <w:pPr>
              <w:pStyle w:val="BodyText"/>
              <w:rPr>
                <w:lang w:val="en-NZ"/>
              </w:rPr>
            </w:pPr>
            <w:r w:rsidRPr="008D10B3">
              <w:t>Participants are best equipped to achieve this unit if they have reading, writing and nu</w:t>
            </w:r>
            <w:r w:rsidRPr="008D10B3">
              <w:t>meracy skills indicated by the following scales. Description of each scale is given in Volume 2, Part 3 ‘Literacy and Numeracy’</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Reading</w:t>
            </w:r>
          </w:p>
        </w:tc>
        <w:tc>
          <w:tcPr>
            <w:tcW w:w="81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w:t>
            </w:r>
          </w:p>
        </w:tc>
        <w:tc>
          <w:tcPr>
            <w:tcW w:w="99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Writing</w:t>
            </w: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w:t>
            </w:r>
          </w:p>
        </w:tc>
        <w:tc>
          <w:tcPr>
            <w:tcW w:w="12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Numeracy</w:t>
            </w:r>
          </w:p>
        </w:tc>
        <w:tc>
          <w:tcPr>
            <w:tcW w:w="72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3</w:t>
            </w:r>
          </w:p>
        </w:tc>
      </w:tr>
    </w:tbl>
    <w:p w:rsidR="003A23A6" w:rsidP="008D10B3">
      <w:pPr>
        <w:pStyle w:val="BodyText"/>
      </w:pPr>
    </w:p>
    <w:p w:rsidR="003A23A6" w:rsidP="008D10B3">
      <w:pPr>
        <w:pStyle w:val="BodyText"/>
      </w:pPr>
    </w:p>
    <w:p w:rsidR="00000000" w:rsidRPr="008D10B3" w:rsidP="008D10B3">
      <w:pPr>
        <w:pStyle w:val="Heading1"/>
      </w:pPr>
      <w:bookmarkStart w:id="6" w:name="O_594040"/>
      <w:bookmarkEnd w:id="6"/>
      <w:r w:rsidRPr="008D10B3">
        <w:t>Employability Skills Information</w:t>
      </w:r>
    </w:p>
    <w:tbl>
      <w:tblPr>
        <w:tblW w:w="0" w:type="auto"/>
        <w:tblLayout w:type="fixed"/>
        <w:tblCellMar>
          <w:left w:w="62" w:type="dxa"/>
          <w:right w:w="62" w:type="dxa"/>
        </w:tblCellMar>
        <w:tblLook w:val="0000"/>
      </w:tblPr>
      <w:tblGrid>
        <w:gridCol w:w="2638"/>
        <w:gridCol w:w="5760"/>
      </w:tblGrid>
      <w:tr w:rsidTr="008D10B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 xml:space="preserve">5) </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This unit contains Employability Skills</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 xml:space="preserve">The required outcomes described in this unit of competency contain applicable facets of Employability Skills. The Employability Skills Summary of the qualification in which this unit of competency is packaged will </w:t>
            </w:r>
            <w:r w:rsidRPr="008D10B3">
              <w:t>assist in identifying Employability Skill requirements.</w:t>
            </w:r>
          </w:p>
        </w:tc>
      </w:tr>
    </w:tbl>
    <w:p w:rsidR="003A23A6" w:rsidP="008D10B3">
      <w:pPr>
        <w:pStyle w:val="BodyText"/>
      </w:pPr>
    </w:p>
    <w:p w:rsidR="003A23A6" w:rsidP="008D10B3">
      <w:pPr>
        <w:pStyle w:val="BodyText"/>
      </w:pPr>
    </w:p>
    <w:p w:rsidR="00000000" w:rsidRPr="008D10B3" w:rsidP="008D10B3">
      <w:pPr>
        <w:pStyle w:val="Heading1"/>
      </w:pPr>
      <w:bookmarkStart w:id="7" w:name="O_594041"/>
      <w:bookmarkEnd w:id="7"/>
      <w:r w:rsidRPr="008D10B3">
        <w:t>Elements and Performance Criteria Pre-Content</w:t>
      </w:r>
    </w:p>
    <w:tbl>
      <w:tblPr>
        <w:tblW w:w="0" w:type="auto"/>
        <w:tblLayout w:type="fixed"/>
        <w:tblCellMar>
          <w:left w:w="62" w:type="dxa"/>
          <w:right w:w="62" w:type="dxa"/>
        </w:tblCellMar>
        <w:tblLook w:val="0000"/>
      </w:tblPr>
      <w:tblGrid>
        <w:gridCol w:w="2638"/>
        <w:gridCol w:w="5760"/>
      </w:tblGrid>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6)</w:t>
            </w:r>
            <w:r w:rsidRPr="008D10B3">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Emphasis"/>
              </w:rPr>
              <w:t>Performance Criteria describe the required performance needed to demonstrate achievement of the element. Assessment of performance is to be consistent with the Evidence Guide.</w:t>
            </w:r>
          </w:p>
        </w:tc>
      </w:tr>
    </w:tbl>
    <w:p w:rsidR="003A23A6" w:rsidP="008D10B3">
      <w:pPr>
        <w:pStyle w:val="BodyText"/>
      </w:pPr>
    </w:p>
    <w:p w:rsidR="003A23A6" w:rsidP="008D10B3">
      <w:pPr>
        <w:pStyle w:val="BodyText"/>
      </w:pPr>
    </w:p>
    <w:p w:rsidR="00000000" w:rsidRPr="008D10B3" w:rsidP="008D10B3">
      <w:pPr>
        <w:pStyle w:val="Heading1"/>
      </w:pPr>
      <w:bookmarkStart w:id="8" w:name="O_594042"/>
      <w:bookmarkEnd w:id="8"/>
      <w:r w:rsidRPr="008D10B3">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8D10B3">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PERFORMANCE CRITERIA</w:t>
            </w:r>
          </w:p>
        </w:tc>
      </w:tr>
      <w:tr w:rsidTr="008D10B3">
        <w:tblPrEx>
          <w:tblW w:w="0" w:type="auto"/>
          <w:tblLayout w:type="fixed"/>
          <w:tblCellMar>
            <w:left w:w="62" w:type="dxa"/>
            <w:right w:w="62" w:type="dxa"/>
          </w:tblCellMar>
          <w:tblLook w:val="0000"/>
        </w:tblPrEx>
        <w:trPr>
          <w:trHeight w:val="921"/>
        </w:trPr>
        <w:tc>
          <w:tcPr>
            <w:tcW w:w="342"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 xml:space="preserve">Prepare to assess gas and safety equipment on delivery vehicles </w:t>
            </w: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1.1</w:t>
            </w:r>
          </w:p>
        </w:tc>
        <w:tc>
          <w:tcPr>
            <w:tcW w:w="48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Work instructions are received and confirmed according to standard operating procedures</w:t>
            </w:r>
          </w:p>
          <w:p w:rsidR="00000000" w:rsidP="008D10B3">
            <w:pPr>
              <w:pStyle w:val="BodyText"/>
              <w:rPr>
                <w:lang w:val="en-NZ"/>
              </w:rPr>
            </w:pP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1.2</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Relevant requirements a</w:t>
            </w:r>
            <w:r w:rsidRPr="008D10B3">
              <w:t xml:space="preserve">nd established procedures to be followed for the work to be performed are discussed with all persons to establish and confirm the work schedule </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1.3</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WHS/OHS, environmental and sustainable energy policies and procedures to be followed for the work to be </w:t>
            </w:r>
            <w:r w:rsidRPr="008D10B3">
              <w:t>performed are received and confirmed</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1.4</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Suggestions to assist with the assessing the operational capability of gas safety equipment on delivery vehicles are made to others involved in the work</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1.5</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Hazards are identified, WHS/OHS risks assessed and control measures are prioritised, implemented and monitored including emergency exits kept clear according to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1.6</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Resources including equipment and tools are visually inspected an</w:t>
            </w:r>
            <w:r w:rsidRPr="008D10B3">
              <w:t>d personal protective equipment required for the job are obtained and in working order according to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1.7</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All components of the delivery vehicle and associated equipment are checked and the relevant responsibilities associated with </w:t>
            </w:r>
            <w:r w:rsidRPr="008D10B3">
              <w:t>First Aid and other related work safety procedures at the worksite are confirmed in accordance with requirements and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1.8</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Inspection procedures are carried out according to manufacturer's specifications and the work schedule for a</w:t>
            </w:r>
            <w:r w:rsidRPr="008D10B3">
              <w:t xml:space="preserve"> quality outcome and to minimise risk and damage to property, commerce and individuals in accordance with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Assess and identify and faults of gas and safety equipment on delivery vehicles</w:t>
            </w: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2.1</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WHS/OHS policies and procedures and safe work practices are followed to eliminate or minimise incidents and hazards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2.2</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Lifting, climbing, working aloft, and use of tools, techniques and practices are safely followed in accordance with given instruction</w:t>
            </w:r>
            <w:r w:rsidRPr="008D10B3">
              <w:t>s and according to requirements confirmed to eliminate the prospects of incidents</w:t>
            </w:r>
          </w:p>
        </w:tc>
      </w:tr>
      <w:tr w:rsidTr="008D10B3">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2.3</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Operational knowledge for the assessing of the operational capability of gas safety equipment on delivery vehicles is confirmed to ensure completion in an agreed timef</w:t>
            </w:r>
            <w:r w:rsidRPr="008D10B3">
              <w:t>rame and to quality/ safety/ environmental standards according to requirements and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2.4</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Assessing the operational capability of gas safety equipment on delivery vehicles is carried out in accordance with requirements and given </w:t>
            </w:r>
            <w:r w:rsidRPr="008D10B3">
              <w:t xml:space="preserve">instructions and established procedures </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2.5</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Hazard warnings and safety signs are recognised and hazards and assessed WHS/OHS risks are reported to the immediate authorised persons for directions according to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2.6</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Non-routine ev</w:t>
            </w:r>
            <w:r w:rsidRPr="008D10B3">
              <w:t>ents are referred to the immediate authorised persons for directions according to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2.7</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Problems associated with the assessing of the operational capability of gas safety equipment on delivery vehicles are dealt with using acquired </w:t>
            </w:r>
            <w:r w:rsidRPr="008D10B3">
              <w:t xml:space="preserve">known solutions and skills related to routine procedures to ensure work instructions and established procedures </w:t>
            </w:r>
            <w:r w:rsidRPr="008D10B3">
              <w:t>are met</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2.8</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Records are maintained and ongoing checks of quality of the work are undertaken in accordance with given instructions and establi</w:t>
            </w:r>
            <w:r w:rsidRPr="008D10B3">
              <w:t>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Complete work and relevant documentation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3.1</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Work undertaken is checked against work schedule and anomalies reported to authorised persons in accordance with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3.2</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Accidents and incidents are actioned and reported to authorised persons in accordance with established procedures </w:t>
            </w:r>
          </w:p>
        </w:tc>
      </w:tr>
      <w:tr w:rsidTr="008D10B3">
        <w:tblPrEx>
          <w:tblW w:w="0" w:type="auto"/>
          <w:tblLayout w:type="fixed"/>
          <w:tblCellMar>
            <w:left w:w="62" w:type="dxa"/>
            <w:right w:w="62" w:type="dxa"/>
          </w:tblCellMar>
          <w:tblLook w:val="0000"/>
        </w:tblPrEx>
        <w:trPr>
          <w:trHeight w:val="29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3.3</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Work site is rehabilitated, cleaned up and made safe in accordance with given instructions and established procedures </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3.4</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Tools, equipment and any surplus resources and materials are, where appropriate, cleaned, checked and returned to storage in accordance with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3.5</w:t>
            </w:r>
          </w:p>
        </w:tc>
        <w:tc>
          <w:tcPr>
            <w:tcW w:w="48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Results of inspection and testing are accurately recorded and Appropriate persons are</w:t>
            </w:r>
            <w:r w:rsidRPr="008D10B3">
              <w:t xml:space="preserve"> notified of work completion according to established procedures</w:t>
            </w:r>
          </w:p>
        </w:tc>
      </w:tr>
      <w:tr w:rsidTr="008D10B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3.6</w:t>
            </w:r>
          </w:p>
        </w:tc>
        <w:tc>
          <w:tcPr>
            <w:tcW w:w="48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 xml:space="preserve">Clear reference is made to any items which may affect future operational outcomes and work completion records, report forms and data sheets are completed accurately in accordance with </w:t>
            </w:r>
            <w:r w:rsidRPr="008D10B3">
              <w:t>given instructions and established procedures</w:t>
            </w:r>
          </w:p>
        </w:tc>
      </w:tr>
    </w:tbl>
    <w:p w:rsidR="003A23A6" w:rsidP="008D10B3">
      <w:pPr>
        <w:pStyle w:val="BodyText"/>
      </w:pPr>
    </w:p>
    <w:p w:rsidR="003A23A6" w:rsidP="008D10B3">
      <w:pPr>
        <w:pStyle w:val="BodyText"/>
      </w:pPr>
    </w:p>
    <w:p w:rsidR="00000000" w:rsidRPr="008D10B3" w:rsidP="008D10B3">
      <w:pPr>
        <w:pStyle w:val="Heading1"/>
      </w:pPr>
      <w:bookmarkStart w:id="9" w:name="O_594043"/>
      <w:bookmarkEnd w:id="9"/>
      <w:r w:rsidRPr="008D10B3">
        <w:t>Required Skills and Knowledge</w:t>
      </w:r>
    </w:p>
    <w:tbl>
      <w:tblPr>
        <w:tblW w:w="0" w:type="auto"/>
        <w:tblLayout w:type="fixed"/>
        <w:tblCellMar>
          <w:left w:w="62" w:type="dxa"/>
          <w:right w:w="62" w:type="dxa"/>
        </w:tblCellMar>
        <w:tblLook w:val="0000"/>
      </w:tblPr>
      <w:tblGrid>
        <w:gridCol w:w="8398"/>
      </w:tblGrid>
      <w:tr w:rsidTr="003A23A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REQUIRED SKILLS AND KNOWLEDGE</w:t>
            </w:r>
          </w:p>
        </w:tc>
      </w:tr>
      <w:tr w:rsidTr="003A23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7)</w:t>
            </w:r>
            <w:r w:rsidRPr="008D10B3">
              <w:t xml:space="preserve"> </w:t>
            </w:r>
            <w:r w:rsidRPr="008D10B3">
              <w:rPr>
                <w:rStyle w:val="Emphasis"/>
              </w:rPr>
              <w:t>This describes the skills and knowledge and their level, required for this unit.</w:t>
            </w:r>
          </w:p>
        </w:tc>
      </w:tr>
      <w:tr w:rsidTr="003A23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Evidence shall show that knowledge has been acquired of safe working practices for assessing the operational capability of gas safety equipment on delivery vehicles in accordance with relevant legislation, codes, regulations and established procedures. .</w:t>
            </w:r>
          </w:p>
        </w:tc>
      </w:tr>
      <w:tr w:rsidTr="003A23A6">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All knowledge and skills detailed in this unit should be contextualised to current industry practices and technologies. The extent of the required skills and knowledge is provided below. It forms an integral part of this unit.</w:t>
            </w:r>
          </w:p>
        </w:tc>
      </w:tr>
      <w:tr w:rsidTr="003A23A6">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KS01-G622A</w:t>
            </w:r>
            <w:r w:rsidRPr="008D10B3">
              <w:rPr>
                <w:rStyle w:val="SpecialBold"/>
              </w:rPr>
              <w:tab/>
              <w:t>Operational capab</w:t>
            </w:r>
            <w:r w:rsidRPr="008D10B3">
              <w:rPr>
                <w:rStyle w:val="SpecialBold"/>
              </w:rPr>
              <w:t>ility of delivery vehicles</w:t>
            </w:r>
          </w:p>
        </w:tc>
      </w:tr>
      <w:tr w:rsidTr="003A23A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Evidence shall show an understanding of safe working practices for assessing the operational capability of gas safety equipment on delivery vehicles in accordance with relevant legislation, codes, regulations and es</w:t>
            </w:r>
            <w:r w:rsidRPr="008D10B3">
              <w:t>tablished procedures to an extent indicated by the following aspects:</w:t>
            </w:r>
          </w:p>
        </w:tc>
      </w:tr>
      <w:tr w:rsidTr="003A23A6">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 xml:space="preserve">T1. Relevant Australian Standards, guidelines and codes of practice </w:t>
            </w:r>
          </w:p>
          <w:p w:rsidR="00000000" w:rsidRPr="008D10B3" w:rsidP="008D10B3">
            <w:pPr>
              <w:pStyle w:val="BodyText"/>
            </w:pPr>
            <w:r w:rsidRPr="008D10B3">
              <w:t>T2. Relevant WHS/OHS policies and procedures.</w:t>
            </w:r>
          </w:p>
          <w:p w:rsidR="00000000" w:rsidRPr="008D10B3" w:rsidP="008D10B3">
            <w:pPr>
              <w:pStyle w:val="ListBullet"/>
            </w:pPr>
            <w:r w:rsidRPr="008D10B3">
              <w:t xml:space="preserve">Safety signs including workplace hazards and warnings </w:t>
            </w:r>
          </w:p>
          <w:p w:rsidR="00000000" w:rsidRPr="008D10B3" w:rsidP="008D10B3">
            <w:pPr>
              <w:pStyle w:val="BodyText"/>
            </w:pPr>
            <w:r w:rsidRPr="008D10B3">
              <w:t>T3. Gaseous fu</w:t>
            </w:r>
            <w:r w:rsidRPr="008D10B3">
              <w:t>el bulk tankers</w:t>
            </w:r>
          </w:p>
          <w:p w:rsidR="00000000" w:rsidRPr="008D10B3" w:rsidP="008D10B3">
            <w:pPr>
              <w:pStyle w:val="ListBullet"/>
            </w:pPr>
            <w:r w:rsidRPr="008D10B3">
              <w:t>Requirements</w:t>
            </w:r>
          </w:p>
          <w:p w:rsidR="00000000" w:rsidRPr="008D10B3" w:rsidP="008D10B3">
            <w:pPr>
              <w:pStyle w:val="ListBullet"/>
            </w:pPr>
            <w:r w:rsidRPr="008D10B3">
              <w:t>Types, construction, size, valves, labelling, Material Safety Data Sheets (MSDS)</w:t>
            </w:r>
          </w:p>
          <w:p w:rsidR="00000000" w:rsidRPr="008D10B3" w:rsidP="008D10B3">
            <w:pPr>
              <w:pStyle w:val="ListBullet"/>
            </w:pPr>
            <w:r w:rsidRPr="008D10B3">
              <w:t>Testing and inspection procedures</w:t>
            </w:r>
          </w:p>
          <w:p w:rsidR="00000000" w:rsidRPr="008D10B3" w:rsidP="008D10B3">
            <w:pPr>
              <w:pStyle w:val="BodyText"/>
            </w:pPr>
            <w:r w:rsidRPr="008D10B3">
              <w:t>T4. Tanker gaseous fuel transfer systems</w:t>
            </w:r>
          </w:p>
          <w:p w:rsidR="00000000" w:rsidRPr="008D10B3" w:rsidP="008D10B3">
            <w:pPr>
              <w:pStyle w:val="ListBullet"/>
            </w:pPr>
            <w:r w:rsidRPr="008D10B3">
              <w:t>Requirements, applications, methods, procedures</w:t>
            </w:r>
          </w:p>
          <w:p w:rsidR="00000000" w:rsidRPr="008D10B3" w:rsidP="008D10B3">
            <w:pPr>
              <w:pStyle w:val="ListBullet"/>
            </w:pPr>
            <w:r w:rsidRPr="008D10B3">
              <w:t>Equipment/tools</w:t>
            </w:r>
          </w:p>
          <w:p w:rsidR="00000000" w:rsidRPr="008D10B3" w:rsidP="008D10B3">
            <w:pPr>
              <w:pStyle w:val="ListBullet2"/>
            </w:pPr>
            <w:r w:rsidRPr="008D10B3">
              <w:t>Types, selection, manufacturers specifications/instructions, testing, set up, adjusting</w:t>
            </w:r>
          </w:p>
          <w:p w:rsidR="00000000" w:rsidRPr="008D10B3" w:rsidP="008D10B3">
            <w:pPr>
              <w:pStyle w:val="ListBullet2"/>
            </w:pPr>
            <w:r w:rsidRPr="008D10B3">
              <w:t>Compressors, pumps</w:t>
            </w:r>
          </w:p>
          <w:p w:rsidR="00000000" w:rsidRPr="008D10B3" w:rsidP="008D10B3">
            <w:pPr>
              <w:pStyle w:val="ListBullet2"/>
            </w:pPr>
            <w:r w:rsidRPr="008D10B3">
              <w:t>Pipes and hoses</w:t>
            </w:r>
          </w:p>
          <w:p w:rsidR="00000000" w:rsidRPr="008D10B3" w:rsidP="008D10B3">
            <w:pPr>
              <w:pStyle w:val="ListBullet"/>
            </w:pPr>
            <w:r w:rsidRPr="008D10B3">
              <w:t>Safety systems and equipment</w:t>
            </w:r>
          </w:p>
          <w:p w:rsidR="00000000" w:rsidRPr="008D10B3" w:rsidP="008D10B3">
            <w:pPr>
              <w:pStyle w:val="ListBullet"/>
            </w:pPr>
            <w:r w:rsidRPr="008D10B3">
              <w:t xml:space="preserve">Monitoring, testing, inspection and reporting procedures and requirements </w:t>
            </w:r>
          </w:p>
          <w:p w:rsidR="00000000" w:rsidRPr="008D10B3" w:rsidP="008D10B3">
            <w:pPr>
              <w:pStyle w:val="ListBullet"/>
            </w:pPr>
            <w:r w:rsidRPr="008D10B3">
              <w:t>Manufacturer's specification</w:t>
            </w:r>
            <w:r w:rsidRPr="008D10B3">
              <w:t>s and standard adjustments to equipment</w:t>
            </w:r>
          </w:p>
          <w:p w:rsidR="00000000" w:rsidRPr="008D10B3" w:rsidP="008D10B3">
            <w:pPr>
              <w:pStyle w:val="ListBullet"/>
            </w:pPr>
            <w:r w:rsidRPr="008D10B3">
              <w:t>Identifying variations and irregularities</w:t>
            </w:r>
          </w:p>
          <w:p w:rsidR="00000000" w:rsidRPr="008D10B3" w:rsidP="008D10B3">
            <w:pPr>
              <w:pStyle w:val="ListBullet"/>
            </w:pPr>
            <w:r w:rsidRPr="008D10B3">
              <w:t>Making analytical judgments for appropriate adjustments to equipment</w:t>
            </w:r>
          </w:p>
          <w:p w:rsidR="00000000" w:rsidRPr="008D10B3" w:rsidP="008D10B3">
            <w:pPr>
              <w:pStyle w:val="ListBullet"/>
            </w:pPr>
            <w:r w:rsidRPr="008D10B3">
              <w:t>Gas alarm and communication equipment</w:t>
            </w:r>
          </w:p>
          <w:p w:rsidR="00000000" w:rsidRPr="008D10B3" w:rsidP="008D10B3">
            <w:pPr>
              <w:pStyle w:val="ListBullet"/>
            </w:pPr>
            <w:r w:rsidRPr="008D10B3">
              <w:t>Ignition prevention/control</w:t>
            </w:r>
          </w:p>
          <w:p w:rsidR="00000000" w:rsidRPr="008D10B3" w:rsidP="008D10B3">
            <w:pPr>
              <w:pStyle w:val="ListBullet"/>
            </w:pPr>
            <w:r w:rsidRPr="008D10B3">
              <w:t>Leak testing requirements, types, procedures, required equipment/tools</w:t>
            </w:r>
          </w:p>
          <w:p w:rsidR="00000000" w:rsidRPr="008D10B3" w:rsidP="008D10B3">
            <w:pPr>
              <w:pStyle w:val="BodyText"/>
            </w:pPr>
            <w:r w:rsidRPr="008D10B3">
              <w:t>T5. Personal Protection Equipment</w:t>
            </w:r>
          </w:p>
          <w:p w:rsidR="00000000" w:rsidRPr="008D10B3" w:rsidP="008D10B3">
            <w:pPr>
              <w:pStyle w:val="ListBullet"/>
            </w:pPr>
            <w:r w:rsidRPr="008D10B3">
              <w:t xml:space="preserve">Types, application, checking, maintenance and storage </w:t>
            </w:r>
          </w:p>
          <w:p w:rsidR="00000000" w:rsidRPr="008D10B3" w:rsidP="008D10B3">
            <w:pPr>
              <w:pStyle w:val="BodyText"/>
            </w:pPr>
            <w:r w:rsidRPr="008D10B3">
              <w:t>T6. Hazard identification, risk assessment and control</w:t>
            </w:r>
          </w:p>
          <w:p w:rsidR="00000000" w:rsidRPr="008D10B3" w:rsidP="008D10B3">
            <w:pPr>
              <w:pStyle w:val="ListBullet"/>
            </w:pPr>
            <w:r w:rsidRPr="008D10B3">
              <w:t>Work Permits, JHA’s, JSA’s, JSEA’s, SWM</w:t>
            </w:r>
            <w:r w:rsidRPr="008D10B3">
              <w:t>’s, etc.</w:t>
            </w:r>
          </w:p>
          <w:p w:rsidR="00000000" w:rsidRPr="008D10B3" w:rsidP="008D10B3">
            <w:pPr>
              <w:pStyle w:val="ListBullet"/>
            </w:pPr>
            <w:r w:rsidRPr="008D10B3">
              <w:t>Use of spill kits and PPE</w:t>
            </w:r>
          </w:p>
          <w:p w:rsidR="00000000" w:rsidRPr="008D10B3" w:rsidP="008D10B3">
            <w:pPr>
              <w:pStyle w:val="BodyText"/>
            </w:pPr>
            <w:r w:rsidRPr="008D10B3">
              <w:t>T7. Manual handling</w:t>
            </w:r>
          </w:p>
          <w:p w:rsidR="00000000" w:rsidRPr="008D10B3" w:rsidP="008D10B3">
            <w:pPr>
              <w:pStyle w:val="ListBullet"/>
            </w:pPr>
            <w:r w:rsidRPr="008D10B3">
              <w:t xml:space="preserve">Characteristics, types, techniques </w:t>
            </w:r>
          </w:p>
          <w:p w:rsidR="00000000" w:rsidRPr="008D10B3" w:rsidP="008D10B3">
            <w:pPr>
              <w:pStyle w:val="BodyText"/>
            </w:pPr>
            <w:r w:rsidRPr="008D10B3">
              <w:t>T8. Accidents and emergency</w:t>
            </w:r>
          </w:p>
          <w:p w:rsidR="00000000" w:rsidRPr="008D10B3" w:rsidP="008D10B3">
            <w:pPr>
              <w:pStyle w:val="ListBullet"/>
            </w:pPr>
            <w:r w:rsidRPr="008D10B3">
              <w:t xml:space="preserve">Types: fire, gas leak </w:t>
            </w:r>
          </w:p>
          <w:p w:rsidR="00000000" w:rsidRPr="008D10B3" w:rsidP="008D10B3">
            <w:pPr>
              <w:pStyle w:val="ListBullet"/>
            </w:pPr>
            <w:r w:rsidRPr="008D10B3">
              <w:t xml:space="preserve">Emergency response equipment and procedures </w:t>
            </w:r>
          </w:p>
          <w:p w:rsidR="00000000" w:rsidRPr="008D10B3" w:rsidP="008D10B3">
            <w:pPr>
              <w:pStyle w:val="ListBullet2"/>
            </w:pPr>
            <w:r w:rsidRPr="008D10B3">
              <w:t>breathing apparatus</w:t>
            </w:r>
          </w:p>
          <w:p w:rsidR="00000000" w:rsidRPr="008D10B3" w:rsidP="008D10B3">
            <w:pPr>
              <w:pStyle w:val="ListBullet2"/>
            </w:pPr>
            <w:r w:rsidRPr="008D10B3">
              <w:t>gas detectors/oxygen monitoring devices</w:t>
            </w:r>
          </w:p>
          <w:p w:rsidR="00000000" w:rsidRPr="008D10B3" w:rsidP="008D10B3">
            <w:pPr>
              <w:pStyle w:val="ListBullet2"/>
            </w:pPr>
            <w:r w:rsidRPr="008D10B3">
              <w:t>compliance requirements</w:t>
            </w:r>
          </w:p>
          <w:p w:rsidR="00000000" w:rsidRPr="008D10B3" w:rsidP="008D10B3">
            <w:pPr>
              <w:pStyle w:val="ListBullet"/>
            </w:pPr>
            <w:r w:rsidRPr="008D10B3">
              <w:t>Emergency shutdown, fire protection and security requirements</w:t>
            </w:r>
          </w:p>
          <w:p w:rsidR="00000000" w:rsidRPr="008D10B3" w:rsidP="008D10B3">
            <w:pPr>
              <w:pStyle w:val="ListBullet"/>
            </w:pPr>
            <w:r w:rsidRPr="008D10B3">
              <w:t>Reporting</w:t>
            </w:r>
          </w:p>
          <w:p w:rsidR="00000000" w:rsidRPr="008D10B3" w:rsidP="008D10B3">
            <w:pPr>
              <w:pStyle w:val="BodyText"/>
            </w:pPr>
            <w:r w:rsidRPr="008D10B3">
              <w:t>T9. Organisation's policies, quality requirements, specifications, forms and reports for work activities</w:t>
            </w:r>
          </w:p>
        </w:tc>
      </w:tr>
    </w:tbl>
    <w:p w:rsidR="003A23A6" w:rsidP="008D10B3">
      <w:pPr>
        <w:pStyle w:val="BodyText"/>
      </w:pPr>
    </w:p>
    <w:p w:rsidR="003A23A6" w:rsidP="008D10B3">
      <w:pPr>
        <w:pStyle w:val="BodyText"/>
      </w:pPr>
    </w:p>
    <w:p w:rsidR="00000000" w:rsidRPr="008D10B3" w:rsidP="008D10B3">
      <w:pPr>
        <w:pStyle w:val="Heading1"/>
      </w:pPr>
      <w:bookmarkStart w:id="10" w:name="O_594044"/>
      <w:bookmarkEnd w:id="10"/>
      <w:r w:rsidRPr="008D10B3">
        <w:t>Evidence Guide</w:t>
      </w:r>
    </w:p>
    <w:tbl>
      <w:tblPr>
        <w:tblW w:w="0" w:type="auto"/>
        <w:tblLayout w:type="fixed"/>
        <w:tblCellMar>
          <w:left w:w="62" w:type="dxa"/>
          <w:right w:w="62" w:type="dxa"/>
        </w:tblCellMar>
        <w:tblLook w:val="0000"/>
      </w:tblPr>
      <w:tblGrid>
        <w:gridCol w:w="8398"/>
      </w:tblGrid>
      <w:tr w:rsidTr="008D10B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EVIDENCE GUIDE</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8)</w:t>
            </w:r>
            <w:r w:rsidRPr="008D10B3">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8D10B3" w:rsidP="008D10B3">
      <w:pPr>
        <w:pStyle w:val="BodyText"/>
      </w:pPr>
    </w:p>
    <w:tbl>
      <w:tblPr>
        <w:tblW w:w="0" w:type="auto"/>
        <w:tblLayout w:type="fixed"/>
        <w:tblCellMar>
          <w:left w:w="62" w:type="dxa"/>
          <w:right w:w="62" w:type="dxa"/>
        </w:tblCellMar>
        <w:tblLook w:val="0000"/>
      </w:tblPr>
      <w:tblGrid>
        <w:gridCol w:w="1828"/>
        <w:gridCol w:w="6570"/>
      </w:tblGrid>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8.1)</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Longitudinal competency development approaches to assessment, such as Profiling, require data to be reliably gathered in a form that can be consistently interpreted over time. This approach is best utilised in Apprenticeship programs and reduces ass</w:t>
            </w:r>
            <w:r w:rsidRPr="008D10B3">
              <w:t>essment intervention. It is the Industry’s preferred model for apprenticeships. However, where summative (or final) assessment is used it is to include the application of the competency in the normal work environment or, at a minimum, the application of th</w:t>
            </w:r>
            <w:r w:rsidRPr="008D10B3">
              <w:t>e competency in a realistically simulated work environment. It is recognised that, in some circumstances, assessment in part or full can occur outside the workplace. However, it must be in accord with Industry and Regulatory policy in this regard.</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Method</w:t>
            </w:r>
            <w:r w:rsidRPr="008D10B3">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8D10B3">
              <w:t>may be required and the critical nature of the competencies being assessed.</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The critical safety nature of working with electricity, electrical equipment, gas or any other hazardous substance/material carries risk in deeming a person competent. Hence, sou</w:t>
            </w:r>
            <w:r w:rsidRPr="008D10B3">
              <w:t>rces of evidence need to be ‘rich’ in nature so as to minimise error in judgment.</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Activities associated with normal every day work have a bearing on the decision as to how much and how detailed the data gathered will contribute to its ‘richness’. Some sk</w:t>
            </w:r>
            <w:r w:rsidRPr="008D10B3">
              <w:t>ills are more critical to safety and operational requirements while the same skills may be more or less frequently practiced. These points are raised for the assessors to consider when choosing an assessment method and developing assessment instruments. Sa</w:t>
            </w:r>
            <w:r w:rsidRPr="008D10B3">
              <w:t>mple assessment instruments are included for Assessors in the Assessment Guidelines of this Training Package.</w:t>
            </w:r>
          </w:p>
        </w:tc>
      </w:tr>
    </w:tbl>
    <w:p w:rsidR="00000000" w:rsidRPr="008D10B3" w:rsidP="008D10B3">
      <w:pPr>
        <w:pStyle w:val="BodyText"/>
      </w:pPr>
    </w:p>
    <w:tbl>
      <w:tblPr>
        <w:tblW w:w="0" w:type="auto"/>
        <w:tblLayout w:type="fixed"/>
        <w:tblCellMar>
          <w:left w:w="62" w:type="dxa"/>
          <w:right w:w="62" w:type="dxa"/>
        </w:tblCellMar>
        <w:tblLook w:val="0000"/>
      </w:tblPr>
      <w:tblGrid>
        <w:gridCol w:w="1828"/>
        <w:gridCol w:w="6570"/>
      </w:tblGrid>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 xml:space="preserve">Critical aspects of evidence required to </w:t>
            </w:r>
            <w:r w:rsidRPr="008D10B3">
              <w:rPr>
                <w:rStyle w:val="SpecialBold"/>
              </w:rPr>
              <w:t>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8.2)</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Before the critical aspects of evidence are considered all prerequisites shall be met.</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Evidence for competence in this unit shall be considered holistically. Each element and associated Performance Criteria shall be demonstrated on at least two occasion</w:t>
            </w:r>
            <w:r w:rsidRPr="008D10B3">
              <w:t>s in accordance with the ‘Assessment Guidelines — UEG11’. Evidence shall also comprise:</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2"/>
              <w:rPr>
                <w:lang w:val="en-NZ"/>
              </w:rPr>
            </w:pPr>
            <w:r w:rsidRPr="008D10B3">
              <w:t>A representative body of work performance demonstrated within the timeframes typically expected of the discipline, work function and industrial environment. In parti</w:t>
            </w:r>
            <w:r w:rsidRPr="008D10B3">
              <w:t>cular this shall incorporate evidence that shows a candidate is able to:</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2"/>
              <w:rPr>
                <w:lang w:val="en-NZ"/>
              </w:rPr>
            </w:pPr>
            <w:r w:rsidRPr="008D10B3">
              <w:t>Implement Occupational Health and Safety workplace procedures and practices including the use of risk control measures as specified in the Performance Criteria and range</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2"/>
              <w:rPr>
                <w:lang w:val="en-NZ"/>
              </w:rPr>
            </w:pPr>
            <w:r w:rsidRPr="008D10B3">
              <w:t>Apply sustainable energy principles and practices as specified in the Performance Criteria and range</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2"/>
              <w:rPr>
                <w:lang w:val="en-NZ"/>
              </w:rPr>
            </w:pPr>
            <w:r w:rsidRPr="008D10B3">
              <w:t xml:space="preserve">Demonstrate an understanding of the required skills and knowledge as described in this unit to such an extent that the learner’s performance outcome is </w:t>
            </w:r>
            <w:r w:rsidRPr="008D10B3">
              <w:t>reported in accordance with the preferred approach; namely a percentile graded result, where required by the regulated environment</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2"/>
              <w:rPr>
                <w:lang w:val="en-NZ"/>
              </w:rPr>
            </w:pPr>
            <w:r w:rsidRPr="008D10B3">
              <w:t>Demonstrate an appropriate level of employability skills</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2"/>
              <w:rPr>
                <w:lang w:val="en-NZ"/>
              </w:rPr>
            </w:pPr>
            <w:r w:rsidRPr="008D10B3">
              <w:t>Conduct work observing the relevant Anti-discrimination legislation, regulations, polices and workplace procedures</w:t>
            </w:r>
          </w:p>
        </w:tc>
      </w:tr>
      <w:tr w:rsidTr="008D10B3">
        <w:tblPrEx>
          <w:tblW w:w="0" w:type="auto"/>
          <w:tblLayout w:type="fixed"/>
          <w:tblCellMar>
            <w:left w:w="62" w:type="dxa"/>
            <w:right w:w="62" w:type="dxa"/>
          </w:tblCellMar>
          <w:tblLook w:val="0000"/>
        </w:tblPrEx>
        <w:trPr>
          <w:trHeight w:val="522"/>
        </w:trPr>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D10B3" w:rsidP="008D10B3">
            <w:pPr>
              <w:pStyle w:val="ListBullet"/>
            </w:pPr>
            <w:r w:rsidRPr="008D10B3">
              <w:t xml:space="preserve">Demonstrate performance across a representative range of contexts from the prescribed items below. </w:t>
            </w:r>
          </w:p>
          <w:p w:rsidR="00000000" w:rsidRPr="008D10B3" w:rsidP="008D10B3">
            <w:pPr>
              <w:pStyle w:val="ListBullet2"/>
            </w:pPr>
            <w:r w:rsidRPr="008D10B3">
              <w:t xml:space="preserve">Safe working practices for assessing </w:t>
            </w:r>
            <w:r w:rsidRPr="008D10B3">
              <w:t>the operational capability of gas safety equipment on delivery vehicles in accordance with relevant legislation, codes, regulations and established procedures as described in 9.) Range Statement and including;</w:t>
            </w:r>
          </w:p>
        </w:tc>
      </w:tr>
    </w:tbl>
    <w:p w:rsidR="00000000" w:rsidRPr="008D10B3" w:rsidP="008D10B3">
      <w:pPr>
        <w:pStyle w:val="BodyText"/>
      </w:pPr>
    </w:p>
    <w:tbl>
      <w:tblPr>
        <w:tblW w:w="0" w:type="auto"/>
        <w:tblLayout w:type="fixed"/>
        <w:tblCellMar>
          <w:left w:w="62" w:type="dxa"/>
          <w:right w:w="62" w:type="dxa"/>
        </w:tblCellMar>
        <w:tblLook w:val="0000"/>
      </w:tblPr>
      <w:tblGrid>
        <w:gridCol w:w="1800"/>
        <w:gridCol w:w="810"/>
        <w:gridCol w:w="1080"/>
        <w:gridCol w:w="1800"/>
        <w:gridCol w:w="2880"/>
      </w:tblGrid>
      <w:tr w:rsidTr="003A23A6">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D10B3">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rPr>
                <w:rStyle w:val="SpecialBold"/>
              </w:rPr>
              <w:t>Range of tools/equipment/procedures/workplace</w:t>
            </w:r>
          </w:p>
        </w:tc>
      </w:tr>
      <w:tr w:rsidTr="003A23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D10B3">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B3" w:rsidP="008D10B3">
            <w:pPr>
              <w:pStyle w:val="BodyText"/>
            </w:pPr>
            <w:r w:rsidRPr="008D10B3">
              <w:rPr>
                <w:rStyle w:val="SpecialBold"/>
              </w:rPr>
              <w:t xml:space="preserve">Group </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B3" w:rsidP="008D10B3">
            <w:pPr>
              <w:pStyle w:val="BodyText"/>
            </w:pPr>
            <w:r w:rsidRPr="008D10B3">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rPr>
                <w:rStyle w:val="SpecialBold"/>
              </w:rPr>
              <w:t>Item List</w:t>
            </w:r>
          </w:p>
        </w:tc>
      </w:tr>
      <w:tr w:rsidTr="003A23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D10B3">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rPr>
                <w:rStyle w:val="SpecialBold"/>
              </w:rPr>
              <w:t>A. Equipment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t>At least 6</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B3" w:rsidP="008D10B3">
            <w:pPr>
              <w:pStyle w:val="ListBullet"/>
            </w:pPr>
            <w:r w:rsidRPr="008D10B3">
              <w:t>Tanks, valves and fittings</w:t>
            </w:r>
          </w:p>
          <w:p w:rsidR="00000000" w:rsidRPr="008D10B3" w:rsidP="008D10B3">
            <w:pPr>
              <w:pStyle w:val="ListBullet"/>
            </w:pPr>
            <w:r w:rsidRPr="008D10B3">
              <w:t>Seals and gaskets</w:t>
            </w:r>
          </w:p>
          <w:p w:rsidR="00000000" w:rsidRPr="008D10B3" w:rsidP="008D10B3">
            <w:pPr>
              <w:pStyle w:val="ListBullet"/>
            </w:pPr>
            <w:r w:rsidRPr="008D10B3">
              <w:t>Pump and drive shaft</w:t>
            </w:r>
          </w:p>
          <w:p w:rsidR="00000000" w:rsidRPr="008D10B3" w:rsidP="008D10B3">
            <w:pPr>
              <w:pStyle w:val="ListBullet"/>
            </w:pPr>
            <w:r w:rsidRPr="008D10B3">
              <w:t>Meters</w:t>
            </w:r>
          </w:p>
          <w:p w:rsidR="00000000" w:rsidRPr="008D10B3" w:rsidP="008D10B3">
            <w:pPr>
              <w:pStyle w:val="ListBullet"/>
            </w:pPr>
            <w:r w:rsidRPr="008D10B3">
              <w:t>Emergency equipment</w:t>
            </w:r>
          </w:p>
          <w:p w:rsidR="00000000" w:rsidRPr="008D10B3" w:rsidP="008D10B3">
            <w:pPr>
              <w:pStyle w:val="ListBullet"/>
            </w:pPr>
            <w:r w:rsidRPr="008D10B3">
              <w:t>Pipes</w:t>
            </w:r>
          </w:p>
          <w:p w:rsidR="00000000" w:rsidRPr="008D10B3" w:rsidP="008D10B3">
            <w:pPr>
              <w:pStyle w:val="ListBullet"/>
            </w:pPr>
            <w:r w:rsidRPr="008D10B3">
              <w:t>Pneumatic/electronic control equipment</w:t>
            </w:r>
          </w:p>
          <w:p w:rsidR="00000000" w:rsidRPr="008D10B3" w:rsidP="008D10B3">
            <w:pPr>
              <w:pStyle w:val="ListBullet"/>
            </w:pPr>
            <w:r w:rsidRPr="008D10B3">
              <w:t>Gauges</w:t>
            </w:r>
          </w:p>
          <w:p w:rsidR="00000000" w:rsidRPr="008D10B3" w:rsidP="008D10B3">
            <w:pPr>
              <w:pStyle w:val="ListBullet"/>
            </w:pPr>
            <w:r w:rsidRPr="008D10B3">
              <w:t>Hoses and connections including hose protection systems</w:t>
            </w:r>
          </w:p>
          <w:p w:rsidR="00000000" w:rsidRPr="008D10B3" w:rsidP="008D10B3">
            <w:pPr>
              <w:pStyle w:val="ListBullet"/>
            </w:pPr>
            <w:r w:rsidRPr="008D10B3">
              <w:t>Earthing straps</w:t>
            </w:r>
          </w:p>
          <w:p w:rsidR="00000000" w:rsidP="008D10B3">
            <w:pPr>
              <w:pStyle w:val="ListBullet"/>
              <w:rPr>
                <w:lang w:val="en-NZ"/>
              </w:rPr>
            </w:pPr>
            <w:r w:rsidRPr="008D10B3">
              <w:t>Hydraulic equipment</w:t>
            </w:r>
          </w:p>
        </w:tc>
      </w:tr>
      <w:tr w:rsidTr="003A23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D10B3">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rPr>
                <w:rStyle w:val="SpecialBold"/>
              </w:rPr>
              <w:t>B. Faults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t>At least 4</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B3" w:rsidP="008D10B3">
            <w:pPr>
              <w:pStyle w:val="ListBullet"/>
            </w:pPr>
            <w:r w:rsidRPr="008D10B3">
              <w:t>Water leaks</w:t>
            </w:r>
          </w:p>
          <w:p w:rsidR="00000000" w:rsidRPr="008D10B3" w:rsidP="008D10B3">
            <w:pPr>
              <w:pStyle w:val="ListBullet"/>
            </w:pPr>
            <w:r w:rsidRPr="008D10B3">
              <w:t>Oil leaks</w:t>
            </w:r>
          </w:p>
          <w:p w:rsidR="00000000" w:rsidRPr="008D10B3" w:rsidP="008D10B3">
            <w:pPr>
              <w:pStyle w:val="ListBullet"/>
            </w:pPr>
            <w:r w:rsidRPr="008D10B3">
              <w:t>Damaged hoses</w:t>
            </w:r>
          </w:p>
          <w:p w:rsidR="00000000" w:rsidRPr="008D10B3" w:rsidP="008D10B3">
            <w:pPr>
              <w:pStyle w:val="ListBullet"/>
            </w:pPr>
            <w:r w:rsidRPr="008D10B3">
              <w:t>Gas/air leaks</w:t>
            </w:r>
          </w:p>
          <w:p w:rsidR="00000000" w:rsidRPr="008D10B3" w:rsidP="008D10B3">
            <w:pPr>
              <w:pStyle w:val="ListBullet"/>
            </w:pPr>
            <w:r w:rsidRPr="008D10B3">
              <w:t>Valves not operating</w:t>
            </w:r>
          </w:p>
          <w:p w:rsidR="00000000" w:rsidP="008D10B3">
            <w:pPr>
              <w:pStyle w:val="ListBullet"/>
              <w:rPr>
                <w:lang w:val="en-NZ"/>
              </w:rPr>
            </w:pPr>
            <w:r w:rsidRPr="008D10B3">
              <w:t>Electric control cable damage</w:t>
            </w:r>
          </w:p>
        </w:tc>
      </w:tr>
      <w:tr w:rsidTr="003A23A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D10B3">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rPr>
                <w:rStyle w:val="SpecialBold"/>
              </w:rPr>
              <w:t>C. Work Practices</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B3" w:rsidP="008D10B3">
            <w:pPr>
              <w:pStyle w:val="ListBullet"/>
            </w:pPr>
            <w:r w:rsidRPr="008D10B3">
              <w:t>Work utilising relevant procedures</w:t>
            </w:r>
          </w:p>
          <w:p w:rsidR="00000000" w:rsidRPr="008D10B3" w:rsidP="008D10B3">
            <w:pPr>
              <w:pStyle w:val="ListBullet"/>
            </w:pPr>
            <w:r w:rsidRPr="008D10B3">
              <w:t>Maintain a safe and clean workplace</w:t>
            </w:r>
          </w:p>
          <w:p w:rsidR="00000000" w:rsidRPr="008D10B3" w:rsidP="008D10B3">
            <w:pPr>
              <w:pStyle w:val="ListBullet"/>
            </w:pPr>
            <w:r w:rsidRPr="008D10B3">
              <w:t>Work safely with hazardous materials and equipment</w:t>
            </w:r>
          </w:p>
          <w:p w:rsidR="00000000" w:rsidRPr="008D10B3" w:rsidP="008D10B3">
            <w:pPr>
              <w:pStyle w:val="ListBullet"/>
            </w:pPr>
            <w:r w:rsidRPr="008D10B3">
              <w:t>Apply safe manual handling techniques</w:t>
            </w:r>
          </w:p>
          <w:p w:rsidR="00000000" w:rsidRPr="008D10B3" w:rsidP="008D10B3">
            <w:pPr>
              <w:pStyle w:val="ListBullet"/>
            </w:pPr>
            <w:r w:rsidRPr="008D10B3">
              <w:t>Respond to emergency situations</w:t>
            </w:r>
          </w:p>
          <w:p w:rsidR="00000000" w:rsidRPr="008D10B3" w:rsidP="008D10B3">
            <w:pPr>
              <w:pStyle w:val="ListBullet"/>
            </w:pPr>
            <w:r w:rsidRPr="008D10B3">
              <w:t>Communicate effectively in the workplace</w:t>
            </w:r>
          </w:p>
          <w:p w:rsidR="00000000" w:rsidRPr="008D10B3" w:rsidP="008D10B3">
            <w:pPr>
              <w:pStyle w:val="ListBullet"/>
            </w:pPr>
            <w:r w:rsidRPr="008D10B3">
              <w:t>Apply basic planning skills</w:t>
            </w:r>
          </w:p>
          <w:p w:rsidR="00000000" w:rsidRPr="008D10B3" w:rsidP="008D10B3">
            <w:pPr>
              <w:pStyle w:val="ListBullet"/>
            </w:pPr>
            <w:r w:rsidRPr="008D10B3">
              <w:t>Identify and report faults</w:t>
            </w:r>
          </w:p>
          <w:p w:rsidR="00000000" w:rsidP="008D10B3">
            <w:pPr>
              <w:pStyle w:val="ListBullet"/>
              <w:rPr>
                <w:lang w:val="en-NZ"/>
              </w:rPr>
            </w:pPr>
            <w:r w:rsidRPr="008D10B3">
              <w:t>Operate equipment within its limitations</w:t>
            </w:r>
          </w:p>
        </w:tc>
      </w:tr>
      <w:tr w:rsidTr="003A23A6">
        <w:tblPrEx>
          <w:tblW w:w="0" w:type="auto"/>
          <w:tblLayout w:type="fixed"/>
          <w:tblCellMar>
            <w:left w:w="62" w:type="dxa"/>
            <w:right w:w="62" w:type="dxa"/>
          </w:tblCellMar>
          <w:tblLook w:val="0000"/>
        </w:tblPrEx>
        <w:trPr>
          <w:trHeight w:val="37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D10B3">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rPr>
                <w:rStyle w:val="SpecialBold"/>
              </w:rPr>
              <w:t>D. Unplanned event</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B3">
            <w:pPr>
              <w:pStyle w:val="BodyText"/>
              <w:rPr>
                <w:lang w:val="en-NZ"/>
              </w:rPr>
            </w:pPr>
            <w:r w:rsidRPr="008D10B3">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B3" w:rsidP="008D10B3">
            <w:pPr>
              <w:pStyle w:val="BodyText"/>
            </w:pPr>
            <w:r w:rsidRPr="008D10B3">
              <w:t>Deal with an unplanned event by drawing on required skills and knowledge to</w:t>
            </w:r>
            <w:r w:rsidRPr="008D10B3">
              <w:t xml:space="preserve"> provide appropriate solutions incorporated in the holistic assessment with the above listed items </w:t>
            </w:r>
          </w:p>
        </w:tc>
      </w:tr>
    </w:tbl>
    <w:p w:rsidR="00000000" w:rsidRPr="008D10B3" w:rsidP="008D10B3">
      <w:pPr>
        <w:pStyle w:val="BodyText"/>
      </w:pPr>
    </w:p>
    <w:tbl>
      <w:tblPr>
        <w:tblW w:w="0" w:type="auto"/>
        <w:tblLayout w:type="fixed"/>
        <w:tblCellMar>
          <w:left w:w="62" w:type="dxa"/>
          <w:right w:w="62" w:type="dxa"/>
        </w:tblCellMar>
        <w:tblLook w:val="0000"/>
      </w:tblPr>
      <w:tblGrid>
        <w:gridCol w:w="1828"/>
        <w:gridCol w:w="6570"/>
      </w:tblGrid>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8.3)</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This unit should be assessed as it relates to normal work practice using procedures, information and resources typical of a workplace. This should include:</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WHS/OHS policy and work procedures and instructions.</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Suitable work</w:t>
            </w:r>
            <w:r w:rsidRPr="008D10B3">
              <w:t xml:space="preserve"> environment, facilities, equipment and materials to undertake actual work as prescribed by this Competency Standard Unit.</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Appropriate environmental regulation and work practices.</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Appropriate organisational requirements.</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Appropriate work environme</w:t>
            </w:r>
            <w:r w:rsidRPr="008D10B3">
              <w:t>nt, equipment and tools.</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These should be part of the formal learning/assessment environment.</w:t>
            </w:r>
          </w:p>
          <w:p w:rsidR="00000000" w:rsidP="008D10B3">
            <w:pPr>
              <w:pStyle w:val="BodyText"/>
              <w:rPr>
                <w:lang w:val="en-NZ"/>
              </w:rPr>
            </w:pP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 xml:space="preserve">Assessment of this competency must also be undertaken in either an actual workplace or under a simulated work environment. </w:t>
            </w:r>
          </w:p>
          <w:p w:rsidR="00000000" w:rsidRPr="008D10B3" w:rsidP="008D10B3">
            <w:pPr>
              <w:pStyle w:val="BodyText"/>
            </w:pPr>
            <w:r w:rsidRPr="008D10B3">
              <w:t>Where simulation is considered a suitable strategy for assessment, conditions must be authentic and as far as possible reproduce and replicate the workplace and be consistent with the approved industry simulation policy.</w:t>
            </w:r>
          </w:p>
          <w:p w:rsidR="00000000" w:rsidRPr="008D10B3" w:rsidP="008D10B3">
            <w:pPr>
              <w:pStyle w:val="BodyText"/>
            </w:pPr>
            <w:r w:rsidRPr="008D10B3">
              <w:t>The resources used for assessment s</w:t>
            </w:r>
            <w:r w:rsidRPr="008D10B3">
              <w:t>hould reflect current industry practices in relation to locating, proving and protecting utility asset</w:t>
            </w:r>
          </w:p>
        </w:tc>
      </w:tr>
    </w:tbl>
    <w:p w:rsidR="00000000" w:rsidRPr="008D10B3" w:rsidP="008D10B3">
      <w:pPr>
        <w:pStyle w:val="BodyText"/>
      </w:pPr>
    </w:p>
    <w:tbl>
      <w:tblPr>
        <w:tblW w:w="0" w:type="auto"/>
        <w:tblLayout w:type="fixed"/>
        <w:tblCellMar>
          <w:left w:w="62" w:type="dxa"/>
          <w:right w:w="62" w:type="dxa"/>
        </w:tblCellMar>
        <w:tblLook w:val="0000"/>
      </w:tblPr>
      <w:tblGrid>
        <w:gridCol w:w="1828"/>
        <w:gridCol w:w="6570"/>
      </w:tblGrid>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8.4)</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This Competency Standard Unit shall be assessed by methods given in Volume 1, Part 3 ‘Assessment Guidelines’.</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Note: Competent performance with inherent safe working practices is expected in the Industry to which this Competency Standard Unit applies. This requires that the required Skills and Knowledge are assessed in a structured environment which is primarily in</w:t>
            </w:r>
            <w:r w:rsidRPr="008D10B3">
              <w:t>tended for learning/assessment and incorporates all necessary equipment and facilities for learners to develop and demonstrate the required skills and knowledge described in this unit.</w:t>
            </w:r>
          </w:p>
        </w:tc>
      </w:tr>
    </w:tbl>
    <w:p w:rsidR="00000000" w:rsidRPr="008D10B3" w:rsidP="008D10B3">
      <w:pPr>
        <w:pStyle w:val="BodyText"/>
      </w:pPr>
    </w:p>
    <w:tbl>
      <w:tblPr>
        <w:tblW w:w="0" w:type="auto"/>
        <w:tblLayout w:type="fixed"/>
        <w:tblCellMar>
          <w:left w:w="62" w:type="dxa"/>
          <w:right w:w="62" w:type="dxa"/>
        </w:tblCellMar>
        <w:tblLook w:val="0000"/>
      </w:tblPr>
      <w:tblGrid>
        <w:gridCol w:w="1828"/>
        <w:gridCol w:w="1858"/>
        <w:gridCol w:w="4684"/>
      </w:tblGrid>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8.5)</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There are no recommended concurrent assessments with this unit, however in some cases efficiencies may be gained in terms of learning and assessment effort being concurrently managed with allied Competency Standard Units where listed.</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UEGNSG133A</w:t>
            </w:r>
          </w:p>
        </w:tc>
        <w:tc>
          <w:tcPr>
            <w:tcW w:w="4684"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 xml:space="preserve">Comply </w:t>
            </w:r>
            <w:r w:rsidRPr="008D10B3">
              <w:t>with environmental policies and procedures in a utilities industry work environment</w:t>
            </w:r>
          </w:p>
        </w:tc>
      </w:tr>
      <w:tr w:rsidTr="008D10B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UEGNSG134A</w:t>
            </w:r>
          </w:p>
        </w:tc>
        <w:tc>
          <w:tcPr>
            <w:tcW w:w="4684"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Establish a utilities infrastructure work site</w:t>
            </w:r>
          </w:p>
        </w:tc>
      </w:tr>
    </w:tbl>
    <w:p w:rsidR="003A23A6" w:rsidP="008D10B3">
      <w:pPr>
        <w:pStyle w:val="BodyText"/>
      </w:pPr>
    </w:p>
    <w:p w:rsidR="003A23A6" w:rsidP="008D10B3">
      <w:pPr>
        <w:pStyle w:val="BodyText"/>
      </w:pPr>
    </w:p>
    <w:p w:rsidR="00000000" w:rsidRPr="008D10B3" w:rsidP="008D10B3">
      <w:pPr>
        <w:pStyle w:val="Heading1"/>
      </w:pPr>
      <w:bookmarkStart w:id="11" w:name="O_594045"/>
      <w:bookmarkEnd w:id="11"/>
      <w:r w:rsidRPr="008D10B3">
        <w:t>Range Statement</w:t>
      </w:r>
    </w:p>
    <w:tbl>
      <w:tblPr>
        <w:tblW w:w="0" w:type="auto"/>
        <w:tblLayout w:type="fixed"/>
        <w:tblCellMar>
          <w:left w:w="62" w:type="dxa"/>
          <w:right w:w="62" w:type="dxa"/>
        </w:tblCellMar>
        <w:tblLook w:val="0000"/>
      </w:tblPr>
      <w:tblGrid>
        <w:gridCol w:w="8398"/>
      </w:tblGrid>
      <w:tr w:rsidTr="008D10B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RANGE STATEMENT</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9)</w:t>
            </w:r>
            <w:r w:rsidRPr="008D10B3">
              <w:t xml:space="preserve"> </w:t>
            </w:r>
            <w:r w:rsidRPr="008D10B3">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This Competency Standard</w:t>
            </w:r>
            <w:r w:rsidRPr="008D10B3">
              <w:t xml:space="preserve"> Unit shall be demonstrated in relation to assessing the operational capability of gas safety equipment on delivery vehicles. Delivery vehicles include heavy rigid or heavy combination gaseous fuel bulk tankers.</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t>The following constants and variables inclu</w:t>
            </w:r>
            <w:r w:rsidRPr="008D10B3">
              <w:t>ded in the element/Performance Criteria in this unit are fully described in the Definitions Section of this volume and form an integral part of the Range Statement of this unit:</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Gas safety equipment</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Faults</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 xml:space="preserve">Standard operating procedures </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 xml:space="preserve">Appropriate persons </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 xml:space="preserve">Inspection and testing </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 xml:space="preserve">Delivery vehicles </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D10B3">
            <w:pPr>
              <w:pStyle w:val="ListBullet"/>
              <w:rPr>
                <w:lang w:val="en-NZ"/>
              </w:rPr>
            </w:pPr>
            <w:r w:rsidRPr="008D10B3">
              <w:t>Requirements</w:t>
            </w:r>
          </w:p>
        </w:tc>
      </w:tr>
      <w:tr w:rsidTr="008D10B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D10B3" w:rsidP="008D10B3">
            <w:pPr>
              <w:pStyle w:val="ListBullet"/>
            </w:pPr>
            <w:r w:rsidRPr="008D10B3">
              <w:t>Established procedures</w:t>
            </w:r>
          </w:p>
        </w:tc>
      </w:tr>
    </w:tbl>
    <w:p w:rsidR="003A23A6" w:rsidP="008D10B3">
      <w:pPr>
        <w:pStyle w:val="BodyText"/>
      </w:pPr>
    </w:p>
    <w:p w:rsidR="003A23A6" w:rsidP="008D10B3">
      <w:pPr>
        <w:pStyle w:val="BodyText"/>
      </w:pPr>
    </w:p>
    <w:p w:rsidR="00000000" w:rsidRPr="008D10B3" w:rsidP="008D10B3">
      <w:pPr>
        <w:pStyle w:val="Heading1"/>
      </w:pPr>
      <w:bookmarkStart w:id="12" w:name="O_594046"/>
      <w:bookmarkEnd w:id="12"/>
      <w:r w:rsidRPr="008D10B3">
        <w:t>Unit Sector(s)</w:t>
      </w:r>
    </w:p>
    <w:p w:rsidR="00000000" w:rsidRPr="008D10B3" w:rsidP="008D10B3">
      <w:pPr>
        <w:pStyle w:val="BodyText"/>
      </w:pPr>
      <w:r w:rsidRPr="008D10B3">
        <w:t>Not applicable.</w:t>
      </w:r>
    </w:p>
    <w:p w:rsidR="00000000" w:rsidRPr="008D10B3" w:rsidP="008D10B3">
      <w:pPr>
        <w:pStyle w:val="AllowPageBreak"/>
      </w:pPr>
    </w:p>
    <w:p w:rsidR="00000000" w:rsidRPr="008D10B3" w:rsidP="008D10B3">
      <w:pPr>
        <w:pStyle w:val="Heading1"/>
      </w:pPr>
      <w:bookmarkStart w:id="13" w:name="O_594047"/>
      <w:bookmarkEnd w:id="13"/>
      <w:r w:rsidRPr="008D10B3">
        <w:t>Competency Field</w:t>
      </w:r>
    </w:p>
    <w:tbl>
      <w:tblPr>
        <w:tblW w:w="0" w:type="auto"/>
        <w:tblLayout w:type="fixed"/>
        <w:tblCellMar>
          <w:left w:w="62" w:type="dxa"/>
          <w:right w:w="62" w:type="dxa"/>
        </w:tblCellMar>
        <w:tblLook w:val="0000"/>
      </w:tblPr>
      <w:tblGrid>
        <w:gridCol w:w="2638"/>
        <w:gridCol w:w="5760"/>
      </w:tblGrid>
      <w:tr w:rsidTr="008D10B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D10B3">
            <w:pPr>
              <w:pStyle w:val="BodyText"/>
              <w:rPr>
                <w:lang w:val="en-NZ"/>
              </w:rPr>
            </w:pPr>
            <w:r w:rsidRPr="008D10B3">
              <w:rPr>
                <w:rStyle w:val="SpecialBold"/>
              </w:rPr>
              <w:t xml:space="preserve">11) </w:t>
            </w:r>
          </w:p>
        </w:tc>
      </w:tr>
      <w:tr w:rsidTr="008D10B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10B3" w:rsidP="008D10B3">
            <w:pPr>
              <w:pStyle w:val="BodyText"/>
            </w:pPr>
            <w:r w:rsidRPr="008D10B3">
              <w:t>LPG</w:t>
            </w:r>
          </w:p>
        </w:tc>
      </w:tr>
    </w:tbl>
    <w:p w:rsidR="003A23A6" w:rsidP="008D10B3">
      <w:pPr>
        <w:pStyle w:val="BodyText"/>
      </w:pPr>
    </w:p>
    <w:p w:rsidR="003A23A6" w:rsidP="008D10B3">
      <w:pPr>
        <w:pStyle w:val="BodyText"/>
      </w:pPr>
    </w:p>
    <w:p w:rsidR="00000000" w:rsidRPr="008D10B3" w:rsidP="008D10B3"/>
    <w:sectPr w:rsidSect="008D1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3" w:rsidRPr="003A23A6" w:rsidP="003A2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A6" w:rsidP="008D1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A23A6" w:rsidP="008D10B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A23A6" w:rsidP="008D1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3" w:rsidRPr="003A23A6" w:rsidP="003A23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A6" w:rsidRPr="002D2AF8" w:rsidP="008D10B3">
    <w:pPr>
      <w:pStyle w:val="Header"/>
      <w:framePr w:wrap="around"/>
    </w:pPr>
    <w:r>
      <w:fldChar w:fldCharType="begin"/>
    </w:r>
    <w:r>
      <w:instrText xml:space="preserve"> TITLE   \* MERGEFORMAT </w:instrText>
    </w:r>
    <w:r>
      <w:fldChar w:fldCharType="separate"/>
    </w:r>
    <w:r>
      <w:t>UEGNSG622A Assess the operational capability of gas safety equipment on a delivery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3A23A6" w:rsidP="008D1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12D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2A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C9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0B3"/>
    <w:pPr>
      <w:spacing w:before="360" w:after="60"/>
      <w:outlineLvl w:val="0"/>
    </w:pPr>
    <w:rPr>
      <w:sz w:val="32"/>
    </w:rPr>
  </w:style>
  <w:style w:type="paragraph" w:styleId="Heading2">
    <w:name w:val="heading 2"/>
    <w:basedOn w:val="HeadingBase"/>
    <w:next w:val="BodyText"/>
    <w:link w:val="Heading2Char"/>
    <w:qFormat/>
    <w:rsid w:val="008D10B3"/>
    <w:pPr>
      <w:keepLines/>
      <w:spacing w:before="240" w:after="120"/>
      <w:outlineLvl w:val="1"/>
    </w:pPr>
    <w:rPr>
      <w:sz w:val="28"/>
      <w:szCs w:val="40"/>
    </w:rPr>
  </w:style>
  <w:style w:type="paragraph" w:styleId="Heading3">
    <w:name w:val="heading 3"/>
    <w:basedOn w:val="HeadingBase"/>
    <w:next w:val="BodyText"/>
    <w:link w:val="Heading3Char"/>
    <w:qFormat/>
    <w:rsid w:val="008D10B3"/>
    <w:pPr>
      <w:spacing w:before="180" w:after="120"/>
      <w:outlineLvl w:val="2"/>
    </w:pPr>
    <w:rPr>
      <w:spacing w:val="-10"/>
      <w:kern w:val="32"/>
    </w:rPr>
  </w:style>
  <w:style w:type="paragraph" w:styleId="Heading4">
    <w:name w:val="heading 4"/>
    <w:basedOn w:val="HeadingBase"/>
    <w:next w:val="BodyText"/>
    <w:link w:val="Heading4Char"/>
    <w:qFormat/>
    <w:rsid w:val="008D10B3"/>
    <w:pPr>
      <w:spacing w:before="160" w:after="120"/>
      <w:outlineLvl w:val="3"/>
    </w:pPr>
    <w:rPr>
      <w:sz w:val="22"/>
    </w:rPr>
  </w:style>
  <w:style w:type="paragraph" w:styleId="Heading5">
    <w:name w:val="heading 5"/>
    <w:basedOn w:val="HeadingBase"/>
    <w:next w:val="Normal"/>
    <w:link w:val="Heading5Char"/>
    <w:qFormat/>
    <w:rsid w:val="008D10B3"/>
    <w:pPr>
      <w:spacing w:before="80"/>
      <w:outlineLvl w:val="4"/>
    </w:pPr>
    <w:rPr>
      <w:color w:val="918585"/>
      <w:sz w:val="20"/>
    </w:rPr>
  </w:style>
  <w:style w:type="paragraph" w:styleId="Heading6">
    <w:name w:val="heading 6"/>
    <w:basedOn w:val="HeadingBase"/>
    <w:next w:val="Normal"/>
    <w:link w:val="Heading6Char"/>
    <w:qFormat/>
    <w:rsid w:val="008D10B3"/>
    <w:pPr>
      <w:spacing w:before="60"/>
      <w:outlineLvl w:val="5"/>
    </w:pPr>
    <w:rPr>
      <w:color w:val="918585"/>
      <w:sz w:val="20"/>
    </w:rPr>
  </w:style>
  <w:style w:type="paragraph" w:styleId="Heading7">
    <w:name w:val="heading 7"/>
    <w:basedOn w:val="Normal"/>
    <w:next w:val="Normal"/>
    <w:link w:val="Heading7Char"/>
    <w:qFormat/>
    <w:rsid w:val="008D10B3"/>
    <w:pPr>
      <w:ind w:left="720"/>
      <w:outlineLvl w:val="6"/>
    </w:pPr>
    <w:rPr>
      <w:i/>
    </w:rPr>
  </w:style>
  <w:style w:type="paragraph" w:styleId="Heading8">
    <w:name w:val="heading 8"/>
    <w:basedOn w:val="Normal"/>
    <w:next w:val="Normal"/>
    <w:link w:val="Heading8Char"/>
    <w:qFormat/>
    <w:rsid w:val="008D10B3"/>
    <w:pPr>
      <w:ind w:left="720"/>
      <w:outlineLvl w:val="7"/>
    </w:pPr>
    <w:rPr>
      <w:i/>
    </w:rPr>
  </w:style>
  <w:style w:type="paragraph" w:styleId="Heading9">
    <w:name w:val="heading 9"/>
    <w:basedOn w:val="Normal"/>
    <w:next w:val="Normal"/>
    <w:link w:val="Heading9Char"/>
    <w:qFormat/>
    <w:rsid w:val="008D10B3"/>
    <w:pPr>
      <w:ind w:left="720"/>
      <w:outlineLvl w:val="8"/>
    </w:pPr>
    <w:rPr>
      <w:i/>
    </w:rPr>
  </w:style>
  <w:style w:type="character" w:default="1" w:styleId="DefaultParagraphFont">
    <w:name w:val="Default Paragraph Font"/>
    <w:uiPriority w:val="1"/>
    <w:unhideWhenUsed/>
    <w:rsid w:val="008D1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0B3"/>
  </w:style>
  <w:style w:type="character" w:customStyle="1" w:styleId="Heading1Char">
    <w:name w:val="Heading 1 Char"/>
    <w:basedOn w:val="DefaultParagraphFont"/>
    <w:link w:val="Heading1"/>
    <w:rsid w:val="008D10B3"/>
    <w:rPr>
      <w:rFonts w:ascii="Times New Roman" w:eastAsia="Times New Roman" w:hAnsi="Times New Roman" w:cs="Times New Roman"/>
      <w:b/>
      <w:sz w:val="32"/>
      <w:szCs w:val="20"/>
      <w:lang w:eastAsia="en-US"/>
    </w:rPr>
  </w:style>
  <w:style w:type="paragraph" w:styleId="BodyText">
    <w:name w:val="Body Text"/>
    <w:basedOn w:val="Normal"/>
    <w:link w:val="BodyTextChar"/>
    <w:rsid w:val="008D1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0B3"/>
    <w:rPr>
      <w:rFonts w:ascii="Times New Roman" w:eastAsia="Times New Roman" w:hAnsi="Times New Roman" w:cs="Times New Roman"/>
      <w:sz w:val="24"/>
      <w:lang w:eastAsia="en-US"/>
    </w:rPr>
  </w:style>
  <w:style w:type="paragraph" w:styleId="ListBullet">
    <w:name w:val="List Bullet"/>
    <w:basedOn w:val="List"/>
    <w:rsid w:val="008D10B3"/>
    <w:pPr>
      <w:numPr>
        <w:numId w:val="13"/>
      </w:numPr>
      <w:tabs>
        <w:tab w:val="clear" w:pos="340"/>
      </w:tabs>
      <w:spacing w:before="40" w:after="40"/>
    </w:pPr>
  </w:style>
  <w:style w:type="character" w:customStyle="1" w:styleId="SpecialBold">
    <w:name w:val="Special Bold"/>
    <w:basedOn w:val="DefaultParagraphFont"/>
    <w:rsid w:val="008D10B3"/>
    <w:rPr>
      <w:b/>
      <w:spacing w:val="0"/>
    </w:rPr>
  </w:style>
  <w:style w:type="paragraph" w:styleId="ListBullet2">
    <w:name w:val="List Bullet 2"/>
    <w:basedOn w:val="List2"/>
    <w:rsid w:val="008D10B3"/>
    <w:pPr>
      <w:numPr>
        <w:numId w:val="14"/>
      </w:numPr>
      <w:tabs>
        <w:tab w:val="clear" w:pos="680"/>
      </w:tabs>
    </w:pPr>
  </w:style>
  <w:style w:type="character" w:styleId="Emphasis">
    <w:name w:val="Emphasis"/>
    <w:basedOn w:val="DefaultParagraphFont"/>
    <w:qFormat/>
    <w:rsid w:val="008D10B3"/>
    <w:rPr>
      <w:i/>
    </w:rPr>
  </w:style>
  <w:style w:type="paragraph" w:customStyle="1" w:styleId="SuperHeading">
    <w:name w:val="SuperHeading"/>
    <w:basedOn w:val="Normal"/>
    <w:rsid w:val="008D10B3"/>
    <w:pPr>
      <w:spacing w:before="240" w:after="120"/>
      <w:outlineLvl w:val="0"/>
    </w:pPr>
    <w:rPr>
      <w:rFonts w:ascii="Times New Roman" w:hAnsi="Times New Roman"/>
      <w:b/>
      <w:sz w:val="32"/>
    </w:rPr>
  </w:style>
  <w:style w:type="paragraph" w:customStyle="1" w:styleId="AllowPageBreak">
    <w:name w:val="AllowPageBreak"/>
    <w:rsid w:val="008D1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0B3"/>
    <w:rPr>
      <w:rFonts w:ascii="Courier New" w:eastAsia="Times New Roman" w:hAnsi="Courier New" w:cs="Times New Roman"/>
      <w:i/>
      <w:szCs w:val="20"/>
      <w:lang w:eastAsia="en-US"/>
    </w:rPr>
  </w:style>
  <w:style w:type="paragraph" w:customStyle="1" w:styleId="HeadingBase">
    <w:name w:val="Heading Base"/>
    <w:rsid w:val="008D1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0B3"/>
    <w:pPr>
      <w:tabs>
        <w:tab w:val="right" w:leader="dot" w:pos="9072"/>
      </w:tabs>
      <w:ind w:left="567"/>
    </w:pPr>
    <w:rPr>
      <w:szCs w:val="22"/>
    </w:rPr>
  </w:style>
  <w:style w:type="paragraph" w:customStyle="1" w:styleId="TOCBase">
    <w:name w:val="TOC Base"/>
    <w:rsid w:val="008D1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0B3"/>
    <w:pPr>
      <w:tabs>
        <w:tab w:val="right" w:leader="dot" w:pos="9072"/>
      </w:tabs>
      <w:spacing w:before="40" w:after="40"/>
      <w:ind w:left="284"/>
    </w:pPr>
    <w:rPr>
      <w:rFonts w:ascii="Times New Roman" w:hAnsi="Times New Roman"/>
    </w:rPr>
  </w:style>
  <w:style w:type="paragraph" w:styleId="TOC1">
    <w:name w:val="toc 1"/>
    <w:basedOn w:val="TOCBase"/>
    <w:next w:val="Normal"/>
    <w:rsid w:val="008D1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0B3"/>
    <w:rPr>
      <w:rFonts w:ascii="Times New Roman" w:eastAsia="Times New Roman" w:hAnsi="Times New Roman" w:cs="Times New Roman"/>
      <w:sz w:val="16"/>
      <w:lang w:eastAsia="en-US"/>
    </w:rPr>
  </w:style>
  <w:style w:type="paragraph" w:styleId="Title">
    <w:name w:val="Title"/>
    <w:basedOn w:val="HeadingBase"/>
    <w:link w:val="TitleChar"/>
    <w:qFormat/>
    <w:rsid w:val="008D10B3"/>
    <w:pPr>
      <w:spacing w:before="5040"/>
      <w:jc w:val="center"/>
    </w:pPr>
    <w:rPr>
      <w:sz w:val="48"/>
      <w:szCs w:val="72"/>
      <w:lang w:val="en-US"/>
    </w:rPr>
  </w:style>
  <w:style w:type="character" w:customStyle="1" w:styleId="TitleChar">
    <w:name w:val="Title Char"/>
    <w:basedOn w:val="DefaultParagraphFont"/>
    <w:link w:val="Title"/>
    <w:rsid w:val="008D1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0B3"/>
    <w:pPr>
      <w:tabs>
        <w:tab w:val="left" w:pos="3600"/>
        <w:tab w:val="left" w:pos="3958"/>
      </w:tabs>
    </w:pPr>
  </w:style>
  <w:style w:type="paragraph" w:styleId="List">
    <w:name w:val="List"/>
    <w:basedOn w:val="BodyText"/>
    <w:next w:val="BodyText"/>
    <w:rsid w:val="008D10B3"/>
    <w:pPr>
      <w:tabs>
        <w:tab w:val="left" w:pos="340"/>
      </w:tabs>
      <w:spacing w:before="60" w:after="60"/>
      <w:ind w:left="340" w:hanging="340"/>
    </w:pPr>
  </w:style>
  <w:style w:type="paragraph" w:customStyle="1" w:styleId="Note">
    <w:name w:val="Note"/>
    <w:basedOn w:val="BodyText"/>
    <w:rsid w:val="008D1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0B3"/>
    <w:pPr>
      <w:framePr w:wrap="auto" w:hAnchor="text" w:y="6049"/>
    </w:pPr>
    <w:rPr>
      <w:color w:val="000000"/>
      <w:sz w:val="40"/>
    </w:rPr>
  </w:style>
  <w:style w:type="paragraph" w:customStyle="1" w:styleId="TOCTitle">
    <w:name w:val="TOCTitle"/>
    <w:basedOn w:val="Heading1"/>
    <w:rsid w:val="008D10B3"/>
    <w:pPr>
      <w:spacing w:after="240"/>
      <w:jc w:val="center"/>
      <w:outlineLvl w:val="9"/>
    </w:pPr>
    <w:rPr>
      <w:caps/>
    </w:rPr>
  </w:style>
  <w:style w:type="paragraph" w:customStyle="1" w:styleId="Version">
    <w:name w:val="Version"/>
    <w:rsid w:val="008D1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0B3"/>
    <w:pPr>
      <w:keepNext w:val="0"/>
      <w:tabs>
        <w:tab w:val="right" w:pos="4176"/>
      </w:tabs>
      <w:ind w:left="198" w:hanging="198"/>
    </w:pPr>
    <w:rPr>
      <w:rFonts w:ascii="Garamond" w:hAnsi="Garamond"/>
    </w:rPr>
  </w:style>
  <w:style w:type="paragraph" w:styleId="IndexHeading">
    <w:name w:val="index heading"/>
    <w:basedOn w:val="Normal"/>
    <w:next w:val="Index1"/>
    <w:semiHidden/>
    <w:rsid w:val="008D10B3"/>
    <w:pPr>
      <w:spacing w:before="120" w:after="120"/>
    </w:pPr>
    <w:rPr>
      <w:rFonts w:ascii="Arial" w:hAnsi="Arial"/>
      <w:b/>
      <w:color w:val="918585"/>
      <w:sz w:val="24"/>
    </w:rPr>
  </w:style>
  <w:style w:type="paragraph" w:styleId="Header">
    <w:name w:val="header"/>
    <w:basedOn w:val="Normal"/>
    <w:link w:val="HeaderChar"/>
    <w:rsid w:val="008D1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0B3"/>
    <w:rPr>
      <w:rFonts w:ascii="Times New Roman" w:eastAsia="Times New Roman" w:hAnsi="Times New Roman" w:cs="Times New Roman"/>
      <w:sz w:val="16"/>
      <w:szCs w:val="20"/>
      <w:lang w:val="en-GB" w:eastAsia="en-US"/>
    </w:rPr>
  </w:style>
  <w:style w:type="paragraph" w:customStyle="1" w:styleId="Chapter">
    <w:name w:val="Chapter"/>
    <w:basedOn w:val="Normal"/>
    <w:rsid w:val="008D10B3"/>
    <w:pPr>
      <w:spacing w:before="240"/>
    </w:pPr>
    <w:rPr>
      <w:rFonts w:ascii="Times New Roman" w:hAnsi="Times New Roman"/>
      <w:smallCaps/>
      <w:spacing w:val="80"/>
      <w:sz w:val="28"/>
    </w:rPr>
  </w:style>
  <w:style w:type="paragraph" w:customStyle="1" w:styleId="InChapter">
    <w:name w:val="InChapter"/>
    <w:basedOn w:val="Heading3"/>
    <w:rsid w:val="008D10B3"/>
    <w:pPr>
      <w:spacing w:after="240"/>
      <w:outlineLvl w:val="9"/>
    </w:pPr>
    <w:rPr>
      <w:noProof/>
    </w:rPr>
  </w:style>
  <w:style w:type="paragraph" w:styleId="Index2">
    <w:name w:val="index 2"/>
    <w:basedOn w:val="Normal"/>
    <w:next w:val="Normal"/>
    <w:semiHidden/>
    <w:rsid w:val="008D10B3"/>
    <w:pPr>
      <w:tabs>
        <w:tab w:val="right" w:pos="4176"/>
      </w:tabs>
      <w:ind w:left="568" w:hanging="284"/>
    </w:pPr>
    <w:rPr>
      <w:rFonts w:ascii="Garamond" w:hAnsi="Garamond"/>
    </w:rPr>
  </w:style>
  <w:style w:type="paragraph" w:customStyle="1" w:styleId="Byline">
    <w:name w:val="Byline"/>
    <w:rsid w:val="008D1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0B3"/>
    <w:pPr>
      <w:tabs>
        <w:tab w:val="clear" w:pos="3600"/>
        <w:tab w:val="clear" w:pos="3958"/>
      </w:tabs>
      <w:jc w:val="right"/>
    </w:pPr>
  </w:style>
  <w:style w:type="paragraph" w:styleId="Caption">
    <w:name w:val="caption"/>
    <w:basedOn w:val="BodyText"/>
    <w:next w:val="Normal"/>
    <w:qFormat/>
    <w:rsid w:val="008D10B3"/>
    <w:pPr>
      <w:framePr w:w="2268" w:hSpace="181" w:vSpace="181" w:wrap="around" w:vAnchor="text" w:hAnchor="page" w:x="1135" w:y="285" w:anchorLock="1"/>
    </w:pPr>
    <w:rPr>
      <w:i/>
    </w:rPr>
  </w:style>
  <w:style w:type="paragraph" w:customStyle="1" w:styleId="MiniTOCTitle">
    <w:name w:val="MiniTOCTitle"/>
    <w:basedOn w:val="Heading4"/>
    <w:rsid w:val="008D10B3"/>
    <w:pPr>
      <w:spacing w:before="240"/>
      <w:outlineLvl w:val="9"/>
    </w:pPr>
    <w:rPr>
      <w:noProof/>
      <w:sz w:val="24"/>
    </w:rPr>
  </w:style>
  <w:style w:type="paragraph" w:customStyle="1" w:styleId="MiniTOCItem">
    <w:name w:val="MiniTOCItem"/>
    <w:basedOn w:val="ListBullet"/>
    <w:rsid w:val="008D10B3"/>
    <w:pPr>
      <w:numPr>
        <w:numId w:val="0"/>
      </w:numPr>
      <w:tabs>
        <w:tab w:val="right" w:leader="dot" w:pos="6521"/>
      </w:tabs>
      <w:spacing w:before="0" w:after="0"/>
    </w:pPr>
  </w:style>
  <w:style w:type="paragraph" w:customStyle="1" w:styleId="TOFTitle">
    <w:name w:val="TOFTitle"/>
    <w:basedOn w:val="TOCTitle"/>
    <w:rsid w:val="008D10B3"/>
  </w:style>
  <w:style w:type="paragraph" w:styleId="TableofFigures">
    <w:name w:val="table of figures"/>
    <w:basedOn w:val="Normal"/>
    <w:next w:val="Normal"/>
    <w:semiHidden/>
    <w:rsid w:val="008D10B3"/>
    <w:pPr>
      <w:tabs>
        <w:tab w:val="right" w:leader="dot" w:pos="9072"/>
      </w:tabs>
      <w:ind w:left="970" w:hanging="403"/>
    </w:pPr>
    <w:rPr>
      <w:rFonts w:ascii="Times New Roman" w:hAnsi="Times New Roman"/>
      <w:b/>
    </w:rPr>
  </w:style>
  <w:style w:type="paragraph" w:styleId="ListNumber">
    <w:name w:val="List Number"/>
    <w:basedOn w:val="List"/>
    <w:rsid w:val="008D10B3"/>
    <w:pPr>
      <w:numPr>
        <w:numId w:val="11"/>
      </w:numPr>
    </w:pPr>
  </w:style>
  <w:style w:type="character" w:customStyle="1" w:styleId="WingdingSymbols">
    <w:name w:val="Wingding Symbols"/>
    <w:rsid w:val="008D10B3"/>
    <w:rPr>
      <w:rFonts w:ascii="Wingdings" w:hAnsi="Wingdings"/>
    </w:rPr>
  </w:style>
  <w:style w:type="paragraph" w:customStyle="1" w:styleId="TableHeading">
    <w:name w:val="Table Heading"/>
    <w:basedOn w:val="HeadingBase"/>
    <w:rsid w:val="008D10B3"/>
    <w:pPr>
      <w:keepLines/>
      <w:pBdr>
        <w:bottom w:val="single" w:sz="6" w:space="1" w:color="918585"/>
      </w:pBdr>
      <w:spacing w:before="240"/>
    </w:pPr>
  </w:style>
  <w:style w:type="character" w:customStyle="1" w:styleId="HotSpot">
    <w:name w:val="HotSpot"/>
    <w:rsid w:val="008D10B3"/>
    <w:rPr>
      <w:color w:val="0033CC"/>
      <w:u w:val="none"/>
    </w:rPr>
  </w:style>
  <w:style w:type="paragraph" w:customStyle="1" w:styleId="BodyTextRight">
    <w:name w:val="Body Text Right"/>
    <w:basedOn w:val="BodyText"/>
    <w:rsid w:val="008D10B3"/>
    <w:pPr>
      <w:spacing w:before="0" w:after="0"/>
      <w:jc w:val="right"/>
    </w:pPr>
  </w:style>
  <w:style w:type="paragraph" w:styleId="Index3">
    <w:name w:val="index 3"/>
    <w:basedOn w:val="ListNumber2"/>
    <w:next w:val="Normal"/>
    <w:semiHidden/>
    <w:rsid w:val="008D10B3"/>
    <w:pPr>
      <w:numPr>
        <w:numId w:val="0"/>
      </w:numPr>
      <w:tabs>
        <w:tab w:val="right" w:leader="dot" w:pos="4176"/>
      </w:tabs>
    </w:pPr>
  </w:style>
  <w:style w:type="paragraph" w:styleId="ListNumber2">
    <w:name w:val="List Number 2"/>
    <w:basedOn w:val="List2"/>
    <w:rsid w:val="008D10B3"/>
    <w:pPr>
      <w:numPr>
        <w:numId w:val="10"/>
      </w:numPr>
      <w:tabs>
        <w:tab w:val="clear" w:pos="1060"/>
      </w:tabs>
    </w:pPr>
  </w:style>
  <w:style w:type="paragraph" w:customStyle="1" w:styleId="MarginNote">
    <w:name w:val="Margin Note"/>
    <w:basedOn w:val="BodyText"/>
    <w:rsid w:val="008D1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0B3"/>
    <w:rPr>
      <w:sz w:val="32"/>
    </w:rPr>
  </w:style>
  <w:style w:type="paragraph" w:customStyle="1" w:styleId="HeadingProcedure">
    <w:name w:val="Heading Procedure"/>
    <w:basedOn w:val="HeadingBase"/>
    <w:next w:val="Normal"/>
    <w:rsid w:val="008D10B3"/>
    <w:pPr>
      <w:tabs>
        <w:tab w:val="left" w:pos="0"/>
      </w:tabs>
      <w:spacing w:before="120" w:after="60"/>
    </w:pPr>
    <w:rPr>
      <w:i/>
      <w:color w:val="918585"/>
      <w:sz w:val="22"/>
    </w:rPr>
  </w:style>
  <w:style w:type="paragraph" w:customStyle="1" w:styleId="TableBodyText">
    <w:name w:val="Table Body Text"/>
    <w:basedOn w:val="BodyText"/>
    <w:rsid w:val="008D10B3"/>
    <w:pPr>
      <w:spacing w:before="60" w:after="60"/>
    </w:pPr>
  </w:style>
  <w:style w:type="paragraph" w:styleId="ListContinue">
    <w:name w:val="List Continue"/>
    <w:basedOn w:val="List"/>
    <w:rsid w:val="008D10B3"/>
    <w:pPr>
      <w:ind w:firstLine="0"/>
    </w:pPr>
  </w:style>
  <w:style w:type="paragraph" w:customStyle="1" w:styleId="ListNote">
    <w:name w:val="List Note"/>
    <w:basedOn w:val="List"/>
    <w:rsid w:val="008D10B3"/>
    <w:pPr>
      <w:pBdr>
        <w:top w:val="single" w:sz="6" w:space="2" w:color="918585"/>
        <w:bottom w:val="single" w:sz="6" w:space="2" w:color="918585"/>
      </w:pBdr>
      <w:tabs>
        <w:tab w:val="left" w:pos="1021"/>
      </w:tabs>
      <w:ind w:firstLine="0"/>
    </w:pPr>
  </w:style>
  <w:style w:type="paragraph" w:customStyle="1" w:styleId="Warning">
    <w:name w:val="Warning"/>
    <w:basedOn w:val="BodyText"/>
    <w:rsid w:val="008D10B3"/>
    <w:pPr>
      <w:shd w:val="clear" w:color="auto" w:fill="D9D9D9"/>
      <w:tabs>
        <w:tab w:val="left" w:pos="992"/>
      </w:tabs>
      <w:ind w:left="119" w:right="119"/>
    </w:pPr>
    <w:rPr>
      <w:sz w:val="20"/>
    </w:rPr>
  </w:style>
  <w:style w:type="paragraph" w:customStyle="1" w:styleId="MarginIcons">
    <w:name w:val="Margin Icons"/>
    <w:basedOn w:val="BodyText"/>
    <w:rsid w:val="008D1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0B3"/>
    <w:rPr>
      <w:rFonts w:ascii="Courier New" w:hAnsi="Courier New"/>
    </w:rPr>
  </w:style>
  <w:style w:type="paragraph" w:customStyle="1" w:styleId="NoteBullet">
    <w:name w:val="Note Bullet"/>
    <w:basedOn w:val="Note"/>
    <w:rsid w:val="008D10B3"/>
    <w:pPr>
      <w:tabs>
        <w:tab w:val="clear" w:pos="680"/>
      </w:tabs>
      <w:spacing w:before="60" w:after="60"/>
    </w:pPr>
  </w:style>
  <w:style w:type="paragraph" w:customStyle="1" w:styleId="SubHeading2">
    <w:name w:val="SubHeading2"/>
    <w:basedOn w:val="HeadingBase"/>
    <w:rsid w:val="008D10B3"/>
    <w:pPr>
      <w:spacing w:before="240" w:after="60"/>
    </w:pPr>
    <w:rPr>
      <w:sz w:val="20"/>
    </w:rPr>
  </w:style>
  <w:style w:type="paragraph" w:customStyle="1" w:styleId="SubHeading1">
    <w:name w:val="SubHeading1"/>
    <w:basedOn w:val="HeadingBase"/>
    <w:rsid w:val="008D10B3"/>
    <w:pPr>
      <w:spacing w:before="240" w:after="60"/>
    </w:pPr>
    <w:rPr>
      <w:color w:val="918585"/>
      <w:sz w:val="22"/>
    </w:rPr>
  </w:style>
  <w:style w:type="paragraph" w:customStyle="1" w:styleId="SideHeading">
    <w:name w:val="Side Heading"/>
    <w:basedOn w:val="HeadingBase"/>
    <w:rsid w:val="008D1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0B3"/>
    <w:pPr>
      <w:numPr>
        <w:numId w:val="12"/>
      </w:numPr>
    </w:pPr>
  </w:style>
  <w:style w:type="paragraph" w:styleId="PlainText">
    <w:name w:val="Plain Text"/>
    <w:basedOn w:val="Normal"/>
    <w:link w:val="PlainTextChar"/>
    <w:rsid w:val="008D10B3"/>
    <w:rPr>
      <w:sz w:val="20"/>
    </w:rPr>
  </w:style>
  <w:style w:type="character" w:customStyle="1" w:styleId="PlainTextChar">
    <w:name w:val="Plain Text Char"/>
    <w:basedOn w:val="DefaultParagraphFont"/>
    <w:link w:val="PlainText"/>
    <w:rsid w:val="008D10B3"/>
    <w:rPr>
      <w:rFonts w:ascii="Courier New" w:eastAsia="Times New Roman" w:hAnsi="Courier New" w:cs="Times New Roman"/>
      <w:sz w:val="20"/>
      <w:szCs w:val="20"/>
      <w:lang w:eastAsia="en-US"/>
    </w:rPr>
  </w:style>
  <w:style w:type="character" w:customStyle="1" w:styleId="MenuOption">
    <w:name w:val="Menu Option"/>
    <w:basedOn w:val="DefaultParagraphFont"/>
    <w:rsid w:val="008D10B3"/>
    <w:rPr>
      <w:b/>
      <w:smallCaps/>
    </w:rPr>
  </w:style>
  <w:style w:type="paragraph" w:customStyle="1" w:styleId="TableListNumber">
    <w:name w:val="Table List Number"/>
    <w:basedOn w:val="ListNumber"/>
    <w:rsid w:val="008D10B3"/>
    <w:pPr>
      <w:numPr>
        <w:numId w:val="0"/>
      </w:numPr>
    </w:pPr>
  </w:style>
  <w:style w:type="paragraph" w:styleId="TOC4">
    <w:name w:val="toc 4"/>
    <w:basedOn w:val="TOCBase"/>
    <w:next w:val="Normal"/>
    <w:semiHidden/>
    <w:rsid w:val="008D10B3"/>
    <w:pPr>
      <w:tabs>
        <w:tab w:val="right" w:leader="dot" w:pos="9071"/>
      </w:tabs>
      <w:ind w:left="1701"/>
    </w:pPr>
  </w:style>
  <w:style w:type="paragraph" w:customStyle="1" w:styleId="ListAlpha">
    <w:name w:val="List Alpha"/>
    <w:basedOn w:val="List"/>
    <w:rsid w:val="008D10B3"/>
    <w:pPr>
      <w:numPr>
        <w:numId w:val="9"/>
      </w:numPr>
    </w:pPr>
  </w:style>
  <w:style w:type="paragraph" w:customStyle="1" w:styleId="ListAlpha2">
    <w:name w:val="List Alpha 2"/>
    <w:basedOn w:val="List2"/>
    <w:rsid w:val="008D10B3"/>
    <w:pPr>
      <w:numPr>
        <w:numId w:val="8"/>
      </w:numPr>
    </w:pPr>
  </w:style>
  <w:style w:type="paragraph" w:styleId="List2">
    <w:name w:val="List 2"/>
    <w:basedOn w:val="BodyText"/>
    <w:rsid w:val="008D10B3"/>
    <w:pPr>
      <w:tabs>
        <w:tab w:val="left" w:pos="680"/>
      </w:tabs>
      <w:spacing w:before="60" w:after="60"/>
      <w:ind w:left="680" w:hanging="340"/>
    </w:pPr>
  </w:style>
  <w:style w:type="paragraph" w:styleId="List3">
    <w:name w:val="List 3"/>
    <w:basedOn w:val="BodyText"/>
    <w:rsid w:val="008D10B3"/>
    <w:pPr>
      <w:tabs>
        <w:tab w:val="left" w:pos="1021"/>
      </w:tabs>
      <w:spacing w:before="60" w:after="60"/>
      <w:ind w:left="1020" w:hanging="340"/>
    </w:pPr>
  </w:style>
  <w:style w:type="paragraph" w:styleId="List4">
    <w:name w:val="List 4"/>
    <w:basedOn w:val="BodyText"/>
    <w:rsid w:val="008D10B3"/>
    <w:pPr>
      <w:tabs>
        <w:tab w:val="left" w:pos="1361"/>
      </w:tabs>
      <w:spacing w:before="60" w:after="60"/>
      <w:ind w:left="1361" w:hanging="340"/>
    </w:pPr>
  </w:style>
  <w:style w:type="paragraph" w:styleId="List5">
    <w:name w:val="List 5"/>
    <w:basedOn w:val="BodyText"/>
    <w:rsid w:val="008D10B3"/>
    <w:pPr>
      <w:tabs>
        <w:tab w:val="left" w:pos="1701"/>
      </w:tabs>
      <w:spacing w:before="60" w:after="60"/>
      <w:ind w:left="1701" w:hanging="340"/>
    </w:pPr>
  </w:style>
  <w:style w:type="paragraph" w:styleId="ListBullet3">
    <w:name w:val="List Bullet 3"/>
    <w:basedOn w:val="List3"/>
    <w:rsid w:val="008D10B3"/>
    <w:pPr>
      <w:numPr>
        <w:numId w:val="15"/>
      </w:numPr>
      <w:tabs>
        <w:tab w:val="clear" w:pos="1021"/>
      </w:tabs>
      <w:ind w:left="1037" w:hanging="357"/>
    </w:pPr>
  </w:style>
  <w:style w:type="paragraph" w:styleId="ListBullet4">
    <w:name w:val="List Bullet 4"/>
    <w:basedOn w:val="List4"/>
    <w:rsid w:val="008D10B3"/>
    <w:pPr>
      <w:numPr>
        <w:numId w:val="3"/>
      </w:numPr>
    </w:pPr>
  </w:style>
  <w:style w:type="paragraph" w:styleId="ListBullet5">
    <w:name w:val="List Bullet 5"/>
    <w:basedOn w:val="List5"/>
    <w:rsid w:val="008D10B3"/>
    <w:pPr>
      <w:numPr>
        <w:numId w:val="4"/>
      </w:numPr>
    </w:pPr>
  </w:style>
  <w:style w:type="paragraph" w:styleId="ListContinue2">
    <w:name w:val="List Continue 2"/>
    <w:basedOn w:val="List2"/>
    <w:rsid w:val="008D10B3"/>
    <w:pPr>
      <w:ind w:firstLine="0"/>
    </w:pPr>
  </w:style>
  <w:style w:type="paragraph" w:styleId="ListContinue3">
    <w:name w:val="List Continue 3"/>
    <w:basedOn w:val="List3"/>
    <w:rsid w:val="008D10B3"/>
    <w:pPr>
      <w:ind w:left="1021" w:firstLine="0"/>
    </w:pPr>
  </w:style>
  <w:style w:type="paragraph" w:styleId="ListContinue4">
    <w:name w:val="List Continue 4"/>
    <w:basedOn w:val="List4"/>
    <w:rsid w:val="008D10B3"/>
    <w:pPr>
      <w:ind w:firstLine="0"/>
    </w:pPr>
  </w:style>
  <w:style w:type="paragraph" w:styleId="ListContinue5">
    <w:name w:val="List Continue 5"/>
    <w:basedOn w:val="List5"/>
    <w:rsid w:val="008D10B3"/>
    <w:pPr>
      <w:ind w:firstLine="0"/>
    </w:pPr>
  </w:style>
  <w:style w:type="paragraph" w:styleId="ListNumber3">
    <w:name w:val="List Number 3"/>
    <w:basedOn w:val="List3"/>
    <w:rsid w:val="008D10B3"/>
    <w:pPr>
      <w:numPr>
        <w:numId w:val="5"/>
      </w:numPr>
    </w:pPr>
  </w:style>
  <w:style w:type="paragraph" w:styleId="ListNumber4">
    <w:name w:val="List Number 4"/>
    <w:basedOn w:val="List4"/>
    <w:rsid w:val="008D10B3"/>
    <w:pPr>
      <w:numPr>
        <w:numId w:val="6"/>
      </w:numPr>
    </w:pPr>
  </w:style>
  <w:style w:type="paragraph" w:styleId="ListNumber5">
    <w:name w:val="List Number 5"/>
    <w:basedOn w:val="List5"/>
    <w:rsid w:val="008D10B3"/>
    <w:pPr>
      <w:numPr>
        <w:numId w:val="7"/>
      </w:numPr>
    </w:pPr>
  </w:style>
  <w:style w:type="paragraph" w:styleId="BlockText">
    <w:name w:val="Block Text"/>
    <w:basedOn w:val="Normal"/>
    <w:rsid w:val="008D10B3"/>
    <w:pPr>
      <w:spacing w:after="120"/>
      <w:ind w:left="1440" w:right="1440"/>
    </w:pPr>
  </w:style>
  <w:style w:type="character" w:customStyle="1" w:styleId="Subscript">
    <w:name w:val="Subscript"/>
    <w:basedOn w:val="DefaultParagraphFont"/>
    <w:rsid w:val="008D10B3"/>
    <w:rPr>
      <w:sz w:val="16"/>
      <w:vertAlign w:val="subscript"/>
    </w:rPr>
  </w:style>
  <w:style w:type="character" w:customStyle="1" w:styleId="Superscript">
    <w:name w:val="Superscript"/>
    <w:basedOn w:val="DefaultParagraphFont"/>
    <w:rsid w:val="008D10B3"/>
    <w:rPr>
      <w:sz w:val="16"/>
      <w:vertAlign w:val="superscript"/>
    </w:rPr>
  </w:style>
  <w:style w:type="character" w:customStyle="1" w:styleId="Symbols">
    <w:name w:val="Symbols"/>
    <w:basedOn w:val="DefaultParagraphFont"/>
    <w:rsid w:val="008D10B3"/>
    <w:rPr>
      <w:rFonts w:ascii="Symbol" w:hAnsi="Symbol"/>
    </w:rPr>
  </w:style>
  <w:style w:type="character" w:customStyle="1" w:styleId="MenuOptions">
    <w:name w:val="Menu Options"/>
    <w:basedOn w:val="DefaultParagraphFont"/>
    <w:rsid w:val="008D10B3"/>
    <w:rPr>
      <w:rFonts w:ascii="Arial Narrow" w:hAnsi="Arial Narrow"/>
      <w:smallCaps/>
    </w:rPr>
  </w:style>
  <w:style w:type="character" w:customStyle="1" w:styleId="Buttons">
    <w:name w:val="Buttons"/>
    <w:basedOn w:val="DefaultParagraphFont"/>
    <w:rsid w:val="008D10B3"/>
    <w:rPr>
      <w:b/>
    </w:rPr>
  </w:style>
  <w:style w:type="character" w:customStyle="1" w:styleId="Underlined">
    <w:name w:val="Underlined"/>
    <w:basedOn w:val="DefaultParagraphFont"/>
    <w:rsid w:val="008D10B3"/>
    <w:rPr>
      <w:u w:val="single"/>
    </w:rPr>
  </w:style>
  <w:style w:type="paragraph" w:customStyle="1" w:styleId="TableBodyTextRight">
    <w:name w:val="Table Body Text Right"/>
    <w:basedOn w:val="TableBodyText"/>
    <w:rsid w:val="008D10B3"/>
    <w:pPr>
      <w:widowControl w:val="0"/>
      <w:autoSpaceDE w:val="0"/>
      <w:autoSpaceDN w:val="0"/>
      <w:adjustRightInd w:val="0"/>
      <w:jc w:val="right"/>
    </w:pPr>
    <w:rPr>
      <w:rFonts w:cs="Arial"/>
      <w:szCs w:val="18"/>
    </w:rPr>
  </w:style>
  <w:style w:type="paragraph" w:customStyle="1" w:styleId="CopyrightText">
    <w:name w:val="Copyright Text"/>
    <w:basedOn w:val="BodyText"/>
    <w:rsid w:val="008D10B3"/>
    <w:rPr>
      <w:sz w:val="18"/>
    </w:rPr>
  </w:style>
  <w:style w:type="paragraph" w:customStyle="1" w:styleId="BodySmallRight">
    <w:name w:val="Body Small Right"/>
    <w:basedOn w:val="BodyTextRight"/>
    <w:rsid w:val="008D10B3"/>
    <w:rPr>
      <w:sz w:val="18"/>
      <w:szCs w:val="18"/>
    </w:rPr>
  </w:style>
  <w:style w:type="paragraph" w:customStyle="1" w:styleId="MarginEdition">
    <w:name w:val="Margin Edition"/>
    <w:basedOn w:val="MarginNote"/>
    <w:rsid w:val="008D10B3"/>
    <w:pPr>
      <w:spacing w:before="0" w:after="0"/>
    </w:pPr>
    <w:rPr>
      <w:rFonts w:ascii="Times New Roman" w:hAnsi="Times New Roman"/>
      <w:color w:val="999999"/>
    </w:rPr>
  </w:style>
  <w:style w:type="paragraph" w:customStyle="1" w:styleId="Spacer">
    <w:name w:val="Spacer"/>
    <w:basedOn w:val="Normal"/>
    <w:rsid w:val="008D10B3"/>
    <w:rPr>
      <w:sz w:val="2"/>
      <w:szCs w:val="2"/>
    </w:rPr>
  </w:style>
  <w:style w:type="character" w:customStyle="1" w:styleId="Small">
    <w:name w:val="Small"/>
    <w:basedOn w:val="DefaultParagraphFont"/>
    <w:rsid w:val="008D10B3"/>
    <w:rPr>
      <w:sz w:val="16"/>
    </w:rPr>
  </w:style>
  <w:style w:type="paragraph" w:customStyle="1" w:styleId="WideTable">
    <w:name w:val="Wide Table"/>
    <w:basedOn w:val="Normal"/>
    <w:rsid w:val="008D10B3"/>
    <w:pPr>
      <w:ind w:left="-1418"/>
    </w:pPr>
    <w:rPr>
      <w:sz w:val="2"/>
      <w:szCs w:val="2"/>
    </w:rPr>
  </w:style>
  <w:style w:type="character" w:styleId="PageNumber">
    <w:name w:val="page number"/>
    <w:basedOn w:val="DefaultParagraphFont"/>
    <w:rsid w:val="008D10B3"/>
  </w:style>
  <w:style w:type="paragraph" w:styleId="Quote">
    <w:name w:val="Quote"/>
    <w:basedOn w:val="Heading1"/>
    <w:link w:val="QuoteChar"/>
    <w:qFormat/>
    <w:rsid w:val="008D10B3"/>
    <w:rPr>
      <w:b w:val="0"/>
      <w:sz w:val="72"/>
      <w:szCs w:val="72"/>
      <w:lang w:val="en-NZ"/>
    </w:rPr>
  </w:style>
  <w:style w:type="character" w:customStyle="1" w:styleId="QuoteChar">
    <w:name w:val="Quote Char"/>
    <w:basedOn w:val="DefaultParagraphFont"/>
    <w:link w:val="Quote"/>
    <w:rsid w:val="008D1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0B3"/>
    <w:pPr>
      <w:pageBreakBefore/>
    </w:pPr>
  </w:style>
  <w:style w:type="paragraph" w:customStyle="1" w:styleId="Border">
    <w:name w:val="Border"/>
    <w:basedOn w:val="Normal"/>
    <w:qFormat/>
    <w:rsid w:val="008D1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0B3"/>
    <w:rPr>
      <w:b/>
      <w:bCs/>
      <w:i/>
      <w:iCs/>
      <w:color w:val="auto"/>
    </w:rPr>
  </w:style>
  <w:style w:type="paragraph" w:styleId="IntenseQuote">
    <w:name w:val="Intense Quote"/>
    <w:basedOn w:val="Normal"/>
    <w:next w:val="Normal"/>
    <w:link w:val="IntenseQuoteChar"/>
    <w:uiPriority w:val="30"/>
    <w:qFormat/>
    <w:rsid w:val="008D1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0B3"/>
    <w:rPr>
      <w:smallCaps/>
      <w:color w:val="auto"/>
      <w:u w:val="single"/>
    </w:rPr>
  </w:style>
  <w:style w:type="character" w:styleId="IntenseReference">
    <w:name w:val="Intense Reference"/>
    <w:basedOn w:val="DefaultParagraphFont"/>
    <w:uiPriority w:val="32"/>
    <w:qFormat/>
    <w:rsid w:val="008D10B3"/>
    <w:rPr>
      <w:b/>
      <w:bCs/>
      <w:smallCaps/>
      <w:color w:val="auto"/>
      <w:spacing w:val="5"/>
      <w:u w:val="single"/>
    </w:rPr>
  </w:style>
  <w:style w:type="paragraph" w:customStyle="1" w:styleId="2ColumnHeading">
    <w:name w:val="2Column Heading"/>
    <w:basedOn w:val="BodyText"/>
    <w:qFormat/>
    <w:rsid w:val="008D10B3"/>
    <w:pPr>
      <w:spacing w:after="60"/>
      <w:ind w:left="-2268"/>
    </w:pPr>
    <w:rPr>
      <w:b/>
    </w:rPr>
  </w:style>
  <w:style w:type="paragraph" w:customStyle="1" w:styleId="Heading1TOC">
    <w:name w:val="Heading1 TOC"/>
    <w:basedOn w:val="Normal"/>
    <w:qFormat/>
    <w:rsid w:val="008D10B3"/>
    <w:pPr>
      <w:spacing w:before="240" w:after="120"/>
    </w:pPr>
    <w:rPr>
      <w:rFonts w:ascii="Times New Roman" w:hAnsi="Times New Roman"/>
      <w:b/>
      <w:sz w:val="32"/>
    </w:rPr>
  </w:style>
  <w:style w:type="paragraph" w:customStyle="1" w:styleId="Heading2TOC">
    <w:name w:val="Heading2 TOC"/>
    <w:basedOn w:val="Normal"/>
    <w:qFormat/>
    <w:rsid w:val="008D10B3"/>
    <w:pPr>
      <w:spacing w:before="240" w:after="60"/>
    </w:pPr>
    <w:rPr>
      <w:rFonts w:ascii="Times New Roman" w:hAnsi="Times New Roman"/>
      <w:b/>
      <w:sz w:val="28"/>
    </w:rPr>
  </w:style>
  <w:style w:type="character" w:customStyle="1" w:styleId="Underline">
    <w:name w:val="Underline"/>
    <w:basedOn w:val="DefaultParagraphFont"/>
    <w:qFormat/>
    <w:rsid w:val="008D10B3"/>
    <w:rPr>
      <w:u w:val="single"/>
    </w:rPr>
  </w:style>
  <w:style w:type="character" w:customStyle="1" w:styleId="BoldandItalics">
    <w:name w:val="Bold and Italics"/>
    <w:qFormat/>
    <w:rsid w:val="008D10B3"/>
    <w:rPr>
      <w:b/>
      <w:i/>
      <w:u w:val="none"/>
    </w:rPr>
  </w:style>
  <w:style w:type="paragraph" w:styleId="BalloonText">
    <w:name w:val="Balloon Text"/>
    <w:basedOn w:val="Normal"/>
    <w:link w:val="BalloonTextChar"/>
    <w:rsid w:val="008D10B3"/>
    <w:rPr>
      <w:rFonts w:ascii="Tahoma" w:hAnsi="Tahoma" w:cs="Tahoma"/>
      <w:sz w:val="16"/>
      <w:szCs w:val="16"/>
    </w:rPr>
  </w:style>
  <w:style w:type="character" w:customStyle="1" w:styleId="BalloonTextChar">
    <w:name w:val="Balloon Text Char"/>
    <w:basedOn w:val="DefaultParagraphFont"/>
    <w:link w:val="BalloonText"/>
    <w:rsid w:val="008D1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0B3"/>
    <w:rPr>
      <w:b/>
      <w:color w:val="660033"/>
      <w:spacing w:val="0"/>
    </w:rPr>
  </w:style>
  <w:style w:type="paragraph" w:customStyle="1" w:styleId="Nameditemlist">
    <w:name w:val="Named item list"/>
    <w:basedOn w:val="BodyText"/>
    <w:qFormat/>
    <w:rsid w:val="008D10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2584</Words>
  <Characters>15988</Characters>
  <Application>Microsoft Office Word</Application>
  <DocSecurity>0</DocSecurity>
  <Lines>653</Lines>
  <Paragraphs>256</Paragraphs>
  <ScaleCrop>false</ScaleCrop>
  <Company>Author-it Software Corporation Ltd.</Company>
  <LinksUpToDate>false</LinksUpToDate>
  <CharactersWithSpaces>18423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UEGNSG622A Assess the operational capability of gas safety equipment on a delivery vehicle</dc:title>
  <dc:subject>Approved</dc:subject>
  <dc:creator>E-Oz Training Standards</dc:creator>
  <cp:keywords>Release 1</cp:keywords>
  <dc:description>Review Date: 12 April 2008</dc:description>
  <cp:lastModifiedBy>HSD_TPCMSd.prod</cp:lastModifiedBy>
  <cp:revision>3</cp:revision>
  <dcterms:created xsi:type="dcterms:W3CDTF">2014-03-13T15:17:59Z</dcterms:created>
  <dcterms:modified xsi:type="dcterms:W3CDTF">2014-03-13T03:50:00Z</dcterms:modified>
</cp:coreProperties>
</file>