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336" w:rsidP="006E6336">
      <w:pPr>
        <w:pStyle w:val="Title"/>
      </w:pPr>
      <w:r>
        <w:fldChar w:fldCharType="begin"/>
      </w:r>
      <w:r>
        <w:instrText xml:space="preserve"> TITLE   \* MERGEFORMAT </w:instrText>
      </w:r>
      <w:r>
        <w:fldChar w:fldCharType="separate"/>
      </w:r>
      <w:r>
        <w:t>UEGNSG617A Monitor and control the transfer of bulk LPG</w:t>
      </w:r>
      <w:r>
        <w:fldChar w:fldCharType="end"/>
      </w:r>
    </w:p>
    <w:p w:rsidR="006E6336" w:rsidP="006E6336">
      <w:pPr>
        <w:pStyle w:val="Version"/>
        <w:sectPr w:rsidSect="00375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00F" w:rsidP="0037500F">
      <w:pPr>
        <w:pStyle w:val="SuperHeading"/>
      </w:pPr>
      <w:r w:rsidRPr="0037500F">
        <w:t>UEGNSG617A Monitor and control the transfer of bulk LPG</w:t>
      </w:r>
    </w:p>
    <w:p w:rsidR="00000000" w:rsidRPr="0037500F" w:rsidP="0037500F">
      <w:pPr>
        <w:pStyle w:val="Heading1"/>
      </w:pPr>
      <w:bookmarkStart w:id="1" w:name="O_593821"/>
      <w:bookmarkEnd w:id="1"/>
      <w:r w:rsidRPr="0037500F">
        <w:t>Modification History</w:t>
      </w:r>
    </w:p>
    <w:p w:rsidR="00000000" w:rsidRPr="0037500F" w:rsidP="0037500F">
      <w:pPr>
        <w:pStyle w:val="BodyText"/>
      </w:pPr>
      <w:r w:rsidRPr="0037500F">
        <w:t>This unit replaces UEGNSG606B Monitor and control the transfer of LPG</w:t>
      </w:r>
    </w:p>
    <w:p w:rsidR="00000000" w:rsidRPr="0037500F" w:rsidP="0037500F">
      <w:pPr>
        <w:pStyle w:val="AllowPageBreak"/>
      </w:pPr>
    </w:p>
    <w:p w:rsidR="00000000" w:rsidRPr="0037500F" w:rsidP="0037500F">
      <w:pPr>
        <w:pStyle w:val="Heading1"/>
      </w:pPr>
      <w:bookmarkStart w:id="2" w:name="O_593822"/>
      <w:bookmarkEnd w:id="2"/>
      <w:r w:rsidRPr="0037500F">
        <w:t>Unit Descriptor</w:t>
      </w:r>
    </w:p>
    <w:tbl>
      <w:tblPr>
        <w:tblW w:w="0" w:type="auto"/>
        <w:tblLayout w:type="fixed"/>
        <w:tblCellMar>
          <w:left w:w="62" w:type="dxa"/>
          <w:right w:w="62" w:type="dxa"/>
        </w:tblCellMar>
        <w:tblLook w:val="0000"/>
      </w:tblPr>
      <w:tblGrid>
        <w:gridCol w:w="2638"/>
        <w:gridCol w:w="5760"/>
      </w:tblGrid>
      <w:tr w:rsidTr="0037500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1) Scope:</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750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1.1) Descriptor</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This unit covers the safe transfer of liquefied petroleum gas (LPG) in</w:t>
            </w:r>
            <w:r w:rsidRPr="0037500F">
              <w:t>to or out of bulk storage at an LPG terminal or refinery by pipelines and hoses. This includes ship to tank, tank to tank, tank to tanker and tank to distribution network.</w:t>
            </w:r>
          </w:p>
          <w:p w:rsidR="00000000" w:rsidRPr="0037500F" w:rsidP="0037500F">
            <w:pPr>
              <w:pStyle w:val="BodyText"/>
            </w:pPr>
          </w:p>
          <w:p w:rsidR="00000000" w:rsidRPr="0037500F" w:rsidP="0037500F">
            <w:pPr>
              <w:pStyle w:val="BodyText"/>
            </w:pPr>
            <w:r w:rsidRPr="0037500F">
              <w:t>It encompasses following procedures to correctly and safely carry out the work usin</w:t>
            </w:r>
            <w:r w:rsidRPr="0037500F">
              <w:t xml:space="preserve">g appropriate materials, tools and equipment, relevant emergency response procedures and documentation. </w:t>
            </w:r>
          </w:p>
        </w:tc>
      </w:tr>
    </w:tbl>
    <w:p w:rsidR="006E6336" w:rsidP="0037500F">
      <w:pPr>
        <w:pStyle w:val="BodyText"/>
      </w:pPr>
    </w:p>
    <w:p w:rsidR="006E6336" w:rsidP="0037500F">
      <w:pPr>
        <w:pStyle w:val="BodyText"/>
      </w:pPr>
    </w:p>
    <w:p w:rsidR="00000000" w:rsidRPr="0037500F" w:rsidP="0037500F">
      <w:pPr>
        <w:pStyle w:val="Heading1"/>
      </w:pPr>
      <w:bookmarkStart w:id="3" w:name="O_593823"/>
      <w:bookmarkEnd w:id="3"/>
      <w:r w:rsidRPr="0037500F">
        <w:t>Application of the Unit</w:t>
      </w:r>
    </w:p>
    <w:tbl>
      <w:tblPr>
        <w:tblW w:w="0" w:type="auto"/>
        <w:tblLayout w:type="fixed"/>
        <w:tblCellMar>
          <w:left w:w="62" w:type="dxa"/>
          <w:right w:w="62" w:type="dxa"/>
        </w:tblCellMar>
        <w:tblLook w:val="0000"/>
      </w:tblPr>
      <w:tblGrid>
        <w:gridCol w:w="2610"/>
        <w:gridCol w:w="5699"/>
      </w:tblGrid>
      <w:tr w:rsidTr="0037500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2)</w:t>
            </w:r>
          </w:p>
        </w:tc>
      </w:tr>
      <w:tr w:rsidTr="0037500F">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This competency standard shall apply to work sites where liquefied pet</w:t>
            </w:r>
            <w:r w:rsidRPr="0037500F">
              <w:t xml:space="preserve">roleum gas is stored and transferred in bulk quantities, subject to all Workplace Health and Safety (WHS)/Occupational Health and Safety (OHS) and duty of care requirements being met for the workplace.. </w:t>
            </w:r>
          </w:p>
          <w:p w:rsidR="00000000" w:rsidRPr="0037500F" w:rsidP="0037500F">
            <w:pPr>
              <w:pStyle w:val="BodyText"/>
            </w:pPr>
          </w:p>
          <w:p w:rsidR="00000000" w:rsidRPr="0037500F" w:rsidP="0037500F">
            <w:pPr>
              <w:pStyle w:val="BodyText"/>
            </w:pPr>
            <w:r w:rsidRPr="0037500F">
              <w:t>This unit is intended as an entry level AQF 3 compe</w:t>
            </w:r>
            <w:r w:rsidRPr="0037500F">
              <w:t>tency for new entrants in the gas industry. It is suitable for employment-based programs under an approved contract of training.</w:t>
            </w:r>
          </w:p>
        </w:tc>
      </w:tr>
    </w:tbl>
    <w:p w:rsidR="006E6336" w:rsidP="0037500F">
      <w:pPr>
        <w:pStyle w:val="BodyText"/>
      </w:pPr>
    </w:p>
    <w:p w:rsidR="006E6336" w:rsidP="0037500F">
      <w:pPr>
        <w:pStyle w:val="BodyText"/>
      </w:pPr>
    </w:p>
    <w:p w:rsidR="00000000" w:rsidRPr="0037500F" w:rsidP="0037500F">
      <w:pPr>
        <w:pStyle w:val="Heading1"/>
      </w:pPr>
      <w:bookmarkStart w:id="4" w:name="O_593824"/>
      <w:bookmarkEnd w:id="4"/>
      <w:r w:rsidRPr="0037500F">
        <w:t>Licensing/Regulatory Information</w:t>
      </w:r>
    </w:p>
    <w:tbl>
      <w:tblPr>
        <w:tblW w:w="0" w:type="auto"/>
        <w:tblLayout w:type="fixed"/>
        <w:tblCellMar>
          <w:left w:w="62" w:type="dxa"/>
          <w:right w:w="62" w:type="dxa"/>
        </w:tblCellMar>
        <w:tblLook w:val="0000"/>
      </w:tblPr>
      <w:tblGrid>
        <w:gridCol w:w="2638"/>
        <w:gridCol w:w="5760"/>
      </w:tblGrid>
      <w:tr w:rsidTr="0037500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3) </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7500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During Training:</w:t>
            </w:r>
            <w:r w:rsidRPr="0037500F">
              <w:t xml:space="preserve"> </w:t>
            </w:r>
          </w:p>
          <w:p w:rsidR="00000000" w:rsidRPr="0037500F" w:rsidP="0037500F">
            <w:pPr>
              <w:pStyle w:val="BodyText"/>
            </w:pPr>
            <w:r w:rsidRPr="0037500F">
              <w:t xml:space="preserve">Competency development activities are subject to regulations directly related to licensing, occupational health and safety and where applicable contracts of training such as apprenticeships. </w:t>
            </w:r>
          </w:p>
          <w:p w:rsidR="00000000" w:rsidRPr="0037500F" w:rsidP="0037500F">
            <w:pPr>
              <w:pStyle w:val="BodyText"/>
            </w:pPr>
          </w:p>
          <w:p w:rsidR="00000000" w:rsidRPr="0037500F" w:rsidP="0037500F">
            <w:pPr>
              <w:pStyle w:val="BodyText"/>
            </w:pPr>
            <w:r w:rsidRPr="0037500F">
              <w:rPr>
                <w:rStyle w:val="SpecialBold"/>
              </w:rPr>
              <w:t>In the workplace:</w:t>
            </w:r>
          </w:p>
          <w:p w:rsidR="00000000" w:rsidRPr="0037500F" w:rsidP="0037500F">
            <w:pPr>
              <w:pStyle w:val="BodyText"/>
            </w:pPr>
            <w:r w:rsidRPr="0037500F">
              <w:t>The skills and knowledge described in this un</w:t>
            </w:r>
            <w:r w:rsidRPr="0037500F">
              <w:t xml:space="preserve">it are not subject to licence regulation other than those directly related to Occupational Health and Safety, gas/electricity/water industry safety and compliance, industrial relations, environmental protection, telecommunications, anti-discrimination and </w:t>
            </w:r>
            <w:r w:rsidRPr="0037500F">
              <w:t xml:space="preserve">training. </w:t>
            </w:r>
          </w:p>
          <w:p w:rsidR="00000000" w:rsidRPr="0037500F" w:rsidP="0037500F">
            <w:pPr>
              <w:pStyle w:val="BodyText"/>
            </w:pPr>
          </w:p>
          <w:p w:rsidR="00000000" w:rsidRPr="0037500F" w:rsidP="0037500F">
            <w:pPr>
              <w:pStyle w:val="BodyText"/>
            </w:pPr>
            <w:r w:rsidRPr="0037500F">
              <w:t>Commonwealth, State/Territory or Local Government legislation and regulations may exist that limits the age of operating certain equipment. Other conditions may apply to this competency under State and Territory legislative and regulatory requi</w:t>
            </w:r>
            <w:r w:rsidRPr="0037500F">
              <w:t>rements.</w:t>
            </w:r>
          </w:p>
        </w:tc>
      </w:tr>
    </w:tbl>
    <w:p w:rsidR="006E6336" w:rsidP="0037500F">
      <w:pPr>
        <w:pStyle w:val="BodyText"/>
      </w:pPr>
    </w:p>
    <w:p w:rsidR="006E6336" w:rsidP="0037500F">
      <w:pPr>
        <w:pStyle w:val="BodyText"/>
      </w:pPr>
    </w:p>
    <w:p w:rsidR="00000000" w:rsidRPr="0037500F" w:rsidP="0037500F">
      <w:pPr>
        <w:pStyle w:val="Heading1"/>
      </w:pPr>
      <w:bookmarkStart w:id="5" w:name="O_593825"/>
      <w:bookmarkEnd w:id="5"/>
      <w:r w:rsidRPr="0037500F">
        <w:t>Pre-Requisites</w:t>
      </w:r>
    </w:p>
    <w:tbl>
      <w:tblPr>
        <w:tblW w:w="0" w:type="auto"/>
        <w:tblLayout w:type="fixed"/>
        <w:tblCellMar>
          <w:left w:w="62" w:type="dxa"/>
          <w:right w:w="62" w:type="dxa"/>
        </w:tblCellMar>
        <w:tblLook w:val="0000"/>
      </w:tblPr>
      <w:tblGrid>
        <w:gridCol w:w="2638"/>
        <w:gridCol w:w="1800"/>
        <w:gridCol w:w="3960"/>
      </w:tblGrid>
      <w:tr w:rsidTr="0037500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4) </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4.1)</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Granting of competency in this unit shall be made only after competency in the following unit(s) has/have been confirmed:</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UEGNSG141A</w:t>
            </w:r>
          </w:p>
        </w:tc>
        <w:tc>
          <w:tcPr>
            <w:tcW w:w="39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Apply Workplace Health and Safety regulations codes and practices in the gas industry</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UEGNSG005A</w:t>
            </w:r>
          </w:p>
        </w:tc>
        <w:tc>
          <w:tcPr>
            <w:tcW w:w="39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Prepare to work in the Australian gas </w:t>
            </w:r>
            <w:r w:rsidRPr="0037500F">
              <w:t>industry</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UEGNSG132A</w:t>
            </w:r>
          </w:p>
        </w:tc>
        <w:tc>
          <w:tcPr>
            <w:tcW w:w="39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Carry out basic work activities in a gas industry work environment</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UEGNSG140A </w:t>
            </w:r>
          </w:p>
        </w:tc>
        <w:tc>
          <w:tcPr>
            <w:tcW w:w="39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Apply environmental policies and procedures in the utilities industry </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UEGNSG134A</w:t>
            </w:r>
          </w:p>
        </w:tc>
        <w:tc>
          <w:tcPr>
            <w:tcW w:w="39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Establish a utilities infrastructure work site</w:t>
            </w:r>
          </w:p>
        </w:tc>
      </w:tr>
    </w:tbl>
    <w:p w:rsidR="00000000" w:rsidRPr="0037500F" w:rsidP="0037500F">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 xml:space="preserve">4.2) </w:t>
            </w:r>
          </w:p>
          <w:p w:rsidR="00000000" w:rsidP="0037500F">
            <w:pPr>
              <w:pStyle w:val="BodyText"/>
              <w:rPr>
                <w:lang w:val="en-NZ"/>
              </w:rPr>
            </w:pPr>
            <w:r w:rsidRPr="0037500F">
              <w:t>Participants are best equipped to achieve this unit if they have reading, writing and nu</w:t>
            </w:r>
            <w:r w:rsidRPr="0037500F">
              <w:t>meracy skills indicated by the following scales. Description of each scale is given in Volume 2, Part 3 ‘Literacy and Numeracy’</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Reading</w:t>
            </w:r>
          </w:p>
        </w:tc>
        <w:tc>
          <w:tcPr>
            <w:tcW w:w="81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w:t>
            </w:r>
          </w:p>
        </w:tc>
        <w:tc>
          <w:tcPr>
            <w:tcW w:w="99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Writing</w:t>
            </w: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w:t>
            </w:r>
          </w:p>
        </w:tc>
        <w:tc>
          <w:tcPr>
            <w:tcW w:w="12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Numeracy</w:t>
            </w:r>
          </w:p>
        </w:tc>
        <w:tc>
          <w:tcPr>
            <w:tcW w:w="72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3</w:t>
            </w:r>
          </w:p>
        </w:tc>
      </w:tr>
    </w:tbl>
    <w:p w:rsidR="006E6336" w:rsidP="0037500F">
      <w:pPr>
        <w:pStyle w:val="BodyText"/>
      </w:pPr>
    </w:p>
    <w:p w:rsidR="006E6336" w:rsidP="0037500F">
      <w:pPr>
        <w:pStyle w:val="BodyText"/>
      </w:pPr>
    </w:p>
    <w:p w:rsidR="00000000" w:rsidRPr="0037500F" w:rsidP="0037500F">
      <w:pPr>
        <w:pStyle w:val="Heading1"/>
      </w:pPr>
      <w:bookmarkStart w:id="6" w:name="O_593826"/>
      <w:bookmarkEnd w:id="6"/>
      <w:r w:rsidRPr="0037500F">
        <w:t>Employability Skills Information</w:t>
      </w:r>
    </w:p>
    <w:tbl>
      <w:tblPr>
        <w:tblW w:w="0" w:type="auto"/>
        <w:tblLayout w:type="fixed"/>
        <w:tblCellMar>
          <w:left w:w="62" w:type="dxa"/>
          <w:right w:w="62" w:type="dxa"/>
        </w:tblCellMar>
        <w:tblLook w:val="0000"/>
      </w:tblPr>
      <w:tblGrid>
        <w:gridCol w:w="2638"/>
        <w:gridCol w:w="5760"/>
      </w:tblGrid>
      <w:tr w:rsidTr="0037500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5) </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This unit contains Employability Skills</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 xml:space="preserve">The required outcomes described in this unit of competency contain applicable facets of Employability Skills. The Employability Skills Summary of the qualification in which this unit of competency is packaged will </w:t>
            </w:r>
            <w:r w:rsidRPr="0037500F">
              <w:t>assist in identifying Employability Skill requirements.</w:t>
            </w:r>
          </w:p>
        </w:tc>
      </w:tr>
    </w:tbl>
    <w:p w:rsidR="006E6336" w:rsidP="0037500F">
      <w:pPr>
        <w:pStyle w:val="BodyText"/>
      </w:pPr>
    </w:p>
    <w:p w:rsidR="006E6336" w:rsidP="0037500F">
      <w:pPr>
        <w:pStyle w:val="BodyText"/>
      </w:pPr>
    </w:p>
    <w:p w:rsidR="00000000" w:rsidRPr="0037500F" w:rsidP="0037500F">
      <w:pPr>
        <w:pStyle w:val="Heading1"/>
      </w:pPr>
      <w:bookmarkStart w:id="7" w:name="O_593827"/>
      <w:bookmarkEnd w:id="7"/>
      <w:r w:rsidRPr="0037500F">
        <w:t>Elements and Performance Criteria Pre-Content</w:t>
      </w:r>
    </w:p>
    <w:tbl>
      <w:tblPr>
        <w:tblW w:w="0" w:type="auto"/>
        <w:tblLayout w:type="fixed"/>
        <w:tblCellMar>
          <w:left w:w="62" w:type="dxa"/>
          <w:right w:w="62" w:type="dxa"/>
        </w:tblCellMar>
        <w:tblLook w:val="0000"/>
      </w:tblPr>
      <w:tblGrid>
        <w:gridCol w:w="2638"/>
        <w:gridCol w:w="5760"/>
      </w:tblGrid>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6)</w:t>
            </w:r>
            <w:r w:rsidRPr="0037500F">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Emphasis"/>
              </w:rPr>
              <w:t>Performance Criteria describe the required performance needed to demonstrate achievement of the element. Assessment of performance is to be consistent with the Evidence Guide.</w:t>
            </w:r>
          </w:p>
        </w:tc>
      </w:tr>
    </w:tbl>
    <w:p w:rsidR="006E6336" w:rsidP="0037500F">
      <w:pPr>
        <w:pStyle w:val="BodyText"/>
      </w:pPr>
    </w:p>
    <w:p w:rsidR="006E6336" w:rsidP="0037500F">
      <w:pPr>
        <w:pStyle w:val="BodyText"/>
      </w:pPr>
    </w:p>
    <w:p w:rsidR="00000000" w:rsidRPr="0037500F" w:rsidP="0037500F">
      <w:pPr>
        <w:pStyle w:val="Heading1"/>
      </w:pPr>
      <w:bookmarkStart w:id="8" w:name="O_593828"/>
      <w:bookmarkEnd w:id="8"/>
      <w:r w:rsidRPr="0037500F">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37500F">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PERFORMANCE CRITERIA</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Plan and prepare to  transfer of LPG </w:t>
            </w: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1.1</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Availability of equipment is determined against work schedule(s) and established procedures and material lists are received, analysed and confirmed if necessary by site inspection</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1.2</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Relevant requirements and established procedures for the work are communicated to all persons and identified for all work sites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1.3</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WHS/OHS, environmental and sustainable energy policies and procedures related to requirements and established procedures </w:t>
            </w:r>
            <w:r w:rsidRPr="0037500F">
              <w:t xml:space="preserve">for monitoring and controlling the transfer of LPG are obtained and confirmed for the purposes of the work performed and communicated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1.4</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Work is prioritised and sequenced following consultation with others for completion within acceptable timeframes a</w:t>
            </w:r>
            <w:r w:rsidRPr="0037500F">
              <w:t>nd in accordance with established procedures</w:t>
            </w:r>
          </w:p>
        </w:tc>
      </w:tr>
      <w:tr w:rsidTr="0037500F">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1.5</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Risk control measures for identified hazards are prioritised, implemented and monitored against the work schedule</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1.6</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Equipment is checked and relevant work permits are obtained to access, i</w:t>
            </w:r>
            <w:r w:rsidRPr="0037500F">
              <w:t>solate/de-energise systems and perform work according to requirements and established procedures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1.7</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Pipelines and hoses are connected and personal protective equipment required for the job are identified, scheduled and obtained and confirmed in working</w:t>
            </w:r>
            <w:r w:rsidRPr="0037500F">
              <w:t xml:space="preserve"> order</w:t>
            </w:r>
          </w:p>
        </w:tc>
      </w:tr>
      <w:tr w:rsidTr="0037500F">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1.8</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Relevant persons at worksite are confirmed to be current in First Aid and other related work procedures according to requirements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1.9</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Liaison and communication issues with authorised persons, authorities, clients and land owners are resolved and activities coordinated to carry out work</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1.10</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Site is prepared and valves are operated according to the work schedule and to minimise risk an</w:t>
            </w:r>
            <w:r w:rsidRPr="0037500F">
              <w:t>d damage to property, commerce and individuals in accordance with established procedures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1.11</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Persons participating in the work, including plant operators and contractors are fully briefed and respective responsibilities confirmed where applicable in ac</w:t>
            </w:r>
            <w:r w:rsidRPr="0037500F">
              <w:t xml:space="preserve">cordance with established procedures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Transfer of LPG</w:t>
            </w: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2.1</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WHS/OHS policies and procedures and safe work practices are followed to eliminate or minimise incidents and hazards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2.2</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Lifting, climbing, working in confined spaces and/or aloft, and use of power tools, techniques and practices are safely followed and currency according to requirements confirmed</w:t>
            </w:r>
          </w:p>
        </w:tc>
      </w:tr>
      <w:tr w:rsidTr="0037500F">
        <w:tblPrEx>
          <w:tblW w:w="0" w:type="auto"/>
          <w:tblLayout w:type="fixed"/>
          <w:tblCellMar>
            <w:left w:w="62" w:type="dxa"/>
            <w:right w:w="62" w:type="dxa"/>
          </w:tblCellMar>
          <w:tblLook w:val="0000"/>
        </w:tblPrEx>
        <w:trPr>
          <w:trHeight w:val="1325"/>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2.3</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Required skills and knowledge for the monitoring and control of the tra</w:t>
            </w:r>
            <w:r w:rsidRPr="0037500F">
              <w:t>nsfer of LPG is applied to ensure completion in an agreed timeframe and to quality standards with a minimum of waste according to requirements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2.4</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The monitoring and transfer of LPG is carried out in accordance with the work schedule and to established procedures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2.5</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Transfer equipment is operated and identified hazards, WHS/OHS risks and control measures are monitored and preventative action tak</w:t>
            </w:r>
            <w:r w:rsidRPr="0037500F">
              <w:t xml:space="preserve">en in accordance with requirements and established procedures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2.6</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Pressure limits and liquid levels are monitored and unplanned events in the monitoring and control transfer of LPG are undertaken with the scope of </w:t>
            </w:r>
            <w:r w:rsidRPr="0037500F">
              <w:t xml:space="preserve">established procedures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2.7</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Emergen</w:t>
            </w:r>
            <w:r w:rsidRPr="0037500F">
              <w:t>cy response is selected and applied and known solutions to a variety of problems are applied using Essential Knowledge and Associated Skills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2.8</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Ongoing checks of quality of the work are undertaken in accordance with given instructions and established p</w:t>
            </w:r>
            <w:r w:rsidRPr="0037500F">
              <w:t>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Complete work and relevant documentation </w:t>
            </w: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3.1</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Work undertaken is checked against works schedule for conformance with requirements and anomalies reported in accordance with established procedures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3.2</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Accidents and injuries are reported in accordance with requirements and established procedures where applicable</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3.3</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Work site is rehabilitated, cleaned up and made safe in accordance with given instructions and established procedures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3.4</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Tools, equip</w:t>
            </w:r>
            <w:r w:rsidRPr="0037500F">
              <w:t>ment and any surplus resources and materials are, where appropriate, cleaned, checked and returned to storage in accordance with established procedures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3.5</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Relevant work permit(s) are signed off and equipment is returned to service in accordance with requirements</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3.6</w:t>
            </w:r>
          </w:p>
        </w:tc>
        <w:tc>
          <w:tcPr>
            <w:tcW w:w="48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Emergency shutdown procedures are applied in the event of serious equipment failure or operational parameters being exceeded in accordance wi</w:t>
            </w:r>
            <w:r w:rsidRPr="0037500F">
              <w:t xml:space="preserve">th standard operating procedures </w:t>
            </w:r>
          </w:p>
        </w:tc>
      </w:tr>
      <w:tr w:rsidTr="0037500F">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3.7</w:t>
            </w:r>
          </w:p>
        </w:tc>
        <w:tc>
          <w:tcPr>
            <w:tcW w:w="48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Work completion records, reports as installed drawings and documentation and information are finalised and processed and appropriate persons notified</w:t>
            </w:r>
          </w:p>
        </w:tc>
      </w:tr>
    </w:tbl>
    <w:p w:rsidR="006E6336" w:rsidP="0037500F">
      <w:pPr>
        <w:pStyle w:val="BodyText"/>
      </w:pPr>
    </w:p>
    <w:p w:rsidR="006E6336" w:rsidP="0037500F">
      <w:pPr>
        <w:pStyle w:val="BodyText"/>
      </w:pPr>
    </w:p>
    <w:p w:rsidR="00000000" w:rsidRPr="0037500F" w:rsidP="0037500F">
      <w:pPr>
        <w:pStyle w:val="Heading1"/>
      </w:pPr>
      <w:bookmarkStart w:id="9" w:name="O_593829"/>
      <w:bookmarkEnd w:id="9"/>
      <w:r w:rsidRPr="0037500F">
        <w:t>Required Skills and Knowledge</w:t>
      </w:r>
    </w:p>
    <w:tbl>
      <w:tblPr>
        <w:tblW w:w="0" w:type="auto"/>
        <w:tblLayout w:type="fixed"/>
        <w:tblCellMar>
          <w:left w:w="62" w:type="dxa"/>
          <w:right w:w="62" w:type="dxa"/>
        </w:tblCellMar>
        <w:tblLook w:val="0000"/>
      </w:tblPr>
      <w:tblGrid>
        <w:gridCol w:w="8398"/>
      </w:tblGrid>
      <w:tr w:rsidTr="006E6336">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REQUIRED SKILLS</w:t>
            </w:r>
            <w:r w:rsidRPr="0037500F">
              <w:rPr>
                <w:rStyle w:val="SpecialBold"/>
              </w:rPr>
              <w:t xml:space="preserve"> AND KNOWLEDGE</w:t>
            </w:r>
          </w:p>
        </w:tc>
      </w:tr>
      <w:tr w:rsidTr="006E633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7)</w:t>
            </w:r>
            <w:r w:rsidRPr="0037500F">
              <w:rPr>
                <w:rStyle w:val="Emphasis"/>
              </w:rPr>
              <w:t xml:space="preserve"> This describes the skills and knowledge and their level, required for this unit.</w:t>
            </w:r>
          </w:p>
        </w:tc>
      </w:tr>
      <w:tr w:rsidTr="006E633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Evidence shall show that knowledge has been acquired of safe working practices for monitoring and controlling the transfer of bulk LPG.</w:t>
            </w:r>
          </w:p>
        </w:tc>
      </w:tr>
      <w:tr w:rsidTr="006E633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All knowledge and skills detailed in this unit should be contextualised to current industry practices and technologies. The extent of the required skills and knowledge is provided below. It forms an integral part of this unit.</w:t>
            </w:r>
          </w:p>
        </w:tc>
      </w:tr>
      <w:tr w:rsidTr="006E633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KS01-G617A</w:t>
            </w:r>
            <w:r w:rsidRPr="0037500F">
              <w:rPr>
                <w:rStyle w:val="SpecialBold"/>
              </w:rPr>
              <w:tab/>
              <w:t xml:space="preserve">Transfer bulk LP </w:t>
            </w:r>
            <w:r w:rsidRPr="0037500F">
              <w:rPr>
                <w:rStyle w:val="SpecialBold"/>
              </w:rPr>
              <w:t>Gas</w:t>
            </w:r>
          </w:p>
        </w:tc>
      </w:tr>
      <w:tr w:rsidTr="006E6336">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Evidence shall show an understanding of monitoring and controlling the transfer of bulk LPG in accordance with relevant legislation, codes, regulations and established procedures to an extent indicated by the following aspects:</w:t>
            </w:r>
          </w:p>
        </w:tc>
      </w:tr>
      <w:tr w:rsidTr="006E6336">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 xml:space="preserve">T1. Relevant Australian Standards, guidelines and codes of practice </w:t>
            </w:r>
          </w:p>
          <w:p w:rsidR="00000000" w:rsidRPr="0037500F" w:rsidP="0037500F">
            <w:pPr>
              <w:pStyle w:val="BodyText"/>
            </w:pPr>
            <w:r w:rsidRPr="0037500F">
              <w:t>T2. Relevant WHS/OHS policies and procedures.</w:t>
            </w:r>
          </w:p>
          <w:p w:rsidR="00000000" w:rsidRPr="0037500F" w:rsidP="0037500F">
            <w:pPr>
              <w:pStyle w:val="ListBullet"/>
            </w:pPr>
            <w:r w:rsidRPr="0037500F">
              <w:t xml:space="preserve">Safety signs including workplace hazards and warnings </w:t>
            </w:r>
          </w:p>
          <w:p w:rsidR="00000000" w:rsidRPr="0037500F" w:rsidP="0037500F">
            <w:pPr>
              <w:pStyle w:val="BodyText"/>
            </w:pPr>
            <w:r w:rsidRPr="0037500F">
              <w:t>T3. LPG bulk storage vessels</w:t>
            </w:r>
          </w:p>
          <w:p w:rsidR="00000000" w:rsidRPr="0037500F" w:rsidP="0037500F">
            <w:pPr>
              <w:pStyle w:val="ListBullet"/>
            </w:pPr>
            <w:r w:rsidRPr="0037500F">
              <w:t>Properties of LP Gas</w:t>
            </w:r>
          </w:p>
          <w:p w:rsidR="00000000" w:rsidRPr="0037500F" w:rsidP="0037500F">
            <w:pPr>
              <w:pStyle w:val="ListBullet"/>
            </w:pPr>
            <w:r w:rsidRPr="0037500F">
              <w:t>Types, construction, size, valves,</w:t>
            </w:r>
            <w:r w:rsidRPr="0037500F">
              <w:t xml:space="preserve"> labelling, Material Safety Data Sheets (MSDS)</w:t>
            </w:r>
          </w:p>
          <w:p w:rsidR="00000000" w:rsidRPr="0037500F" w:rsidP="0037500F">
            <w:pPr>
              <w:pStyle w:val="ListBullet"/>
            </w:pPr>
            <w:r w:rsidRPr="0037500F">
              <w:t>inspection procedures</w:t>
            </w:r>
          </w:p>
          <w:p w:rsidR="00000000" w:rsidRPr="0037500F" w:rsidP="0037500F">
            <w:pPr>
              <w:pStyle w:val="BodyText"/>
            </w:pPr>
            <w:r w:rsidRPr="0037500F">
              <w:t>T4. LPG bulk transfer</w:t>
            </w:r>
          </w:p>
          <w:p w:rsidR="00000000" w:rsidRPr="0037500F" w:rsidP="0037500F">
            <w:pPr>
              <w:pStyle w:val="ListBullet"/>
            </w:pPr>
            <w:r w:rsidRPr="0037500F">
              <w:t>Requirements, applications, methods, procedures</w:t>
            </w:r>
          </w:p>
          <w:p w:rsidR="00000000" w:rsidRPr="0037500F" w:rsidP="0037500F">
            <w:pPr>
              <w:pStyle w:val="ListBullet"/>
            </w:pPr>
            <w:r w:rsidRPr="0037500F">
              <w:t>Equipment/tools</w:t>
            </w:r>
          </w:p>
          <w:p w:rsidR="00000000" w:rsidRPr="0037500F" w:rsidP="0037500F">
            <w:pPr>
              <w:pStyle w:val="ListBullet2"/>
            </w:pPr>
            <w:r w:rsidRPr="0037500F">
              <w:t>Types, selection, manufacturers specifications/instructions, testing, set up, adjusting</w:t>
            </w:r>
          </w:p>
          <w:p w:rsidR="00000000" w:rsidRPr="0037500F" w:rsidP="0037500F">
            <w:pPr>
              <w:pStyle w:val="ListBullet2"/>
            </w:pPr>
            <w:r w:rsidRPr="0037500F">
              <w:t>Compresso</w:t>
            </w:r>
            <w:r w:rsidRPr="0037500F">
              <w:t>rs, pumps</w:t>
            </w:r>
          </w:p>
          <w:p w:rsidR="00000000" w:rsidRPr="0037500F" w:rsidP="0037500F">
            <w:pPr>
              <w:pStyle w:val="ListBullet2"/>
            </w:pPr>
            <w:r w:rsidRPr="0037500F">
              <w:t>Pipes and hoses</w:t>
            </w:r>
          </w:p>
          <w:p w:rsidR="00000000" w:rsidRPr="0037500F" w:rsidP="0037500F">
            <w:pPr>
              <w:pStyle w:val="ListBullet"/>
            </w:pPr>
            <w:r w:rsidRPr="0037500F">
              <w:t xml:space="preserve">Safety </w:t>
            </w:r>
          </w:p>
          <w:p w:rsidR="00000000" w:rsidRPr="0037500F" w:rsidP="0037500F">
            <w:pPr>
              <w:pStyle w:val="ListBullet"/>
            </w:pPr>
            <w:r w:rsidRPr="0037500F">
              <w:t>Gas alarm and communication equipment</w:t>
            </w:r>
          </w:p>
          <w:p w:rsidR="00000000" w:rsidRPr="0037500F" w:rsidP="0037500F">
            <w:pPr>
              <w:pStyle w:val="ListBullet"/>
            </w:pPr>
            <w:r w:rsidRPr="0037500F">
              <w:t>Ignition prevention/control</w:t>
            </w:r>
          </w:p>
          <w:p w:rsidR="00000000" w:rsidRPr="0037500F" w:rsidP="0037500F">
            <w:pPr>
              <w:pStyle w:val="ListBullet"/>
            </w:pPr>
            <w:r w:rsidRPr="0037500F">
              <w:t>Leak testing requirements, types, procedures, required equipment/tools</w:t>
            </w:r>
          </w:p>
          <w:p w:rsidR="00000000" w:rsidRPr="0037500F" w:rsidP="0037500F">
            <w:pPr>
              <w:pStyle w:val="BodyText"/>
            </w:pPr>
            <w:r w:rsidRPr="0037500F">
              <w:t>T5. Personal Protection Equipment</w:t>
            </w:r>
          </w:p>
          <w:p w:rsidR="00000000" w:rsidRPr="0037500F" w:rsidP="0037500F">
            <w:pPr>
              <w:pStyle w:val="ListBullet"/>
            </w:pPr>
            <w:r w:rsidRPr="0037500F">
              <w:t>Types, application, checking, maintenance and sto</w:t>
            </w:r>
            <w:r w:rsidRPr="0037500F">
              <w:t xml:space="preserve">rage </w:t>
            </w:r>
          </w:p>
          <w:p w:rsidR="00000000" w:rsidRPr="0037500F" w:rsidP="0037500F">
            <w:pPr>
              <w:pStyle w:val="BodyText"/>
            </w:pPr>
            <w:r w:rsidRPr="0037500F">
              <w:t>T6. Hazard identification, risk assessment and control</w:t>
            </w:r>
          </w:p>
          <w:p w:rsidR="00000000" w:rsidRPr="0037500F" w:rsidP="0037500F">
            <w:pPr>
              <w:pStyle w:val="ListBullet"/>
            </w:pPr>
            <w:r w:rsidRPr="0037500F">
              <w:t>Work Permits, JHA’s, JSA’s, JSEA’s, SWM’s, etc.</w:t>
            </w:r>
          </w:p>
          <w:p w:rsidR="00000000" w:rsidRPr="0037500F" w:rsidP="0037500F">
            <w:pPr>
              <w:pStyle w:val="ListBullet"/>
            </w:pPr>
            <w:r w:rsidRPr="0037500F">
              <w:t>Use of spill kits and PPE</w:t>
            </w:r>
          </w:p>
          <w:p w:rsidR="00000000" w:rsidRPr="0037500F" w:rsidP="0037500F">
            <w:pPr>
              <w:pStyle w:val="BodyText"/>
            </w:pPr>
            <w:r w:rsidRPr="0037500F">
              <w:t>T7. Manual handling</w:t>
            </w:r>
          </w:p>
          <w:p w:rsidR="00000000" w:rsidRPr="0037500F" w:rsidP="0037500F">
            <w:pPr>
              <w:pStyle w:val="ListBullet"/>
            </w:pPr>
            <w:r w:rsidRPr="0037500F">
              <w:t xml:space="preserve">Characteristics, types, techniques </w:t>
            </w:r>
          </w:p>
          <w:p w:rsidR="00000000" w:rsidRPr="0037500F" w:rsidP="0037500F">
            <w:pPr>
              <w:pStyle w:val="BodyText"/>
            </w:pPr>
            <w:r w:rsidRPr="0037500F">
              <w:t>T8.Accidents and emergency</w:t>
            </w:r>
          </w:p>
          <w:p w:rsidR="00000000" w:rsidRPr="0037500F" w:rsidP="0037500F">
            <w:pPr>
              <w:pStyle w:val="ListBullet"/>
            </w:pPr>
            <w:r w:rsidRPr="0037500F">
              <w:t xml:space="preserve">Types: fire, gas leak </w:t>
            </w:r>
          </w:p>
          <w:p w:rsidR="00000000" w:rsidRPr="0037500F" w:rsidP="0037500F">
            <w:pPr>
              <w:pStyle w:val="ListBullet"/>
            </w:pPr>
            <w:r w:rsidRPr="0037500F">
              <w:t xml:space="preserve">Emergency response equipment and procedures </w:t>
            </w:r>
          </w:p>
          <w:p w:rsidR="00000000" w:rsidRPr="0037500F" w:rsidP="0037500F">
            <w:pPr>
              <w:pStyle w:val="ListBullet2"/>
            </w:pPr>
            <w:r w:rsidRPr="0037500F">
              <w:t>breathing apparatus</w:t>
            </w:r>
          </w:p>
          <w:p w:rsidR="00000000" w:rsidRPr="0037500F" w:rsidP="0037500F">
            <w:pPr>
              <w:pStyle w:val="ListBullet2"/>
            </w:pPr>
            <w:r w:rsidRPr="0037500F">
              <w:t>gas detectors/oxygen monitoring devices</w:t>
            </w:r>
          </w:p>
          <w:p w:rsidR="00000000" w:rsidRPr="0037500F" w:rsidP="0037500F">
            <w:pPr>
              <w:pStyle w:val="ListBullet2"/>
            </w:pPr>
            <w:r w:rsidRPr="0037500F">
              <w:t>compliance requirements</w:t>
            </w:r>
          </w:p>
          <w:p w:rsidR="00000000" w:rsidRPr="0037500F" w:rsidP="0037500F">
            <w:pPr>
              <w:pStyle w:val="ListBullet"/>
            </w:pPr>
            <w:r w:rsidRPr="0037500F">
              <w:t>Reporting</w:t>
            </w:r>
          </w:p>
          <w:p w:rsidR="00000000" w:rsidRPr="0037500F" w:rsidP="0037500F">
            <w:pPr>
              <w:pStyle w:val="BodyText"/>
            </w:pPr>
            <w:r w:rsidRPr="0037500F">
              <w:t>T9. Organisation's policies, quality requirements, specifications, forms and reports for work activities</w:t>
            </w:r>
          </w:p>
        </w:tc>
      </w:tr>
    </w:tbl>
    <w:p w:rsidR="006E6336" w:rsidP="0037500F">
      <w:pPr>
        <w:pStyle w:val="BodyText"/>
      </w:pPr>
    </w:p>
    <w:p w:rsidR="006E6336" w:rsidP="0037500F">
      <w:pPr>
        <w:pStyle w:val="BodyText"/>
      </w:pPr>
    </w:p>
    <w:p w:rsidR="00000000" w:rsidRPr="0037500F" w:rsidP="0037500F">
      <w:pPr>
        <w:pStyle w:val="Heading1"/>
      </w:pPr>
      <w:bookmarkStart w:id="10" w:name="O_593830"/>
      <w:bookmarkEnd w:id="10"/>
      <w:r w:rsidRPr="0037500F">
        <w:t>Evidence Guide</w:t>
      </w:r>
    </w:p>
    <w:tbl>
      <w:tblPr>
        <w:tblW w:w="0" w:type="auto"/>
        <w:tblLayout w:type="fixed"/>
        <w:tblCellMar>
          <w:left w:w="62" w:type="dxa"/>
          <w:right w:w="62" w:type="dxa"/>
        </w:tblCellMar>
        <w:tblLook w:val="0000"/>
      </w:tblPr>
      <w:tblGrid>
        <w:gridCol w:w="8398"/>
      </w:tblGrid>
      <w:tr w:rsidTr="0037500F">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EVIDENCE GUIDE</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8)</w:t>
            </w:r>
            <w:r w:rsidRPr="0037500F">
              <w:t xml:space="preserve"> The Evidence Guide forms an integral part of this Competency Standard Unit and shall be used in conjunction with all components parts of this unit and performed in accordance with the Assessment Guidelines </w:t>
            </w:r>
            <w:r w:rsidRPr="0037500F">
              <w:t>of this Training Package.</w:t>
            </w:r>
          </w:p>
        </w:tc>
      </w:tr>
    </w:tbl>
    <w:p w:rsidR="00000000" w:rsidRPr="0037500F" w:rsidP="0037500F">
      <w:pPr>
        <w:pStyle w:val="BodyText"/>
      </w:pPr>
    </w:p>
    <w:tbl>
      <w:tblPr>
        <w:tblW w:w="0" w:type="auto"/>
        <w:tblLayout w:type="fixed"/>
        <w:tblCellMar>
          <w:left w:w="62" w:type="dxa"/>
          <w:right w:w="62" w:type="dxa"/>
        </w:tblCellMar>
        <w:tblLook w:val="0000"/>
      </w:tblPr>
      <w:tblGrid>
        <w:gridCol w:w="1828"/>
        <w:gridCol w:w="6570"/>
      </w:tblGrid>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8.1)</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 xml:space="preserve">Longitudinal competency development approaches to assessment, such as Profiling, require data to be reliably gathered in a form that can be </w:t>
            </w:r>
            <w:r w:rsidRPr="0037500F">
              <w:t>consistently interpreted over time. This approach is best utilised in Apprenticeship programs and reduces assessment intervention. It is the Industry’s preferred model for apprenticeships. However, where summative (or final) assessment is used it is to inc</w:t>
            </w:r>
            <w:r w:rsidRPr="0037500F">
              <w:t>lude the application of the competency in the normal work environment or, at a minimum, the application of the competency in a realistically simulated work environment. It is recognised that, in some circumstances, assessment in part or full can occur outs</w:t>
            </w:r>
            <w:r w:rsidRPr="0037500F">
              <w:t>ide the workplace. However, it must be in accord with Industry and Regulatory policy in this regard.</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Methods chosen for a particular assessment will be influenced by various factors. These include the extent of the assessment, the most effective location</w:t>
            </w:r>
            <w:r w:rsidRPr="0037500F">
              <w:t>s for the assessment activities to take place, access to physical resources, additional safety measures that may be required and the critical nature of the competencies being assessed.</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The critical safety nature of working with electricity, electrical eq</w:t>
            </w:r>
            <w:r w:rsidRPr="0037500F">
              <w:t>uipment, gas or any other hazardous substance/material carries risk in deeming a person competent. Hence, sources of evidence need to be ‘rich’ in nature so as to minimise error in judgment.</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Activities associated with normal every day work have a bearing</w:t>
            </w:r>
            <w:r w:rsidRPr="0037500F">
              <w:t xml:space="preserve"> on the decision as to how much and how detailed the data gathered will contribute to its ‘richness’. Some skills are more critical to safety and operational requirements while the same skills may be more or less frequently practiced. These points are rais</w:t>
            </w:r>
            <w:r w:rsidRPr="0037500F">
              <w:t>ed for the assessors to consider when choosing an assessment method and developing assessment instruments. Sample assessment instruments are included for Assessors in the Assessment Guidelines of this Training Package.</w:t>
            </w:r>
          </w:p>
        </w:tc>
      </w:tr>
    </w:tbl>
    <w:p w:rsidR="00000000" w:rsidRPr="0037500F" w:rsidP="0037500F">
      <w:pPr>
        <w:pStyle w:val="BodyText"/>
      </w:pPr>
    </w:p>
    <w:tbl>
      <w:tblPr>
        <w:tblW w:w="0" w:type="auto"/>
        <w:tblLayout w:type="fixed"/>
        <w:tblCellMar>
          <w:left w:w="62" w:type="dxa"/>
          <w:right w:w="62" w:type="dxa"/>
        </w:tblCellMar>
        <w:tblLook w:val="0000"/>
      </w:tblPr>
      <w:tblGrid>
        <w:gridCol w:w="1800"/>
        <w:gridCol w:w="6570"/>
      </w:tblGrid>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Critical aspects of evidence requir</w:t>
            </w:r>
            <w:r w:rsidRPr="0037500F">
              <w:rPr>
                <w:rStyle w:val="SpecialBold"/>
              </w:rPr>
              <w:t>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8.2)</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Before the critical aspects of evidence are considered all prerequisites shall be met.</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 xml:space="preserve">Evidence for competence in this unit shall be considered holistically. Each element </w:t>
            </w:r>
            <w:r w:rsidRPr="0037500F">
              <w:t>and associated Performance Criteria shall be demonstrated on at least two occasions in accordance with the ‘Assessment Guidelines — UEG11’. Evidence shall also comprise:</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A representative body of work performance demonstrated within the timeframes typica</w:t>
            </w:r>
            <w:r w:rsidRPr="0037500F">
              <w:t xml:space="preserve">lly expected of the discipline, work </w:t>
            </w:r>
            <w:r w:rsidRPr="0037500F">
              <w:t>function and industrial environment. In particular this shall incorporate evidence that shows a candidate is able to:</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 xml:space="preserve">Implement Occupational Health and Safety workplace procedures and practices including </w:t>
            </w:r>
            <w:r w:rsidRPr="0037500F">
              <w:t>the use of risk control measures as specified in the Performance Criteria and range</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Apply sustainable energy principles and practices as specified in the Performance Criteria and range</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Demonstrate an understanding of the required skills and knowledge</w:t>
            </w:r>
            <w:r w:rsidRPr="0037500F">
              <w:t xml:space="preserve"> as described in this unit to such an extent that the learner’s performance outcome is reported in accordance with the preferred approach; namely a percentile graded result, where required by the regulated environment</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Demonstrate an appropriate level of</w:t>
            </w:r>
            <w:r w:rsidRPr="0037500F">
              <w:t xml:space="preserve"> employability skills</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2"/>
              <w:rPr>
                <w:lang w:val="en-NZ"/>
              </w:rPr>
            </w:pPr>
            <w:r w:rsidRPr="0037500F">
              <w:t>Conduct work observing the relevant Anti-discrimination legislation, regulations, polices and workplace procedures</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7500F" w:rsidP="0037500F">
            <w:pPr>
              <w:pStyle w:val="ListBullet"/>
            </w:pPr>
            <w:r w:rsidRPr="0037500F">
              <w:t>Demonstrate performance across a representative range of contexts from the prescribed items below.</w:t>
            </w:r>
          </w:p>
          <w:p w:rsidR="00000000" w:rsidRPr="0037500F" w:rsidP="0037500F">
            <w:pPr>
              <w:pStyle w:val="ListBullet2"/>
            </w:pPr>
            <w:r w:rsidRPr="0037500F">
              <w:t>Monitoring and controlling the bulk transfer of liquefied petroleum gas (LPG) in accordance with relevant legislation, codes, regulations and established procedures as described in 9.) Range Statement and including:</w:t>
            </w:r>
          </w:p>
        </w:tc>
      </w:tr>
    </w:tbl>
    <w:p w:rsidR="00000000" w:rsidRPr="0037500F" w:rsidP="0037500F">
      <w:pPr>
        <w:pStyle w:val="BodyText"/>
      </w:pPr>
    </w:p>
    <w:tbl>
      <w:tblPr>
        <w:tblW w:w="0" w:type="auto"/>
        <w:tblLayout w:type="fixed"/>
        <w:tblCellMar>
          <w:left w:w="62" w:type="dxa"/>
          <w:right w:w="62" w:type="dxa"/>
        </w:tblCellMar>
        <w:tblLook w:val="0000"/>
      </w:tblPr>
      <w:tblGrid>
        <w:gridCol w:w="1800"/>
        <w:gridCol w:w="810"/>
        <w:gridCol w:w="1170"/>
        <w:gridCol w:w="2417"/>
        <w:gridCol w:w="2173"/>
      </w:tblGrid>
      <w:tr w:rsidTr="0037500F">
        <w:tblPrEx>
          <w:tblW w:w="0" w:type="auto"/>
          <w:tblLayout w:type="fixed"/>
          <w:tblCellMar>
            <w:left w:w="62" w:type="dxa"/>
            <w:right w:w="62" w:type="dxa"/>
          </w:tblCellMar>
          <w:tblLook w:val="0000"/>
        </w:tblPrEx>
        <w:trPr>
          <w:trHeight w:val="49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Range of tools/equipment/procedures/workplace</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BodyText"/>
            </w:pPr>
            <w:r w:rsidRPr="0037500F">
              <w:rPr>
                <w:rStyle w:val="SpecialBold"/>
              </w:rPr>
              <w:t>Group</w:t>
            </w:r>
          </w:p>
        </w:tc>
        <w:tc>
          <w:tcPr>
            <w:tcW w:w="2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BodyText"/>
            </w:pPr>
            <w:r w:rsidRPr="0037500F">
              <w:rPr>
                <w:rStyle w:val="SpecialBold"/>
              </w:rPr>
              <w:t>The minimum number of items on which skill is to be demonstrated</w:t>
            </w:r>
          </w:p>
        </w:tc>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Item List</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A. Equipment</w:t>
            </w:r>
          </w:p>
        </w:tc>
        <w:tc>
          <w:tcPr>
            <w:tcW w:w="2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t>At least 4</w:t>
            </w:r>
          </w:p>
        </w:tc>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ListBullet"/>
            </w:pPr>
            <w:r w:rsidRPr="0037500F">
              <w:t>Pumps and compressors</w:t>
            </w:r>
          </w:p>
          <w:p w:rsidR="00000000" w:rsidRPr="0037500F" w:rsidP="0037500F">
            <w:pPr>
              <w:pStyle w:val="ListBullet"/>
            </w:pPr>
            <w:r w:rsidRPr="0037500F">
              <w:t>Pipes</w:t>
            </w:r>
          </w:p>
          <w:p w:rsidR="00000000" w:rsidRPr="0037500F" w:rsidP="0037500F">
            <w:pPr>
              <w:pStyle w:val="ListBullet"/>
            </w:pPr>
            <w:r w:rsidRPr="0037500F">
              <w:t>Hoses</w:t>
            </w:r>
          </w:p>
          <w:p w:rsidR="00000000" w:rsidRPr="0037500F" w:rsidP="0037500F">
            <w:pPr>
              <w:pStyle w:val="ListBullet"/>
            </w:pPr>
            <w:r w:rsidRPr="0037500F">
              <w:t>Valves</w:t>
            </w:r>
          </w:p>
          <w:p w:rsidR="00000000" w:rsidRPr="0037500F" w:rsidP="0037500F">
            <w:pPr>
              <w:pStyle w:val="ListBullet"/>
            </w:pPr>
            <w:r w:rsidRPr="0037500F">
              <w:t>Gauges</w:t>
            </w:r>
          </w:p>
          <w:p w:rsidR="00000000" w:rsidRPr="0037500F" w:rsidP="0037500F">
            <w:pPr>
              <w:pStyle w:val="ListBullet"/>
            </w:pPr>
            <w:r w:rsidRPr="0037500F">
              <w:t>Tank connections and fittings</w:t>
            </w:r>
          </w:p>
          <w:p w:rsidR="00000000" w:rsidRPr="0037500F" w:rsidP="0037500F">
            <w:pPr>
              <w:pStyle w:val="ListBullet"/>
            </w:pPr>
            <w:r w:rsidRPr="0037500F">
              <w:t>Articulated arms</w:t>
            </w:r>
          </w:p>
          <w:p w:rsidR="00000000" w:rsidP="0037500F">
            <w:pPr>
              <w:pStyle w:val="ListBullet"/>
              <w:rPr>
                <w:lang w:val="en-NZ"/>
              </w:rPr>
            </w:pPr>
            <w:r w:rsidRPr="0037500F">
              <w:t>Earthing clamps and connections</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B. Applications</w:t>
            </w:r>
          </w:p>
        </w:tc>
        <w:tc>
          <w:tcPr>
            <w:tcW w:w="2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t>At least 2</w:t>
            </w:r>
          </w:p>
        </w:tc>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BodyText"/>
            </w:pPr>
            <w:r w:rsidRPr="0037500F">
              <w:t>Transfer of LPG by:</w:t>
            </w:r>
          </w:p>
          <w:p w:rsidR="00000000" w:rsidRPr="0037500F" w:rsidP="0037500F">
            <w:pPr>
              <w:pStyle w:val="ListBullet"/>
            </w:pPr>
            <w:r w:rsidRPr="0037500F">
              <w:t>Ship to storage terminal</w:t>
            </w:r>
          </w:p>
          <w:p w:rsidR="00000000" w:rsidRPr="0037500F" w:rsidP="0037500F">
            <w:pPr>
              <w:pStyle w:val="ListBullet"/>
            </w:pPr>
            <w:r w:rsidRPr="0037500F">
              <w:t>Tanker to tank</w:t>
            </w:r>
          </w:p>
          <w:p w:rsidR="00000000" w:rsidRPr="0037500F" w:rsidP="0037500F">
            <w:pPr>
              <w:pStyle w:val="ListBullet"/>
            </w:pPr>
            <w:r w:rsidRPr="0037500F">
              <w:t>Tank to tanker</w:t>
            </w:r>
          </w:p>
          <w:p w:rsidR="00000000" w:rsidP="0037500F">
            <w:pPr>
              <w:pStyle w:val="ListBullet"/>
              <w:rPr>
                <w:lang w:val="en-NZ"/>
              </w:rPr>
            </w:pPr>
            <w:r w:rsidRPr="0037500F">
              <w:t>Tank to tank</w:t>
            </w: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C. Requirements</w:t>
            </w:r>
          </w:p>
        </w:tc>
        <w:tc>
          <w:tcPr>
            <w:tcW w:w="2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t xml:space="preserve"> All</w:t>
            </w:r>
          </w:p>
        </w:tc>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ListBullet"/>
            </w:pPr>
            <w:r w:rsidRPr="0037500F">
              <w:t>WHS/OHS, environmental and associated legislative requirements</w:t>
            </w:r>
          </w:p>
          <w:p w:rsidR="00000000" w:rsidRPr="0037500F" w:rsidP="0037500F">
            <w:pPr>
              <w:pStyle w:val="ListBullet"/>
            </w:pPr>
            <w:r w:rsidRPr="0037500F">
              <w:t xml:space="preserve">Australian Dangerous Goods </w:t>
            </w:r>
            <w:r w:rsidRPr="0037500F">
              <w:t>Codes</w:t>
            </w:r>
          </w:p>
          <w:p w:rsidR="00000000" w:rsidRPr="0037500F" w:rsidP="0037500F">
            <w:pPr>
              <w:pStyle w:val="ListBullet"/>
            </w:pPr>
            <w:r w:rsidRPr="0037500F">
              <w:t>Manufacturer's specifications</w:t>
            </w:r>
          </w:p>
          <w:p w:rsidR="00000000" w:rsidRPr="0037500F" w:rsidP="0037500F">
            <w:pPr>
              <w:pStyle w:val="ListBullet"/>
            </w:pPr>
            <w:r w:rsidRPr="0037500F">
              <w:t>Australian Standards</w:t>
            </w:r>
          </w:p>
          <w:p w:rsidR="00000000" w:rsidP="0037500F">
            <w:pPr>
              <w:pStyle w:val="BodyText"/>
              <w:rPr>
                <w:lang w:val="en-NZ"/>
              </w:rPr>
            </w:pPr>
          </w:p>
        </w:tc>
      </w:tr>
      <w:tr w:rsidTr="0037500F">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37500F">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rPr>
                <w:rStyle w:val="SpecialBold"/>
              </w:rPr>
              <w:t>D. Unplanned event</w:t>
            </w:r>
          </w:p>
        </w:tc>
        <w:tc>
          <w:tcPr>
            <w:tcW w:w="2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500F">
            <w:pPr>
              <w:pStyle w:val="BodyText"/>
              <w:rPr>
                <w:lang w:val="en-NZ"/>
              </w:rPr>
            </w:pPr>
            <w:r w:rsidRPr="0037500F">
              <w:t>At least one occasion</w:t>
            </w:r>
          </w:p>
        </w:tc>
        <w:tc>
          <w:tcPr>
            <w:tcW w:w="21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500F" w:rsidP="0037500F">
            <w:pPr>
              <w:pStyle w:val="BodyText"/>
            </w:pPr>
            <w:r w:rsidRPr="0037500F">
              <w:t xml:space="preserve">Deal with an unplanned event by drawing on required skills and to provide appropriate solutions incorporated in the holistic assessment with the above listed items </w:t>
            </w:r>
          </w:p>
        </w:tc>
      </w:tr>
    </w:tbl>
    <w:p w:rsidR="00000000" w:rsidRPr="0037500F" w:rsidP="0037500F">
      <w:pPr>
        <w:pStyle w:val="BodyText"/>
      </w:pPr>
    </w:p>
    <w:tbl>
      <w:tblPr>
        <w:tblW w:w="0" w:type="auto"/>
        <w:tblLayout w:type="fixed"/>
        <w:tblCellMar>
          <w:left w:w="62" w:type="dxa"/>
          <w:right w:w="62" w:type="dxa"/>
        </w:tblCellMar>
        <w:tblLook w:val="0000"/>
      </w:tblPr>
      <w:tblGrid>
        <w:gridCol w:w="1828"/>
        <w:gridCol w:w="6570"/>
      </w:tblGrid>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8.3)</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This unit should be assessed as i</w:t>
            </w:r>
            <w:r w:rsidRPr="0037500F">
              <w:t>t relates to normal work practice using procedures, information and resources typical of a workplace. This should include:</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WHS/OHS policy and work procedures and instructions.</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Suitable work envir</w:t>
            </w:r>
            <w:r w:rsidRPr="0037500F">
              <w:t>onment, facilities, equipment and materials to undertake actual work as prescribed by this Competency Standard Unit.</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Appropriate environmental regulation and work practices.</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Appropriate organisational requirements.</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Appropriate work environment, eq</w:t>
            </w:r>
            <w:r w:rsidRPr="0037500F">
              <w:t>uipment and tools.</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37500F" w:rsidP="0037500F">
            <w:pPr>
              <w:pStyle w:val="ListBullet"/>
            </w:pPr>
            <w:r w:rsidRPr="0037500F">
              <w:t>These should be part of the formal learning/assessment environment.</w:t>
            </w:r>
          </w:p>
          <w:p w:rsidR="00000000" w:rsidP="0037500F">
            <w:pPr>
              <w:pStyle w:val="ListBullet"/>
              <w:rPr>
                <w:lang w:val="en-NZ"/>
              </w:rPr>
            </w:pP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 xml:space="preserve">Assessment of this competency must also be undertaken in either an actual workplace or under a simulated work environment. </w:t>
            </w:r>
          </w:p>
          <w:p w:rsidR="00000000" w:rsidRPr="0037500F" w:rsidP="0037500F">
            <w:pPr>
              <w:pStyle w:val="BodyText"/>
            </w:pPr>
            <w:r w:rsidRPr="0037500F">
              <w:t>Note:</w:t>
            </w:r>
          </w:p>
          <w:p w:rsidR="00000000" w:rsidRPr="0037500F" w:rsidP="0037500F">
            <w:pPr>
              <w:pStyle w:val="BodyText"/>
            </w:pPr>
            <w:r w:rsidRPr="0037500F">
              <w:t>Where simulation is considered a suitable strategy for assessment, conditions must be authentic and as far as possible reproduce and replicate the workplace and be consistent with the approved industry simulation policy.</w:t>
            </w:r>
          </w:p>
          <w:p w:rsidR="00000000" w:rsidRPr="0037500F" w:rsidP="0037500F">
            <w:pPr>
              <w:pStyle w:val="BodyText"/>
            </w:pPr>
          </w:p>
          <w:p w:rsidR="00000000" w:rsidRPr="0037500F" w:rsidP="0037500F">
            <w:pPr>
              <w:pStyle w:val="BodyText"/>
            </w:pPr>
            <w:r w:rsidRPr="0037500F">
              <w:t xml:space="preserve">The resources used for assessment </w:t>
            </w:r>
            <w:r w:rsidRPr="0037500F">
              <w:t>should reflect current industry practices in relation to locating, proving and protecting utility assets.</w:t>
            </w:r>
          </w:p>
        </w:tc>
      </w:tr>
    </w:tbl>
    <w:p w:rsidR="00000000" w:rsidRPr="0037500F" w:rsidP="0037500F">
      <w:pPr>
        <w:pStyle w:val="BodyText"/>
      </w:pPr>
    </w:p>
    <w:tbl>
      <w:tblPr>
        <w:tblW w:w="0" w:type="auto"/>
        <w:tblLayout w:type="fixed"/>
        <w:tblCellMar>
          <w:left w:w="62" w:type="dxa"/>
          <w:right w:w="62" w:type="dxa"/>
        </w:tblCellMar>
        <w:tblLook w:val="0000"/>
      </w:tblPr>
      <w:tblGrid>
        <w:gridCol w:w="1828"/>
        <w:gridCol w:w="6570"/>
      </w:tblGrid>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8.4)</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This Competency Standard Unit shall be assessed by methods given in Volume 1, Part 3 ‘Assessment Guidelines’.</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Note: Competent performance with inherent safe working practices is expected in the Industry to which this Competency Standard Unit applies. This requires that the specified required Skills and Knowledge are assessed in a structured environment which is pr</w:t>
            </w:r>
            <w:r w:rsidRPr="0037500F">
              <w:t>imarily intended for learning/assessment and incorporates all necessary equipment and facilities for learners to develop and demonstrate the required skills and knowledge described in this unit.</w:t>
            </w:r>
          </w:p>
        </w:tc>
      </w:tr>
    </w:tbl>
    <w:p w:rsidR="00000000" w:rsidRPr="0037500F" w:rsidP="0037500F">
      <w:pPr>
        <w:pStyle w:val="BodyText"/>
      </w:pPr>
    </w:p>
    <w:tbl>
      <w:tblPr>
        <w:tblW w:w="0" w:type="auto"/>
        <w:tblLayout w:type="fixed"/>
        <w:tblCellMar>
          <w:left w:w="62" w:type="dxa"/>
          <w:right w:w="62" w:type="dxa"/>
        </w:tblCellMar>
        <w:tblLook w:val="0000"/>
      </w:tblPr>
      <w:tblGrid>
        <w:gridCol w:w="1828"/>
        <w:gridCol w:w="2000"/>
        <w:gridCol w:w="4666"/>
      </w:tblGrid>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Concurrent assessment and relationship with other units</w:t>
            </w:r>
          </w:p>
        </w:tc>
        <w:tc>
          <w:tcPr>
            <w:tcW w:w="6666"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8.5</w:t>
            </w:r>
            <w:r w:rsidRPr="0037500F">
              <w:rPr>
                <w:rStyle w:val="SpecialBold"/>
              </w:rPr>
              <w:t>)</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6" w:type="dxa"/>
            <w:gridSpan w:val="2"/>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There are no recommended concurrent assessments with this unit, however in some cases efficiencies may be gained in terms of learning and assessment effort being concurrently managed with allied Competency Standard Units where listed.</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UEGNSG132A</w:t>
            </w:r>
          </w:p>
        </w:tc>
        <w:tc>
          <w:tcPr>
            <w:tcW w:w="466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Carry out basic work activities in a gas industry work environment</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UEGNSG133A</w:t>
            </w:r>
          </w:p>
        </w:tc>
        <w:tc>
          <w:tcPr>
            <w:tcW w:w="466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Comply with environmental policies and procedures in the utilities industry</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UEGNSG134A</w:t>
            </w:r>
          </w:p>
        </w:tc>
        <w:tc>
          <w:tcPr>
            <w:tcW w:w="466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Establish a utilities infrastructure work site</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BSBFLM312B</w:t>
            </w:r>
          </w:p>
        </w:tc>
        <w:tc>
          <w:tcPr>
            <w:tcW w:w="4666"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Contribute to team effectiv</w:t>
            </w:r>
            <w:r w:rsidRPr="0037500F">
              <w:t xml:space="preserve">eness </w:t>
            </w:r>
          </w:p>
        </w:tc>
      </w:tr>
      <w:tr w:rsidTr="0037500F">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BSBFLM303C</w:t>
            </w:r>
          </w:p>
        </w:tc>
        <w:tc>
          <w:tcPr>
            <w:tcW w:w="4666"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Contribute to effective workplace relationships</w:t>
            </w:r>
          </w:p>
        </w:tc>
      </w:tr>
    </w:tbl>
    <w:p w:rsidR="006E6336" w:rsidP="0037500F">
      <w:pPr>
        <w:pStyle w:val="BodyText"/>
      </w:pPr>
    </w:p>
    <w:p w:rsidR="006E6336" w:rsidP="0037500F">
      <w:pPr>
        <w:pStyle w:val="BodyText"/>
      </w:pPr>
    </w:p>
    <w:p w:rsidR="00000000" w:rsidRPr="0037500F" w:rsidP="0037500F">
      <w:pPr>
        <w:pStyle w:val="Heading1"/>
      </w:pPr>
      <w:bookmarkStart w:id="11" w:name="O_593831"/>
      <w:bookmarkEnd w:id="11"/>
      <w:r w:rsidRPr="0037500F">
        <w:t>Range Statement</w:t>
      </w:r>
    </w:p>
    <w:tbl>
      <w:tblPr>
        <w:tblW w:w="0" w:type="auto"/>
        <w:tblLayout w:type="fixed"/>
        <w:tblCellMar>
          <w:left w:w="62" w:type="dxa"/>
          <w:right w:w="62" w:type="dxa"/>
        </w:tblCellMar>
        <w:tblLook w:val="0000"/>
      </w:tblPr>
      <w:tblGrid>
        <w:gridCol w:w="8398"/>
      </w:tblGrid>
      <w:tr w:rsidTr="0037500F">
        <w:tblPrEx>
          <w:tblW w:w="0" w:type="auto"/>
          <w:tblLayout w:type="fixed"/>
          <w:tblCellMar>
            <w:left w:w="62" w:type="dxa"/>
            <w:right w:w="62" w:type="dxa"/>
          </w:tblCellMar>
          <w:tblLook w:val="0000"/>
        </w:tblPrEx>
        <w:trPr>
          <w:trHeight w:val="466"/>
          <w:tblHeader/>
        </w:trPr>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RANGE STATEMENT</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9)</w:t>
            </w:r>
            <w:r w:rsidRPr="0037500F">
              <w:t xml:space="preserve"> </w:t>
            </w:r>
            <w:r w:rsidRPr="0037500F">
              <w:rPr>
                <w:rStyle w:val="Emphasis"/>
              </w:rPr>
              <w:t xml:space="preserve">This relates to the competency standard unit as a whole providing the range of contexts and </w:t>
            </w:r>
            <w:r w:rsidRPr="0037500F">
              <w:rPr>
                <w:rStyle w:val="Emphasis"/>
              </w:rPr>
              <w:t>conditions to which the Performance Criteria apply. It allows for different work environments and situations that will affect performance.</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This Competency Standard Unit shall be demonstrated in relation to the monitoring and control of the transfer of bul</w:t>
            </w:r>
            <w:r w:rsidRPr="0037500F">
              <w:t>k LPG. This includes ship to tank, tank to tank, tank to tanker and tank to distribution network. Trucks, trains or ships may be used to unload tankers.</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t>The following constants and variables included in the element/Performance Criteria in this unit are fu</w:t>
            </w:r>
            <w:r w:rsidRPr="0037500F">
              <w:t>lly described in the Definitions Section of this volume and form an integral part of the Range Statement of this unit:</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 xml:space="preserve">Equipment </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Transfer of LPG</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Transfer equipment</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37500F">
            <w:pPr>
              <w:pStyle w:val="ListBullet"/>
              <w:rPr>
                <w:lang w:val="en-NZ"/>
              </w:rPr>
            </w:pPr>
            <w:r w:rsidRPr="0037500F">
              <w:t>Emergency response</w:t>
            </w:r>
          </w:p>
        </w:tc>
      </w:tr>
      <w:tr w:rsidTr="0037500F">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37500F" w:rsidP="0037500F">
            <w:pPr>
              <w:pStyle w:val="ListBullet"/>
            </w:pPr>
            <w:r w:rsidRPr="0037500F">
              <w:t xml:space="preserve">Documentation </w:t>
            </w:r>
          </w:p>
        </w:tc>
      </w:tr>
    </w:tbl>
    <w:p w:rsidR="006E6336" w:rsidP="0037500F">
      <w:pPr>
        <w:pStyle w:val="BodyText"/>
      </w:pPr>
    </w:p>
    <w:p w:rsidR="006E6336" w:rsidP="0037500F">
      <w:pPr>
        <w:pStyle w:val="BodyText"/>
      </w:pPr>
    </w:p>
    <w:p w:rsidR="00000000" w:rsidRPr="0037500F" w:rsidP="0037500F">
      <w:pPr>
        <w:pStyle w:val="Heading1"/>
      </w:pPr>
      <w:bookmarkStart w:id="12" w:name="O_593832"/>
      <w:bookmarkEnd w:id="12"/>
      <w:r w:rsidRPr="0037500F">
        <w:t>Unit Sector(s)</w:t>
      </w:r>
    </w:p>
    <w:p w:rsidR="00000000" w:rsidRPr="0037500F" w:rsidP="0037500F">
      <w:pPr>
        <w:pStyle w:val="BodyText"/>
      </w:pPr>
      <w:r w:rsidRPr="0037500F">
        <w:t>Not applicable.</w:t>
      </w:r>
    </w:p>
    <w:p w:rsidR="00000000" w:rsidRPr="0037500F" w:rsidP="0037500F">
      <w:pPr>
        <w:pStyle w:val="AllowPageBreak"/>
      </w:pPr>
    </w:p>
    <w:p w:rsidR="00000000" w:rsidRPr="0037500F" w:rsidP="0037500F">
      <w:pPr>
        <w:pStyle w:val="Heading1"/>
      </w:pPr>
      <w:bookmarkStart w:id="13" w:name="O_593833"/>
      <w:bookmarkEnd w:id="13"/>
      <w:r w:rsidRPr="0037500F">
        <w:t>Competency Field</w:t>
      </w:r>
    </w:p>
    <w:tbl>
      <w:tblPr>
        <w:tblW w:w="0" w:type="auto"/>
        <w:tblLayout w:type="fixed"/>
        <w:tblCellMar>
          <w:left w:w="62" w:type="dxa"/>
          <w:right w:w="62" w:type="dxa"/>
        </w:tblCellMar>
        <w:tblLook w:val="0000"/>
      </w:tblPr>
      <w:tblGrid>
        <w:gridCol w:w="2638"/>
        <w:gridCol w:w="5760"/>
      </w:tblGrid>
      <w:tr w:rsidTr="0037500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500F">
            <w:pPr>
              <w:pStyle w:val="BodyText"/>
              <w:rPr>
                <w:lang w:val="en-NZ"/>
              </w:rPr>
            </w:pPr>
            <w:r w:rsidRPr="0037500F">
              <w:rPr>
                <w:rStyle w:val="SpecialBold"/>
              </w:rPr>
              <w:t xml:space="preserve">11) </w:t>
            </w:r>
          </w:p>
        </w:tc>
      </w:tr>
      <w:tr w:rsidTr="0037500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500F" w:rsidP="0037500F">
            <w:pPr>
              <w:pStyle w:val="BodyText"/>
            </w:pPr>
            <w:r w:rsidRPr="0037500F">
              <w:t>LPG.</w:t>
            </w:r>
          </w:p>
        </w:tc>
      </w:tr>
    </w:tbl>
    <w:p w:rsidR="006E6336" w:rsidP="0037500F">
      <w:pPr>
        <w:pStyle w:val="BodyText"/>
      </w:pPr>
    </w:p>
    <w:p w:rsidR="006E6336" w:rsidP="0037500F">
      <w:pPr>
        <w:pStyle w:val="BodyText"/>
      </w:pPr>
    </w:p>
    <w:p w:rsidR="00000000" w:rsidRPr="0037500F" w:rsidP="0037500F"/>
    <w:sectPr w:rsidSect="00375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rsidRPr="006E6336" w:rsidP="006E6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336" w:rsidP="00375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E6336" w:rsidP="0037500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E6336" w:rsidP="003750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rsidRPr="006E6336" w:rsidP="006E63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336" w:rsidRPr="002D2AF8" w:rsidP="0037500F">
    <w:pPr>
      <w:pStyle w:val="Header"/>
      <w:framePr w:wrap="around"/>
    </w:pPr>
    <w:r>
      <w:fldChar w:fldCharType="begin"/>
    </w:r>
    <w:r>
      <w:instrText xml:space="preserve"> TITLE   \* MERGEFORMAT </w:instrText>
    </w:r>
    <w:r>
      <w:fldChar w:fldCharType="separate"/>
    </w:r>
    <w:r>
      <w:t>UEGNSG617A Monitor and control the transfer of bulk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6E6336" w:rsidP="003750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C1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06A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68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0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00F"/>
    <w:pPr>
      <w:spacing w:before="360" w:after="60"/>
      <w:outlineLvl w:val="0"/>
    </w:pPr>
    <w:rPr>
      <w:sz w:val="32"/>
    </w:rPr>
  </w:style>
  <w:style w:type="paragraph" w:styleId="Heading2">
    <w:name w:val="heading 2"/>
    <w:basedOn w:val="HeadingBase"/>
    <w:next w:val="BodyText"/>
    <w:link w:val="Heading2Char"/>
    <w:qFormat/>
    <w:rsid w:val="0037500F"/>
    <w:pPr>
      <w:keepLines/>
      <w:spacing w:before="240" w:after="120"/>
      <w:outlineLvl w:val="1"/>
    </w:pPr>
    <w:rPr>
      <w:sz w:val="28"/>
      <w:szCs w:val="40"/>
    </w:rPr>
  </w:style>
  <w:style w:type="paragraph" w:styleId="Heading3">
    <w:name w:val="heading 3"/>
    <w:basedOn w:val="HeadingBase"/>
    <w:next w:val="BodyText"/>
    <w:link w:val="Heading3Char"/>
    <w:qFormat/>
    <w:rsid w:val="0037500F"/>
    <w:pPr>
      <w:spacing w:before="180" w:after="120"/>
      <w:outlineLvl w:val="2"/>
    </w:pPr>
    <w:rPr>
      <w:spacing w:val="-10"/>
      <w:kern w:val="32"/>
    </w:rPr>
  </w:style>
  <w:style w:type="paragraph" w:styleId="Heading4">
    <w:name w:val="heading 4"/>
    <w:basedOn w:val="HeadingBase"/>
    <w:next w:val="BodyText"/>
    <w:link w:val="Heading4Char"/>
    <w:qFormat/>
    <w:rsid w:val="0037500F"/>
    <w:pPr>
      <w:spacing w:before="160" w:after="120"/>
      <w:outlineLvl w:val="3"/>
    </w:pPr>
    <w:rPr>
      <w:sz w:val="22"/>
    </w:rPr>
  </w:style>
  <w:style w:type="paragraph" w:styleId="Heading5">
    <w:name w:val="heading 5"/>
    <w:basedOn w:val="HeadingBase"/>
    <w:next w:val="Normal"/>
    <w:link w:val="Heading5Char"/>
    <w:qFormat/>
    <w:rsid w:val="0037500F"/>
    <w:pPr>
      <w:spacing w:before="80"/>
      <w:outlineLvl w:val="4"/>
    </w:pPr>
    <w:rPr>
      <w:color w:val="918585"/>
      <w:sz w:val="20"/>
    </w:rPr>
  </w:style>
  <w:style w:type="paragraph" w:styleId="Heading6">
    <w:name w:val="heading 6"/>
    <w:basedOn w:val="HeadingBase"/>
    <w:next w:val="Normal"/>
    <w:link w:val="Heading6Char"/>
    <w:qFormat/>
    <w:rsid w:val="0037500F"/>
    <w:pPr>
      <w:spacing w:before="60"/>
      <w:outlineLvl w:val="5"/>
    </w:pPr>
    <w:rPr>
      <w:color w:val="918585"/>
      <w:sz w:val="20"/>
    </w:rPr>
  </w:style>
  <w:style w:type="paragraph" w:styleId="Heading7">
    <w:name w:val="heading 7"/>
    <w:basedOn w:val="Normal"/>
    <w:next w:val="Normal"/>
    <w:link w:val="Heading7Char"/>
    <w:qFormat/>
    <w:rsid w:val="0037500F"/>
    <w:pPr>
      <w:ind w:left="720"/>
      <w:outlineLvl w:val="6"/>
    </w:pPr>
    <w:rPr>
      <w:i/>
    </w:rPr>
  </w:style>
  <w:style w:type="paragraph" w:styleId="Heading8">
    <w:name w:val="heading 8"/>
    <w:basedOn w:val="Normal"/>
    <w:next w:val="Normal"/>
    <w:link w:val="Heading8Char"/>
    <w:qFormat/>
    <w:rsid w:val="0037500F"/>
    <w:pPr>
      <w:ind w:left="720"/>
      <w:outlineLvl w:val="7"/>
    </w:pPr>
    <w:rPr>
      <w:i/>
    </w:rPr>
  </w:style>
  <w:style w:type="paragraph" w:styleId="Heading9">
    <w:name w:val="heading 9"/>
    <w:basedOn w:val="Normal"/>
    <w:next w:val="Normal"/>
    <w:link w:val="Heading9Char"/>
    <w:qFormat/>
    <w:rsid w:val="0037500F"/>
    <w:pPr>
      <w:ind w:left="720"/>
      <w:outlineLvl w:val="8"/>
    </w:pPr>
    <w:rPr>
      <w:i/>
    </w:rPr>
  </w:style>
  <w:style w:type="character" w:default="1" w:styleId="DefaultParagraphFont">
    <w:name w:val="Default Paragraph Font"/>
    <w:uiPriority w:val="1"/>
    <w:unhideWhenUsed/>
    <w:rsid w:val="00375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00F"/>
  </w:style>
  <w:style w:type="character" w:customStyle="1" w:styleId="Heading1Char">
    <w:name w:val="Heading 1 Char"/>
    <w:basedOn w:val="DefaultParagraphFont"/>
    <w:link w:val="Heading1"/>
    <w:rsid w:val="0037500F"/>
    <w:rPr>
      <w:rFonts w:ascii="Times New Roman" w:eastAsia="Times New Roman" w:hAnsi="Times New Roman" w:cs="Times New Roman"/>
      <w:b/>
      <w:sz w:val="32"/>
      <w:szCs w:val="20"/>
      <w:lang w:eastAsia="en-US"/>
    </w:rPr>
  </w:style>
  <w:style w:type="paragraph" w:styleId="BodyText">
    <w:name w:val="Body Text"/>
    <w:basedOn w:val="Normal"/>
    <w:link w:val="BodyTextChar"/>
    <w:rsid w:val="003750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500F"/>
    <w:rPr>
      <w:rFonts w:ascii="Times New Roman" w:eastAsia="Times New Roman" w:hAnsi="Times New Roman" w:cs="Times New Roman"/>
      <w:sz w:val="24"/>
      <w:lang w:eastAsia="en-US"/>
    </w:rPr>
  </w:style>
  <w:style w:type="paragraph" w:styleId="ListBullet">
    <w:name w:val="List Bullet"/>
    <w:basedOn w:val="List"/>
    <w:rsid w:val="0037500F"/>
    <w:pPr>
      <w:numPr>
        <w:numId w:val="13"/>
      </w:numPr>
      <w:tabs>
        <w:tab w:val="clear" w:pos="340"/>
      </w:tabs>
      <w:spacing w:before="40" w:after="40"/>
    </w:pPr>
  </w:style>
  <w:style w:type="character" w:customStyle="1" w:styleId="SpecialBold">
    <w:name w:val="Special Bold"/>
    <w:basedOn w:val="DefaultParagraphFont"/>
    <w:rsid w:val="0037500F"/>
    <w:rPr>
      <w:b/>
      <w:spacing w:val="0"/>
    </w:rPr>
  </w:style>
  <w:style w:type="paragraph" w:styleId="ListBullet2">
    <w:name w:val="List Bullet 2"/>
    <w:basedOn w:val="List2"/>
    <w:rsid w:val="0037500F"/>
    <w:pPr>
      <w:numPr>
        <w:numId w:val="14"/>
      </w:numPr>
      <w:tabs>
        <w:tab w:val="clear" w:pos="680"/>
      </w:tabs>
    </w:pPr>
  </w:style>
  <w:style w:type="character" w:styleId="Emphasis">
    <w:name w:val="Emphasis"/>
    <w:basedOn w:val="DefaultParagraphFont"/>
    <w:qFormat/>
    <w:rsid w:val="0037500F"/>
    <w:rPr>
      <w:i/>
    </w:rPr>
  </w:style>
  <w:style w:type="paragraph" w:customStyle="1" w:styleId="SuperHeading">
    <w:name w:val="SuperHeading"/>
    <w:basedOn w:val="Normal"/>
    <w:rsid w:val="0037500F"/>
    <w:pPr>
      <w:spacing w:before="240" w:after="120"/>
      <w:outlineLvl w:val="0"/>
    </w:pPr>
    <w:rPr>
      <w:rFonts w:ascii="Times New Roman" w:hAnsi="Times New Roman"/>
      <w:b/>
      <w:sz w:val="32"/>
    </w:rPr>
  </w:style>
  <w:style w:type="paragraph" w:customStyle="1" w:styleId="AllowPageBreak">
    <w:name w:val="AllowPageBreak"/>
    <w:rsid w:val="003750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50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0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0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0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0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0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00F"/>
    <w:rPr>
      <w:rFonts w:ascii="Courier New" w:eastAsia="Times New Roman" w:hAnsi="Courier New" w:cs="Times New Roman"/>
      <w:i/>
      <w:szCs w:val="20"/>
      <w:lang w:eastAsia="en-US"/>
    </w:rPr>
  </w:style>
  <w:style w:type="paragraph" w:customStyle="1" w:styleId="HeadingBase">
    <w:name w:val="Heading Base"/>
    <w:rsid w:val="00375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00F"/>
    <w:pPr>
      <w:tabs>
        <w:tab w:val="right" w:leader="dot" w:pos="9072"/>
      </w:tabs>
      <w:ind w:left="567"/>
    </w:pPr>
    <w:rPr>
      <w:szCs w:val="22"/>
    </w:rPr>
  </w:style>
  <w:style w:type="paragraph" w:customStyle="1" w:styleId="TOCBase">
    <w:name w:val="TOC Base"/>
    <w:rsid w:val="00375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00F"/>
    <w:pPr>
      <w:tabs>
        <w:tab w:val="right" w:leader="dot" w:pos="9072"/>
      </w:tabs>
      <w:spacing w:before="40" w:after="40"/>
      <w:ind w:left="284"/>
    </w:pPr>
    <w:rPr>
      <w:rFonts w:ascii="Times New Roman" w:hAnsi="Times New Roman"/>
    </w:rPr>
  </w:style>
  <w:style w:type="paragraph" w:styleId="TOC1">
    <w:name w:val="toc 1"/>
    <w:basedOn w:val="TOCBase"/>
    <w:next w:val="Normal"/>
    <w:rsid w:val="003750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00F"/>
    <w:rPr>
      <w:rFonts w:ascii="Times New Roman" w:eastAsia="Times New Roman" w:hAnsi="Times New Roman" w:cs="Times New Roman"/>
      <w:sz w:val="16"/>
      <w:lang w:eastAsia="en-US"/>
    </w:rPr>
  </w:style>
  <w:style w:type="paragraph" w:styleId="Title">
    <w:name w:val="Title"/>
    <w:basedOn w:val="HeadingBase"/>
    <w:link w:val="TitleChar"/>
    <w:qFormat/>
    <w:rsid w:val="0037500F"/>
    <w:pPr>
      <w:spacing w:before="5040"/>
      <w:jc w:val="center"/>
    </w:pPr>
    <w:rPr>
      <w:sz w:val="48"/>
      <w:szCs w:val="72"/>
      <w:lang w:val="en-US"/>
    </w:rPr>
  </w:style>
  <w:style w:type="character" w:customStyle="1" w:styleId="TitleChar">
    <w:name w:val="Title Char"/>
    <w:basedOn w:val="DefaultParagraphFont"/>
    <w:link w:val="Title"/>
    <w:rsid w:val="00375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00F"/>
    <w:pPr>
      <w:tabs>
        <w:tab w:val="left" w:pos="3600"/>
        <w:tab w:val="left" w:pos="3958"/>
      </w:tabs>
    </w:pPr>
  </w:style>
  <w:style w:type="paragraph" w:styleId="List">
    <w:name w:val="List"/>
    <w:basedOn w:val="BodyText"/>
    <w:next w:val="BodyText"/>
    <w:rsid w:val="0037500F"/>
    <w:pPr>
      <w:tabs>
        <w:tab w:val="left" w:pos="340"/>
      </w:tabs>
      <w:spacing w:before="60" w:after="60"/>
      <w:ind w:left="340" w:hanging="340"/>
    </w:pPr>
  </w:style>
  <w:style w:type="paragraph" w:customStyle="1" w:styleId="Note">
    <w:name w:val="Note"/>
    <w:basedOn w:val="BodyText"/>
    <w:rsid w:val="00375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00F"/>
    <w:pPr>
      <w:framePr w:wrap="auto" w:hAnchor="text" w:y="6049"/>
    </w:pPr>
    <w:rPr>
      <w:color w:val="000000"/>
      <w:sz w:val="40"/>
    </w:rPr>
  </w:style>
  <w:style w:type="paragraph" w:customStyle="1" w:styleId="TOCTitle">
    <w:name w:val="TOCTitle"/>
    <w:basedOn w:val="Heading1"/>
    <w:rsid w:val="0037500F"/>
    <w:pPr>
      <w:spacing w:after="240"/>
      <w:jc w:val="center"/>
      <w:outlineLvl w:val="9"/>
    </w:pPr>
    <w:rPr>
      <w:caps/>
    </w:rPr>
  </w:style>
  <w:style w:type="paragraph" w:customStyle="1" w:styleId="Version">
    <w:name w:val="Version"/>
    <w:rsid w:val="003750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00F"/>
    <w:pPr>
      <w:keepNext w:val="0"/>
      <w:tabs>
        <w:tab w:val="right" w:pos="4176"/>
      </w:tabs>
      <w:ind w:left="198" w:hanging="198"/>
    </w:pPr>
    <w:rPr>
      <w:rFonts w:ascii="Garamond" w:hAnsi="Garamond"/>
    </w:rPr>
  </w:style>
  <w:style w:type="paragraph" w:styleId="IndexHeading">
    <w:name w:val="index heading"/>
    <w:basedOn w:val="Normal"/>
    <w:next w:val="Index1"/>
    <w:semiHidden/>
    <w:rsid w:val="0037500F"/>
    <w:pPr>
      <w:spacing w:before="120" w:after="120"/>
    </w:pPr>
    <w:rPr>
      <w:rFonts w:ascii="Arial" w:hAnsi="Arial"/>
      <w:b/>
      <w:color w:val="918585"/>
      <w:sz w:val="24"/>
    </w:rPr>
  </w:style>
  <w:style w:type="paragraph" w:styleId="Header">
    <w:name w:val="header"/>
    <w:basedOn w:val="Normal"/>
    <w:link w:val="HeaderChar"/>
    <w:rsid w:val="00375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00F"/>
    <w:rPr>
      <w:rFonts w:ascii="Times New Roman" w:eastAsia="Times New Roman" w:hAnsi="Times New Roman" w:cs="Times New Roman"/>
      <w:sz w:val="16"/>
      <w:szCs w:val="20"/>
      <w:lang w:val="en-GB" w:eastAsia="en-US"/>
    </w:rPr>
  </w:style>
  <w:style w:type="paragraph" w:customStyle="1" w:styleId="Chapter">
    <w:name w:val="Chapter"/>
    <w:basedOn w:val="Normal"/>
    <w:rsid w:val="0037500F"/>
    <w:pPr>
      <w:spacing w:before="240"/>
    </w:pPr>
    <w:rPr>
      <w:rFonts w:ascii="Times New Roman" w:hAnsi="Times New Roman"/>
      <w:smallCaps/>
      <w:spacing w:val="80"/>
      <w:sz w:val="28"/>
    </w:rPr>
  </w:style>
  <w:style w:type="paragraph" w:customStyle="1" w:styleId="InChapter">
    <w:name w:val="InChapter"/>
    <w:basedOn w:val="Heading3"/>
    <w:rsid w:val="0037500F"/>
    <w:pPr>
      <w:spacing w:after="240"/>
      <w:outlineLvl w:val="9"/>
    </w:pPr>
    <w:rPr>
      <w:noProof/>
    </w:rPr>
  </w:style>
  <w:style w:type="paragraph" w:styleId="Index2">
    <w:name w:val="index 2"/>
    <w:basedOn w:val="Normal"/>
    <w:next w:val="Normal"/>
    <w:semiHidden/>
    <w:rsid w:val="0037500F"/>
    <w:pPr>
      <w:tabs>
        <w:tab w:val="right" w:pos="4176"/>
      </w:tabs>
      <w:ind w:left="568" w:hanging="284"/>
    </w:pPr>
    <w:rPr>
      <w:rFonts w:ascii="Garamond" w:hAnsi="Garamond"/>
    </w:rPr>
  </w:style>
  <w:style w:type="paragraph" w:customStyle="1" w:styleId="Byline">
    <w:name w:val="Byline"/>
    <w:rsid w:val="00375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00F"/>
    <w:pPr>
      <w:tabs>
        <w:tab w:val="clear" w:pos="3600"/>
        <w:tab w:val="clear" w:pos="3958"/>
      </w:tabs>
      <w:jc w:val="right"/>
    </w:pPr>
  </w:style>
  <w:style w:type="paragraph" w:styleId="Caption">
    <w:name w:val="caption"/>
    <w:basedOn w:val="BodyText"/>
    <w:next w:val="Normal"/>
    <w:qFormat/>
    <w:rsid w:val="0037500F"/>
    <w:pPr>
      <w:framePr w:w="2268" w:hSpace="181" w:vSpace="181" w:wrap="around" w:vAnchor="text" w:hAnchor="page" w:x="1135" w:y="285" w:anchorLock="1"/>
    </w:pPr>
    <w:rPr>
      <w:i/>
    </w:rPr>
  </w:style>
  <w:style w:type="paragraph" w:customStyle="1" w:styleId="MiniTOCTitle">
    <w:name w:val="MiniTOCTitle"/>
    <w:basedOn w:val="Heading4"/>
    <w:rsid w:val="0037500F"/>
    <w:pPr>
      <w:spacing w:before="240"/>
      <w:outlineLvl w:val="9"/>
    </w:pPr>
    <w:rPr>
      <w:noProof/>
      <w:sz w:val="24"/>
    </w:rPr>
  </w:style>
  <w:style w:type="paragraph" w:customStyle="1" w:styleId="MiniTOCItem">
    <w:name w:val="MiniTOCItem"/>
    <w:basedOn w:val="ListBullet"/>
    <w:rsid w:val="0037500F"/>
    <w:pPr>
      <w:numPr>
        <w:numId w:val="0"/>
      </w:numPr>
      <w:tabs>
        <w:tab w:val="right" w:leader="dot" w:pos="6521"/>
      </w:tabs>
      <w:spacing w:before="0" w:after="0"/>
    </w:pPr>
  </w:style>
  <w:style w:type="paragraph" w:customStyle="1" w:styleId="TOFTitle">
    <w:name w:val="TOFTitle"/>
    <w:basedOn w:val="TOCTitle"/>
    <w:rsid w:val="0037500F"/>
  </w:style>
  <w:style w:type="paragraph" w:styleId="TableofFigures">
    <w:name w:val="table of figures"/>
    <w:basedOn w:val="Normal"/>
    <w:next w:val="Normal"/>
    <w:semiHidden/>
    <w:rsid w:val="0037500F"/>
    <w:pPr>
      <w:tabs>
        <w:tab w:val="right" w:leader="dot" w:pos="9072"/>
      </w:tabs>
      <w:ind w:left="970" w:hanging="403"/>
    </w:pPr>
    <w:rPr>
      <w:rFonts w:ascii="Times New Roman" w:hAnsi="Times New Roman"/>
      <w:b/>
    </w:rPr>
  </w:style>
  <w:style w:type="paragraph" w:styleId="ListNumber">
    <w:name w:val="List Number"/>
    <w:basedOn w:val="List"/>
    <w:rsid w:val="0037500F"/>
    <w:pPr>
      <w:numPr>
        <w:numId w:val="11"/>
      </w:numPr>
    </w:pPr>
  </w:style>
  <w:style w:type="character" w:customStyle="1" w:styleId="WingdingSymbols">
    <w:name w:val="Wingding Symbols"/>
    <w:rsid w:val="0037500F"/>
    <w:rPr>
      <w:rFonts w:ascii="Wingdings" w:hAnsi="Wingdings"/>
    </w:rPr>
  </w:style>
  <w:style w:type="paragraph" w:customStyle="1" w:styleId="TableHeading">
    <w:name w:val="Table Heading"/>
    <w:basedOn w:val="HeadingBase"/>
    <w:rsid w:val="0037500F"/>
    <w:pPr>
      <w:keepLines/>
      <w:pBdr>
        <w:bottom w:val="single" w:sz="6" w:space="1" w:color="918585"/>
      </w:pBdr>
      <w:spacing w:before="240"/>
    </w:pPr>
  </w:style>
  <w:style w:type="character" w:customStyle="1" w:styleId="HotSpot">
    <w:name w:val="HotSpot"/>
    <w:rsid w:val="0037500F"/>
    <w:rPr>
      <w:color w:val="0033CC"/>
      <w:u w:val="none"/>
    </w:rPr>
  </w:style>
  <w:style w:type="paragraph" w:customStyle="1" w:styleId="BodyTextRight">
    <w:name w:val="Body Text Right"/>
    <w:basedOn w:val="BodyText"/>
    <w:rsid w:val="0037500F"/>
    <w:pPr>
      <w:spacing w:before="0" w:after="0"/>
      <w:jc w:val="right"/>
    </w:pPr>
  </w:style>
  <w:style w:type="paragraph" w:styleId="Index3">
    <w:name w:val="index 3"/>
    <w:basedOn w:val="ListNumber2"/>
    <w:next w:val="Normal"/>
    <w:semiHidden/>
    <w:rsid w:val="0037500F"/>
    <w:pPr>
      <w:numPr>
        <w:numId w:val="0"/>
      </w:numPr>
      <w:tabs>
        <w:tab w:val="right" w:leader="dot" w:pos="4176"/>
      </w:tabs>
    </w:pPr>
  </w:style>
  <w:style w:type="paragraph" w:styleId="ListNumber2">
    <w:name w:val="List Number 2"/>
    <w:basedOn w:val="List2"/>
    <w:rsid w:val="0037500F"/>
    <w:pPr>
      <w:numPr>
        <w:numId w:val="10"/>
      </w:numPr>
      <w:tabs>
        <w:tab w:val="clear" w:pos="1060"/>
      </w:tabs>
    </w:pPr>
  </w:style>
  <w:style w:type="paragraph" w:customStyle="1" w:styleId="MarginNote">
    <w:name w:val="Margin Note"/>
    <w:basedOn w:val="BodyText"/>
    <w:rsid w:val="00375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0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00F"/>
    <w:rPr>
      <w:sz w:val="32"/>
    </w:rPr>
  </w:style>
  <w:style w:type="paragraph" w:customStyle="1" w:styleId="HeadingProcedure">
    <w:name w:val="Heading Procedure"/>
    <w:basedOn w:val="HeadingBase"/>
    <w:next w:val="Normal"/>
    <w:rsid w:val="0037500F"/>
    <w:pPr>
      <w:tabs>
        <w:tab w:val="left" w:pos="0"/>
      </w:tabs>
      <w:spacing w:before="120" w:after="60"/>
    </w:pPr>
    <w:rPr>
      <w:i/>
      <w:color w:val="918585"/>
      <w:sz w:val="22"/>
    </w:rPr>
  </w:style>
  <w:style w:type="paragraph" w:customStyle="1" w:styleId="TableBodyText">
    <w:name w:val="Table Body Text"/>
    <w:basedOn w:val="BodyText"/>
    <w:rsid w:val="0037500F"/>
    <w:pPr>
      <w:spacing w:before="60" w:after="60"/>
    </w:pPr>
  </w:style>
  <w:style w:type="paragraph" w:styleId="ListContinue">
    <w:name w:val="List Continue"/>
    <w:basedOn w:val="List"/>
    <w:rsid w:val="0037500F"/>
    <w:pPr>
      <w:ind w:firstLine="0"/>
    </w:pPr>
  </w:style>
  <w:style w:type="paragraph" w:customStyle="1" w:styleId="ListNote">
    <w:name w:val="List Note"/>
    <w:basedOn w:val="List"/>
    <w:rsid w:val="0037500F"/>
    <w:pPr>
      <w:pBdr>
        <w:top w:val="single" w:sz="6" w:space="2" w:color="918585"/>
        <w:bottom w:val="single" w:sz="6" w:space="2" w:color="918585"/>
      </w:pBdr>
      <w:tabs>
        <w:tab w:val="left" w:pos="1021"/>
      </w:tabs>
      <w:ind w:firstLine="0"/>
    </w:pPr>
  </w:style>
  <w:style w:type="paragraph" w:customStyle="1" w:styleId="Warning">
    <w:name w:val="Warning"/>
    <w:basedOn w:val="BodyText"/>
    <w:rsid w:val="0037500F"/>
    <w:pPr>
      <w:shd w:val="clear" w:color="auto" w:fill="D9D9D9"/>
      <w:tabs>
        <w:tab w:val="left" w:pos="992"/>
      </w:tabs>
      <w:ind w:left="119" w:right="119"/>
    </w:pPr>
    <w:rPr>
      <w:sz w:val="20"/>
    </w:rPr>
  </w:style>
  <w:style w:type="paragraph" w:customStyle="1" w:styleId="MarginIcons">
    <w:name w:val="Margin Icons"/>
    <w:basedOn w:val="BodyText"/>
    <w:rsid w:val="003750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00F"/>
    <w:rPr>
      <w:rFonts w:ascii="Courier New" w:hAnsi="Courier New"/>
    </w:rPr>
  </w:style>
  <w:style w:type="paragraph" w:customStyle="1" w:styleId="NoteBullet">
    <w:name w:val="Note Bullet"/>
    <w:basedOn w:val="Note"/>
    <w:rsid w:val="0037500F"/>
    <w:pPr>
      <w:tabs>
        <w:tab w:val="clear" w:pos="680"/>
      </w:tabs>
      <w:spacing w:before="60" w:after="60"/>
    </w:pPr>
  </w:style>
  <w:style w:type="paragraph" w:customStyle="1" w:styleId="SubHeading2">
    <w:name w:val="SubHeading2"/>
    <w:basedOn w:val="HeadingBase"/>
    <w:rsid w:val="0037500F"/>
    <w:pPr>
      <w:spacing w:before="240" w:after="60"/>
    </w:pPr>
    <w:rPr>
      <w:sz w:val="20"/>
    </w:rPr>
  </w:style>
  <w:style w:type="paragraph" w:customStyle="1" w:styleId="SubHeading1">
    <w:name w:val="SubHeading1"/>
    <w:basedOn w:val="HeadingBase"/>
    <w:rsid w:val="0037500F"/>
    <w:pPr>
      <w:spacing w:before="240" w:after="60"/>
    </w:pPr>
    <w:rPr>
      <w:color w:val="918585"/>
      <w:sz w:val="22"/>
    </w:rPr>
  </w:style>
  <w:style w:type="paragraph" w:customStyle="1" w:styleId="SideHeading">
    <w:name w:val="Side Heading"/>
    <w:basedOn w:val="HeadingBase"/>
    <w:rsid w:val="00375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00F"/>
    <w:pPr>
      <w:numPr>
        <w:numId w:val="12"/>
      </w:numPr>
    </w:pPr>
  </w:style>
  <w:style w:type="paragraph" w:styleId="PlainText">
    <w:name w:val="Plain Text"/>
    <w:basedOn w:val="Normal"/>
    <w:link w:val="PlainTextChar"/>
    <w:rsid w:val="0037500F"/>
    <w:rPr>
      <w:sz w:val="20"/>
    </w:rPr>
  </w:style>
  <w:style w:type="character" w:customStyle="1" w:styleId="PlainTextChar">
    <w:name w:val="Plain Text Char"/>
    <w:basedOn w:val="DefaultParagraphFont"/>
    <w:link w:val="PlainText"/>
    <w:rsid w:val="0037500F"/>
    <w:rPr>
      <w:rFonts w:ascii="Courier New" w:eastAsia="Times New Roman" w:hAnsi="Courier New" w:cs="Times New Roman"/>
      <w:sz w:val="20"/>
      <w:szCs w:val="20"/>
      <w:lang w:eastAsia="en-US"/>
    </w:rPr>
  </w:style>
  <w:style w:type="character" w:customStyle="1" w:styleId="MenuOption">
    <w:name w:val="Menu Option"/>
    <w:basedOn w:val="DefaultParagraphFont"/>
    <w:rsid w:val="0037500F"/>
    <w:rPr>
      <w:b/>
      <w:smallCaps/>
    </w:rPr>
  </w:style>
  <w:style w:type="paragraph" w:customStyle="1" w:styleId="TableListNumber">
    <w:name w:val="Table List Number"/>
    <w:basedOn w:val="ListNumber"/>
    <w:rsid w:val="0037500F"/>
    <w:pPr>
      <w:numPr>
        <w:numId w:val="0"/>
      </w:numPr>
    </w:pPr>
  </w:style>
  <w:style w:type="paragraph" w:styleId="TOC4">
    <w:name w:val="toc 4"/>
    <w:basedOn w:val="TOCBase"/>
    <w:next w:val="Normal"/>
    <w:semiHidden/>
    <w:rsid w:val="0037500F"/>
    <w:pPr>
      <w:tabs>
        <w:tab w:val="right" w:leader="dot" w:pos="9071"/>
      </w:tabs>
      <w:ind w:left="1701"/>
    </w:pPr>
  </w:style>
  <w:style w:type="paragraph" w:customStyle="1" w:styleId="ListAlpha">
    <w:name w:val="List Alpha"/>
    <w:basedOn w:val="List"/>
    <w:rsid w:val="0037500F"/>
    <w:pPr>
      <w:numPr>
        <w:numId w:val="9"/>
      </w:numPr>
    </w:pPr>
  </w:style>
  <w:style w:type="paragraph" w:customStyle="1" w:styleId="ListAlpha2">
    <w:name w:val="List Alpha 2"/>
    <w:basedOn w:val="List2"/>
    <w:rsid w:val="0037500F"/>
    <w:pPr>
      <w:numPr>
        <w:numId w:val="8"/>
      </w:numPr>
    </w:pPr>
  </w:style>
  <w:style w:type="paragraph" w:styleId="List2">
    <w:name w:val="List 2"/>
    <w:basedOn w:val="BodyText"/>
    <w:rsid w:val="0037500F"/>
    <w:pPr>
      <w:tabs>
        <w:tab w:val="left" w:pos="680"/>
      </w:tabs>
      <w:spacing w:before="60" w:after="60"/>
      <w:ind w:left="680" w:hanging="340"/>
    </w:pPr>
  </w:style>
  <w:style w:type="paragraph" w:styleId="List3">
    <w:name w:val="List 3"/>
    <w:basedOn w:val="BodyText"/>
    <w:rsid w:val="0037500F"/>
    <w:pPr>
      <w:tabs>
        <w:tab w:val="left" w:pos="1021"/>
      </w:tabs>
      <w:spacing w:before="60" w:after="60"/>
      <w:ind w:left="1020" w:hanging="340"/>
    </w:pPr>
  </w:style>
  <w:style w:type="paragraph" w:styleId="List4">
    <w:name w:val="List 4"/>
    <w:basedOn w:val="BodyText"/>
    <w:rsid w:val="0037500F"/>
    <w:pPr>
      <w:tabs>
        <w:tab w:val="left" w:pos="1361"/>
      </w:tabs>
      <w:spacing w:before="60" w:after="60"/>
      <w:ind w:left="1361" w:hanging="340"/>
    </w:pPr>
  </w:style>
  <w:style w:type="paragraph" w:styleId="List5">
    <w:name w:val="List 5"/>
    <w:basedOn w:val="BodyText"/>
    <w:rsid w:val="0037500F"/>
    <w:pPr>
      <w:tabs>
        <w:tab w:val="left" w:pos="1701"/>
      </w:tabs>
      <w:spacing w:before="60" w:after="60"/>
      <w:ind w:left="1701" w:hanging="340"/>
    </w:pPr>
  </w:style>
  <w:style w:type="paragraph" w:styleId="ListBullet3">
    <w:name w:val="List Bullet 3"/>
    <w:basedOn w:val="List3"/>
    <w:rsid w:val="0037500F"/>
    <w:pPr>
      <w:numPr>
        <w:numId w:val="15"/>
      </w:numPr>
      <w:tabs>
        <w:tab w:val="clear" w:pos="1021"/>
      </w:tabs>
      <w:ind w:left="1037" w:hanging="357"/>
    </w:pPr>
  </w:style>
  <w:style w:type="paragraph" w:styleId="ListBullet4">
    <w:name w:val="List Bullet 4"/>
    <w:basedOn w:val="List4"/>
    <w:rsid w:val="0037500F"/>
    <w:pPr>
      <w:numPr>
        <w:numId w:val="3"/>
      </w:numPr>
    </w:pPr>
  </w:style>
  <w:style w:type="paragraph" w:styleId="ListBullet5">
    <w:name w:val="List Bullet 5"/>
    <w:basedOn w:val="List5"/>
    <w:rsid w:val="0037500F"/>
    <w:pPr>
      <w:numPr>
        <w:numId w:val="4"/>
      </w:numPr>
    </w:pPr>
  </w:style>
  <w:style w:type="paragraph" w:styleId="ListContinue2">
    <w:name w:val="List Continue 2"/>
    <w:basedOn w:val="List2"/>
    <w:rsid w:val="0037500F"/>
    <w:pPr>
      <w:ind w:firstLine="0"/>
    </w:pPr>
  </w:style>
  <w:style w:type="paragraph" w:styleId="ListContinue3">
    <w:name w:val="List Continue 3"/>
    <w:basedOn w:val="List3"/>
    <w:rsid w:val="0037500F"/>
    <w:pPr>
      <w:ind w:left="1021" w:firstLine="0"/>
    </w:pPr>
  </w:style>
  <w:style w:type="paragraph" w:styleId="ListContinue4">
    <w:name w:val="List Continue 4"/>
    <w:basedOn w:val="List4"/>
    <w:rsid w:val="0037500F"/>
    <w:pPr>
      <w:ind w:firstLine="0"/>
    </w:pPr>
  </w:style>
  <w:style w:type="paragraph" w:styleId="ListContinue5">
    <w:name w:val="List Continue 5"/>
    <w:basedOn w:val="List5"/>
    <w:rsid w:val="0037500F"/>
    <w:pPr>
      <w:ind w:firstLine="0"/>
    </w:pPr>
  </w:style>
  <w:style w:type="paragraph" w:styleId="ListNumber3">
    <w:name w:val="List Number 3"/>
    <w:basedOn w:val="List3"/>
    <w:rsid w:val="0037500F"/>
    <w:pPr>
      <w:numPr>
        <w:numId w:val="5"/>
      </w:numPr>
    </w:pPr>
  </w:style>
  <w:style w:type="paragraph" w:styleId="ListNumber4">
    <w:name w:val="List Number 4"/>
    <w:basedOn w:val="List4"/>
    <w:rsid w:val="0037500F"/>
    <w:pPr>
      <w:numPr>
        <w:numId w:val="6"/>
      </w:numPr>
    </w:pPr>
  </w:style>
  <w:style w:type="paragraph" w:styleId="ListNumber5">
    <w:name w:val="List Number 5"/>
    <w:basedOn w:val="List5"/>
    <w:rsid w:val="0037500F"/>
    <w:pPr>
      <w:numPr>
        <w:numId w:val="7"/>
      </w:numPr>
    </w:pPr>
  </w:style>
  <w:style w:type="paragraph" w:styleId="BlockText">
    <w:name w:val="Block Text"/>
    <w:basedOn w:val="Normal"/>
    <w:rsid w:val="0037500F"/>
    <w:pPr>
      <w:spacing w:after="120"/>
      <w:ind w:left="1440" w:right="1440"/>
    </w:pPr>
  </w:style>
  <w:style w:type="character" w:customStyle="1" w:styleId="Subscript">
    <w:name w:val="Subscript"/>
    <w:basedOn w:val="DefaultParagraphFont"/>
    <w:rsid w:val="0037500F"/>
    <w:rPr>
      <w:sz w:val="16"/>
      <w:vertAlign w:val="subscript"/>
    </w:rPr>
  </w:style>
  <w:style w:type="character" w:customStyle="1" w:styleId="Superscript">
    <w:name w:val="Superscript"/>
    <w:basedOn w:val="DefaultParagraphFont"/>
    <w:rsid w:val="0037500F"/>
    <w:rPr>
      <w:sz w:val="16"/>
      <w:vertAlign w:val="superscript"/>
    </w:rPr>
  </w:style>
  <w:style w:type="character" w:customStyle="1" w:styleId="Symbols">
    <w:name w:val="Symbols"/>
    <w:basedOn w:val="DefaultParagraphFont"/>
    <w:rsid w:val="0037500F"/>
    <w:rPr>
      <w:rFonts w:ascii="Symbol" w:hAnsi="Symbol"/>
    </w:rPr>
  </w:style>
  <w:style w:type="character" w:customStyle="1" w:styleId="MenuOptions">
    <w:name w:val="Menu Options"/>
    <w:basedOn w:val="DefaultParagraphFont"/>
    <w:rsid w:val="0037500F"/>
    <w:rPr>
      <w:rFonts w:ascii="Arial Narrow" w:hAnsi="Arial Narrow"/>
      <w:smallCaps/>
    </w:rPr>
  </w:style>
  <w:style w:type="character" w:customStyle="1" w:styleId="Buttons">
    <w:name w:val="Buttons"/>
    <w:basedOn w:val="DefaultParagraphFont"/>
    <w:rsid w:val="0037500F"/>
    <w:rPr>
      <w:b/>
    </w:rPr>
  </w:style>
  <w:style w:type="character" w:customStyle="1" w:styleId="Underlined">
    <w:name w:val="Underlined"/>
    <w:basedOn w:val="DefaultParagraphFont"/>
    <w:rsid w:val="0037500F"/>
    <w:rPr>
      <w:u w:val="single"/>
    </w:rPr>
  </w:style>
  <w:style w:type="paragraph" w:customStyle="1" w:styleId="TableBodyTextRight">
    <w:name w:val="Table Body Text Right"/>
    <w:basedOn w:val="TableBodyText"/>
    <w:rsid w:val="0037500F"/>
    <w:pPr>
      <w:widowControl w:val="0"/>
      <w:autoSpaceDE w:val="0"/>
      <w:autoSpaceDN w:val="0"/>
      <w:adjustRightInd w:val="0"/>
      <w:jc w:val="right"/>
    </w:pPr>
    <w:rPr>
      <w:rFonts w:cs="Arial"/>
      <w:szCs w:val="18"/>
    </w:rPr>
  </w:style>
  <w:style w:type="paragraph" w:customStyle="1" w:styleId="CopyrightText">
    <w:name w:val="Copyright Text"/>
    <w:basedOn w:val="BodyText"/>
    <w:rsid w:val="0037500F"/>
    <w:rPr>
      <w:sz w:val="18"/>
    </w:rPr>
  </w:style>
  <w:style w:type="paragraph" w:customStyle="1" w:styleId="BodySmallRight">
    <w:name w:val="Body Small Right"/>
    <w:basedOn w:val="BodyTextRight"/>
    <w:rsid w:val="0037500F"/>
    <w:rPr>
      <w:sz w:val="18"/>
      <w:szCs w:val="18"/>
    </w:rPr>
  </w:style>
  <w:style w:type="paragraph" w:customStyle="1" w:styleId="MarginEdition">
    <w:name w:val="Margin Edition"/>
    <w:basedOn w:val="MarginNote"/>
    <w:rsid w:val="0037500F"/>
    <w:pPr>
      <w:spacing w:before="0" w:after="0"/>
    </w:pPr>
    <w:rPr>
      <w:rFonts w:ascii="Times New Roman" w:hAnsi="Times New Roman"/>
      <w:color w:val="999999"/>
    </w:rPr>
  </w:style>
  <w:style w:type="paragraph" w:customStyle="1" w:styleId="Spacer">
    <w:name w:val="Spacer"/>
    <w:basedOn w:val="Normal"/>
    <w:rsid w:val="0037500F"/>
    <w:rPr>
      <w:sz w:val="2"/>
      <w:szCs w:val="2"/>
    </w:rPr>
  </w:style>
  <w:style w:type="character" w:customStyle="1" w:styleId="Small">
    <w:name w:val="Small"/>
    <w:basedOn w:val="DefaultParagraphFont"/>
    <w:rsid w:val="0037500F"/>
    <w:rPr>
      <w:sz w:val="16"/>
    </w:rPr>
  </w:style>
  <w:style w:type="paragraph" w:customStyle="1" w:styleId="WideTable">
    <w:name w:val="Wide Table"/>
    <w:basedOn w:val="Normal"/>
    <w:rsid w:val="0037500F"/>
    <w:pPr>
      <w:ind w:left="-1418"/>
    </w:pPr>
    <w:rPr>
      <w:sz w:val="2"/>
      <w:szCs w:val="2"/>
    </w:rPr>
  </w:style>
  <w:style w:type="character" w:styleId="PageNumber">
    <w:name w:val="page number"/>
    <w:basedOn w:val="DefaultParagraphFont"/>
    <w:rsid w:val="0037500F"/>
  </w:style>
  <w:style w:type="paragraph" w:styleId="Quote">
    <w:name w:val="Quote"/>
    <w:basedOn w:val="Heading1"/>
    <w:link w:val="QuoteChar"/>
    <w:qFormat/>
    <w:rsid w:val="0037500F"/>
    <w:rPr>
      <w:b w:val="0"/>
      <w:sz w:val="72"/>
      <w:szCs w:val="72"/>
      <w:lang w:val="en-NZ"/>
    </w:rPr>
  </w:style>
  <w:style w:type="character" w:customStyle="1" w:styleId="QuoteChar">
    <w:name w:val="Quote Char"/>
    <w:basedOn w:val="DefaultParagraphFont"/>
    <w:link w:val="Quote"/>
    <w:rsid w:val="00375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00F"/>
    <w:pPr>
      <w:pageBreakBefore/>
    </w:pPr>
  </w:style>
  <w:style w:type="paragraph" w:customStyle="1" w:styleId="Border">
    <w:name w:val="Border"/>
    <w:basedOn w:val="Normal"/>
    <w:qFormat/>
    <w:rsid w:val="003750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00F"/>
    <w:rPr>
      <w:b/>
      <w:bCs/>
      <w:i/>
      <w:iCs/>
      <w:color w:val="auto"/>
    </w:rPr>
  </w:style>
  <w:style w:type="paragraph" w:styleId="IntenseQuote">
    <w:name w:val="Intense Quote"/>
    <w:basedOn w:val="Normal"/>
    <w:next w:val="Normal"/>
    <w:link w:val="IntenseQuoteChar"/>
    <w:uiPriority w:val="30"/>
    <w:qFormat/>
    <w:rsid w:val="003750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0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00F"/>
    <w:rPr>
      <w:smallCaps/>
      <w:color w:val="auto"/>
      <w:u w:val="single"/>
    </w:rPr>
  </w:style>
  <w:style w:type="character" w:styleId="IntenseReference">
    <w:name w:val="Intense Reference"/>
    <w:basedOn w:val="DefaultParagraphFont"/>
    <w:uiPriority w:val="32"/>
    <w:qFormat/>
    <w:rsid w:val="0037500F"/>
    <w:rPr>
      <w:b/>
      <w:bCs/>
      <w:smallCaps/>
      <w:color w:val="auto"/>
      <w:spacing w:val="5"/>
      <w:u w:val="single"/>
    </w:rPr>
  </w:style>
  <w:style w:type="paragraph" w:customStyle="1" w:styleId="2ColumnHeading">
    <w:name w:val="2Column Heading"/>
    <w:basedOn w:val="BodyText"/>
    <w:qFormat/>
    <w:rsid w:val="0037500F"/>
    <w:pPr>
      <w:spacing w:after="60"/>
      <w:ind w:left="-2268"/>
    </w:pPr>
    <w:rPr>
      <w:b/>
    </w:rPr>
  </w:style>
  <w:style w:type="paragraph" w:customStyle="1" w:styleId="Heading1TOC">
    <w:name w:val="Heading1 TOC"/>
    <w:basedOn w:val="Normal"/>
    <w:qFormat/>
    <w:rsid w:val="0037500F"/>
    <w:pPr>
      <w:spacing w:before="240" w:after="120"/>
    </w:pPr>
    <w:rPr>
      <w:rFonts w:ascii="Times New Roman" w:hAnsi="Times New Roman"/>
      <w:b/>
      <w:sz w:val="32"/>
    </w:rPr>
  </w:style>
  <w:style w:type="paragraph" w:customStyle="1" w:styleId="Heading2TOC">
    <w:name w:val="Heading2 TOC"/>
    <w:basedOn w:val="Normal"/>
    <w:qFormat/>
    <w:rsid w:val="0037500F"/>
    <w:pPr>
      <w:spacing w:before="240" w:after="60"/>
    </w:pPr>
    <w:rPr>
      <w:rFonts w:ascii="Times New Roman" w:hAnsi="Times New Roman"/>
      <w:b/>
      <w:sz w:val="28"/>
    </w:rPr>
  </w:style>
  <w:style w:type="character" w:customStyle="1" w:styleId="Underline">
    <w:name w:val="Underline"/>
    <w:basedOn w:val="DefaultParagraphFont"/>
    <w:qFormat/>
    <w:rsid w:val="0037500F"/>
    <w:rPr>
      <w:u w:val="single"/>
    </w:rPr>
  </w:style>
  <w:style w:type="character" w:customStyle="1" w:styleId="BoldandItalics">
    <w:name w:val="Bold and Italics"/>
    <w:qFormat/>
    <w:rsid w:val="0037500F"/>
    <w:rPr>
      <w:b/>
      <w:i/>
      <w:u w:val="none"/>
    </w:rPr>
  </w:style>
  <w:style w:type="paragraph" w:styleId="BalloonText">
    <w:name w:val="Balloon Text"/>
    <w:basedOn w:val="Normal"/>
    <w:link w:val="BalloonTextChar"/>
    <w:rsid w:val="0037500F"/>
    <w:rPr>
      <w:rFonts w:ascii="Tahoma" w:hAnsi="Tahoma" w:cs="Tahoma"/>
      <w:sz w:val="16"/>
      <w:szCs w:val="16"/>
    </w:rPr>
  </w:style>
  <w:style w:type="character" w:customStyle="1" w:styleId="BalloonTextChar">
    <w:name w:val="Balloon Text Char"/>
    <w:basedOn w:val="DefaultParagraphFont"/>
    <w:link w:val="BalloonText"/>
    <w:rsid w:val="003750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0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50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00F"/>
    <w:rPr>
      <w:b/>
      <w:color w:val="660033"/>
      <w:spacing w:val="0"/>
    </w:rPr>
  </w:style>
  <w:style w:type="paragraph" w:customStyle="1" w:styleId="Nameditemlist">
    <w:name w:val="Named item list"/>
    <w:basedOn w:val="BodyText"/>
    <w:qFormat/>
    <w:rsid w:val="003750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2521</Words>
  <Characters>15284</Characters>
  <Application>Microsoft Office Word</Application>
  <DocSecurity>0</DocSecurity>
  <Lines>654</Lines>
  <Paragraphs>254</Paragraphs>
  <ScaleCrop>false</ScaleCrop>
  <Company>Author-it Software Corporation Ltd.</Company>
  <LinksUpToDate>false</LinksUpToDate>
  <CharactersWithSpaces>17646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UEGNSG617A Monitor and control the transfer of bulk LPG</dc:title>
  <dc:subject>Approved</dc:subject>
  <dc:creator>E-Oz Training Standards</dc:creator>
  <cp:keywords>Release 1</cp:keywords>
  <dc:description>Review Date: 12 April 2008</dc:description>
  <cp:lastModifiedBy>TPCMS</cp:lastModifiedBy>
  <cp:revision>3</cp:revision>
  <dcterms:created xsi:type="dcterms:W3CDTF">2014-03-13T15:19:03Z</dcterms:created>
  <dcterms:modified xsi:type="dcterms:W3CDTF">2014-03-13T03:47:00Z</dcterms:modified>
</cp:coreProperties>
</file>