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9DD" w:rsidP="001839DD">
      <w:pPr>
        <w:pStyle w:val="Title"/>
      </w:pPr>
      <w:r>
        <w:fldChar w:fldCharType="begin"/>
      </w:r>
      <w:r>
        <w:instrText xml:space="preserve"> TITLE   \* MERGEFORMAT </w:instrText>
      </w:r>
      <w:r>
        <w:fldChar w:fldCharType="separate"/>
      </w:r>
      <w:r>
        <w:t>UEGNSG615A Fill LPG cylinders</w:t>
      </w:r>
      <w:r>
        <w:fldChar w:fldCharType="end"/>
      </w:r>
    </w:p>
    <w:p w:rsidR="001839DD" w:rsidP="001839DD">
      <w:pPr>
        <w:pStyle w:val="Version"/>
        <w:sectPr w:rsidSect="00537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262" w:rsidP="00537262">
      <w:pPr>
        <w:pStyle w:val="SuperHeading"/>
      </w:pPr>
      <w:r w:rsidRPr="00537262">
        <w:t>UEGNSG615A Fill LPG cylinders</w:t>
      </w:r>
    </w:p>
    <w:p w:rsidR="00000000" w:rsidRPr="00537262" w:rsidP="00537262">
      <w:pPr>
        <w:pStyle w:val="Heading1"/>
      </w:pPr>
      <w:bookmarkStart w:id="1" w:name="O_593751"/>
      <w:bookmarkEnd w:id="1"/>
      <w:r w:rsidRPr="00537262">
        <w:t>Modification History</w:t>
      </w:r>
    </w:p>
    <w:p w:rsidR="00000000" w:rsidRPr="00537262" w:rsidP="00537262">
      <w:pPr>
        <w:pStyle w:val="BodyText"/>
      </w:pPr>
      <w:r w:rsidRPr="00537262">
        <w:t>This unit replaces UEGNSG604B Fill gas cylinders</w:t>
      </w:r>
    </w:p>
    <w:p w:rsidR="00000000" w:rsidRPr="00537262" w:rsidP="00537262">
      <w:pPr>
        <w:pStyle w:val="AllowPageBreak"/>
      </w:pPr>
    </w:p>
    <w:p w:rsidR="00000000" w:rsidRPr="00537262" w:rsidP="00537262">
      <w:pPr>
        <w:pStyle w:val="Heading1"/>
      </w:pPr>
      <w:bookmarkStart w:id="2" w:name="O_593752"/>
      <w:bookmarkEnd w:id="2"/>
      <w:r w:rsidRPr="00537262">
        <w:t>Unit Descriptor</w:t>
      </w:r>
    </w:p>
    <w:tbl>
      <w:tblPr>
        <w:tblW w:w="0" w:type="auto"/>
        <w:tblLayout w:type="fixed"/>
        <w:tblCellMar>
          <w:left w:w="62" w:type="dxa"/>
          <w:right w:w="62" w:type="dxa"/>
        </w:tblCellMar>
        <w:tblLook w:val="0000"/>
      </w:tblPr>
      <w:tblGrid>
        <w:gridCol w:w="2638"/>
        <w:gridCol w:w="5760"/>
      </w:tblGrid>
      <w:tr w:rsidTr="00537262">
        <w:tblPrEx>
          <w:tblW w:w="0" w:type="auto"/>
          <w:tblLayout w:type="fixed"/>
          <w:tblCellMar>
            <w:left w:w="62" w:type="dxa"/>
            <w:right w:w="62" w:type="dxa"/>
          </w:tblCellMar>
          <w:tblLook w:val="0000"/>
        </w:tblPrEx>
        <w:trPr>
          <w:trHeight w:val="560"/>
          <w:tblHeader/>
        </w:trPr>
        <w:tc>
          <w:tcPr>
            <w:tcW w:w="263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1) Scope:</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5372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1.1) Descriptor</w:t>
            </w:r>
          </w:p>
        </w:tc>
      </w:tr>
      <w:tr w:rsidTr="00537262">
        <w:tblPrEx>
          <w:tblW w:w="0" w:type="auto"/>
          <w:tblLayout w:type="fixed"/>
          <w:tblCellMar>
            <w:left w:w="62" w:type="dxa"/>
            <w:right w:w="62" w:type="dxa"/>
          </w:tblCellMar>
          <w:tblLook w:val="0000"/>
        </w:tblPrEx>
        <w:trPr>
          <w:trHeight w:val="361"/>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This unit covers inspecting and filling liquefied petroleum gas (LPG) cylinders in accordance with relevant</w:t>
            </w:r>
            <w:r w:rsidRPr="00537262">
              <w:t xml:space="preserve"> legislation, codes, regulations and established procedures.</w:t>
            </w:r>
          </w:p>
          <w:p w:rsidR="00000000" w:rsidRPr="00537262" w:rsidP="00537262">
            <w:pPr>
              <w:pStyle w:val="BodyText"/>
            </w:pPr>
          </w:p>
          <w:p w:rsidR="00000000" w:rsidRPr="00537262" w:rsidP="00537262">
            <w:pPr>
              <w:pStyle w:val="BodyText"/>
            </w:pPr>
            <w:r w:rsidRPr="00537262">
              <w:t xml:space="preserve">This encompasses following procedures to correctly and safely carry out the work using appropriate materials, tools and equipment. This work includes the  inspection of the cylinder for correct </w:t>
            </w:r>
            <w:r w:rsidRPr="00537262">
              <w:t>date on cylinder, company’s ownership, corrosion and impact damage, leaks, component and part damage.</w:t>
            </w:r>
          </w:p>
        </w:tc>
      </w:tr>
    </w:tbl>
    <w:p w:rsidR="001839DD" w:rsidP="00537262">
      <w:pPr>
        <w:pStyle w:val="BodyText"/>
      </w:pPr>
    </w:p>
    <w:p w:rsidR="001839DD" w:rsidP="00537262">
      <w:pPr>
        <w:pStyle w:val="BodyText"/>
      </w:pPr>
    </w:p>
    <w:p w:rsidR="00000000" w:rsidRPr="00537262" w:rsidP="00537262">
      <w:pPr>
        <w:pStyle w:val="Heading1"/>
      </w:pPr>
      <w:bookmarkStart w:id="3" w:name="O_593753"/>
      <w:bookmarkEnd w:id="3"/>
      <w:r w:rsidRPr="00537262">
        <w:t>Application of the Unit</w:t>
      </w:r>
    </w:p>
    <w:tbl>
      <w:tblPr>
        <w:tblW w:w="0" w:type="auto"/>
        <w:tblLayout w:type="fixed"/>
        <w:tblCellMar>
          <w:left w:w="62" w:type="dxa"/>
          <w:right w:w="62" w:type="dxa"/>
        </w:tblCellMar>
        <w:tblLook w:val="0000"/>
      </w:tblPr>
      <w:tblGrid>
        <w:gridCol w:w="2610"/>
        <w:gridCol w:w="5699"/>
      </w:tblGrid>
      <w:tr w:rsidTr="0053726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2)</w:t>
            </w:r>
          </w:p>
        </w:tc>
      </w:tr>
      <w:tr w:rsidTr="0053726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This competency standard shall apply to work sites where the distribution of liquefied petroleum gas (LPG) occurs subject to all Workplace Health and Safety (WHS)</w:t>
            </w:r>
          </w:p>
          <w:p w:rsidR="00000000" w:rsidRPr="00537262" w:rsidP="00537262">
            <w:pPr>
              <w:pStyle w:val="BodyText"/>
            </w:pPr>
            <w:r w:rsidRPr="00537262">
              <w:t>/Occupational Health and Safety (OHS) and duty of care requirements being met for the workpla</w:t>
            </w:r>
            <w:r w:rsidRPr="00537262">
              <w:t>ce.</w:t>
            </w:r>
          </w:p>
          <w:p w:rsidR="00000000" w:rsidRPr="00537262" w:rsidP="00537262">
            <w:pPr>
              <w:pStyle w:val="BodyText"/>
            </w:pPr>
          </w:p>
          <w:p w:rsidR="00000000" w:rsidRPr="00537262" w:rsidP="00537262">
            <w:pPr>
              <w:pStyle w:val="BodyText"/>
            </w:pPr>
            <w:r w:rsidRPr="00537262">
              <w:t>This unit is intended as an entry level AQF 2 competency for new entrants in the gas industry. It is suitable for employment-based programs under an approved contract of training.</w:t>
            </w:r>
          </w:p>
        </w:tc>
      </w:tr>
    </w:tbl>
    <w:p w:rsidR="001839DD" w:rsidP="00537262">
      <w:pPr>
        <w:pStyle w:val="BodyText"/>
      </w:pPr>
    </w:p>
    <w:p w:rsidR="001839DD" w:rsidP="00537262">
      <w:pPr>
        <w:pStyle w:val="BodyText"/>
      </w:pPr>
    </w:p>
    <w:p w:rsidR="00000000" w:rsidRPr="00537262" w:rsidP="00537262">
      <w:pPr>
        <w:pStyle w:val="Heading1"/>
      </w:pPr>
      <w:bookmarkStart w:id="4" w:name="O_593754"/>
      <w:bookmarkEnd w:id="4"/>
      <w:r w:rsidRPr="00537262">
        <w:t>Licensing/Regulatory Information</w:t>
      </w:r>
    </w:p>
    <w:tbl>
      <w:tblPr>
        <w:tblW w:w="0" w:type="auto"/>
        <w:tblLayout w:type="fixed"/>
        <w:tblCellMar>
          <w:left w:w="62" w:type="dxa"/>
          <w:right w:w="62" w:type="dxa"/>
        </w:tblCellMar>
        <w:tblLook w:val="0000"/>
      </w:tblPr>
      <w:tblGrid>
        <w:gridCol w:w="2638"/>
        <w:gridCol w:w="5760"/>
      </w:tblGrid>
      <w:tr w:rsidTr="0053726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 xml:space="preserve">3) </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5372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 xml:space="preserve">During Training: </w:t>
            </w:r>
          </w:p>
          <w:p w:rsidR="00000000" w:rsidRPr="00537262" w:rsidP="00537262">
            <w:pPr>
              <w:pStyle w:val="BodyText"/>
            </w:pPr>
            <w:r w:rsidRPr="00537262">
              <w:t xml:space="preserve">Competency development activities are subject to regulations directly related to licensing, occupational health and safety and where applicable contracts of training such as apprenticeships. </w:t>
            </w:r>
          </w:p>
          <w:p w:rsidR="00000000" w:rsidRPr="00537262" w:rsidP="00537262">
            <w:pPr>
              <w:pStyle w:val="BodyText"/>
            </w:pPr>
          </w:p>
          <w:p w:rsidR="00000000" w:rsidRPr="00537262" w:rsidP="00537262">
            <w:pPr>
              <w:pStyle w:val="BodyText"/>
            </w:pPr>
            <w:r w:rsidRPr="00537262">
              <w:rPr>
                <w:rStyle w:val="SpecialBold"/>
              </w:rPr>
              <w:t>In the workplace:</w:t>
            </w:r>
          </w:p>
          <w:p w:rsidR="00000000" w:rsidRPr="00537262" w:rsidP="00537262">
            <w:pPr>
              <w:pStyle w:val="BodyText"/>
            </w:pPr>
            <w:r w:rsidRPr="00537262">
              <w:t>T</w:t>
            </w:r>
            <w:r w:rsidRPr="00537262">
              <w:t>he skills and knowledge described in this unit are not subject to licence regulation other than those directly related to Workplace Health and Safety (WHS)/ Occupational Health and Safety (OHS), gas/electricity/water industry safety and compliance, industr</w:t>
            </w:r>
            <w:r w:rsidRPr="00537262">
              <w:t xml:space="preserve">ial relations, environmental protection, telecommunications, anti-discrimination and training. </w:t>
            </w:r>
          </w:p>
          <w:p w:rsidR="00000000" w:rsidRPr="00537262" w:rsidP="00537262">
            <w:pPr>
              <w:pStyle w:val="BodyText"/>
            </w:pPr>
          </w:p>
          <w:p w:rsidR="00000000" w:rsidRPr="00537262" w:rsidP="00537262">
            <w:pPr>
              <w:pStyle w:val="BodyText"/>
            </w:pPr>
            <w:r w:rsidRPr="00537262">
              <w:t>Commonwealth, State/Territory or Local Government legislation and regulations may exist that limits the age of operating certain equipment. Other conditions ma</w:t>
            </w:r>
            <w:r w:rsidRPr="00537262">
              <w:t>y apply to this competency under State and Territory legislative and regulatory requirements.</w:t>
            </w:r>
          </w:p>
        </w:tc>
      </w:tr>
    </w:tbl>
    <w:p w:rsidR="001839DD" w:rsidP="00537262">
      <w:pPr>
        <w:pStyle w:val="BodyText"/>
      </w:pPr>
    </w:p>
    <w:p w:rsidR="001839DD" w:rsidP="00537262">
      <w:pPr>
        <w:pStyle w:val="BodyText"/>
      </w:pPr>
    </w:p>
    <w:p w:rsidR="00000000" w:rsidRPr="00537262" w:rsidP="00537262">
      <w:pPr>
        <w:pStyle w:val="Heading1"/>
      </w:pPr>
      <w:bookmarkStart w:id="5" w:name="O_593755"/>
      <w:bookmarkEnd w:id="5"/>
      <w:r w:rsidRPr="00537262">
        <w:t>Pre-Requisites</w:t>
      </w:r>
    </w:p>
    <w:tbl>
      <w:tblPr>
        <w:tblW w:w="0" w:type="auto"/>
        <w:tblLayout w:type="fixed"/>
        <w:tblCellMar>
          <w:left w:w="62" w:type="dxa"/>
          <w:right w:w="62" w:type="dxa"/>
        </w:tblCellMar>
        <w:tblLook w:val="0000"/>
      </w:tblPr>
      <w:tblGrid>
        <w:gridCol w:w="2638"/>
        <w:gridCol w:w="1800"/>
        <w:gridCol w:w="3960"/>
      </w:tblGrid>
      <w:tr w:rsidTr="0053726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 xml:space="preserve">4) </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4.1)</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Granting of competency in this unit shall be made only after competency in the following unit(s) has/have been confirmed:</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UEGNSG141A</w:t>
            </w:r>
          </w:p>
        </w:tc>
        <w:tc>
          <w:tcPr>
            <w:tcW w:w="39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Apply Workplace Health and Safety regulations, codes and practices in the gas industry</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UEGNSG005A</w:t>
            </w:r>
          </w:p>
        </w:tc>
        <w:tc>
          <w:tcPr>
            <w:tcW w:w="396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Prepare to work in the Australian gas industry</w:t>
            </w:r>
          </w:p>
        </w:tc>
      </w:tr>
    </w:tbl>
    <w:p w:rsidR="001839DD" w:rsidP="00537262">
      <w:pPr>
        <w:pStyle w:val="BodyText"/>
      </w:pPr>
    </w:p>
    <w:p w:rsidR="001839DD" w:rsidP="00537262">
      <w:pPr>
        <w:pStyle w:val="BodyText"/>
      </w:pPr>
    </w:p>
    <w:p w:rsidR="00000000" w:rsidRPr="00537262" w:rsidP="00537262">
      <w:pPr>
        <w:pStyle w:val="Heading1"/>
      </w:pPr>
      <w:bookmarkStart w:id="6" w:name="O_593756"/>
      <w:bookmarkEnd w:id="6"/>
      <w:r w:rsidRPr="00537262">
        <w:t>Employability Skills Information</w:t>
      </w:r>
    </w:p>
    <w:tbl>
      <w:tblPr>
        <w:tblW w:w="0" w:type="auto"/>
        <w:tblLayout w:type="fixed"/>
        <w:tblCellMar>
          <w:left w:w="62" w:type="dxa"/>
          <w:right w:w="62" w:type="dxa"/>
        </w:tblCellMar>
        <w:tblLook w:val="0000"/>
      </w:tblPr>
      <w:tblGrid>
        <w:gridCol w:w="2638"/>
        <w:gridCol w:w="5760"/>
      </w:tblGrid>
      <w:tr w:rsidTr="0053726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 xml:space="preserve">5) </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This unit contains Employability Skills</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The required outcomes described in this unit of competency contain app</w:t>
            </w:r>
            <w:r w:rsidRPr="00537262">
              <w:t>licable facets of Employability Skills. The Employability Skills Summary of the qualification in which this unit of competency is packaged will assist in identifying Employability Skill requirements.</w:t>
            </w:r>
          </w:p>
        </w:tc>
      </w:tr>
    </w:tbl>
    <w:p w:rsidR="001839DD" w:rsidP="00537262">
      <w:pPr>
        <w:pStyle w:val="BodyText"/>
      </w:pPr>
    </w:p>
    <w:p w:rsidR="001839DD" w:rsidP="00537262">
      <w:pPr>
        <w:pStyle w:val="BodyText"/>
      </w:pPr>
    </w:p>
    <w:p w:rsidR="00000000" w:rsidRPr="00537262" w:rsidP="00537262">
      <w:pPr>
        <w:pStyle w:val="Heading1"/>
      </w:pPr>
      <w:bookmarkStart w:id="7" w:name="O_593757"/>
      <w:bookmarkEnd w:id="7"/>
      <w:r w:rsidRPr="00537262">
        <w:t>Elements and Performance Criteria Pr</w:t>
      </w:r>
      <w:r w:rsidRPr="00537262">
        <w:t>e-Content</w:t>
      </w:r>
    </w:p>
    <w:tbl>
      <w:tblPr>
        <w:tblW w:w="0" w:type="auto"/>
        <w:tblLayout w:type="fixed"/>
        <w:tblCellMar>
          <w:left w:w="62" w:type="dxa"/>
          <w:right w:w="62" w:type="dxa"/>
        </w:tblCellMar>
        <w:tblLook w:val="0000"/>
      </w:tblPr>
      <w:tblGrid>
        <w:gridCol w:w="2638"/>
        <w:gridCol w:w="5760"/>
      </w:tblGrid>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 xml:space="preserve">6) </w:t>
            </w:r>
            <w:r w:rsidRPr="00537262">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Emphasis"/>
              </w:rPr>
              <w:t>Performance Criteria describe the required performance needed to demonstrate achievement of the element. Assessment of performance is to be consistent with the Evidence Gui</w:t>
            </w:r>
            <w:r w:rsidRPr="00537262">
              <w:rPr>
                <w:rStyle w:val="Emphasis"/>
              </w:rPr>
              <w:t>de.</w:t>
            </w:r>
          </w:p>
        </w:tc>
      </w:tr>
    </w:tbl>
    <w:p w:rsidR="001839DD" w:rsidP="00537262">
      <w:pPr>
        <w:pStyle w:val="BodyText"/>
      </w:pPr>
    </w:p>
    <w:p w:rsidR="001839DD" w:rsidP="00537262">
      <w:pPr>
        <w:pStyle w:val="BodyText"/>
      </w:pPr>
    </w:p>
    <w:p w:rsidR="00000000" w:rsidRPr="00537262" w:rsidP="00537262">
      <w:pPr>
        <w:pStyle w:val="Heading1"/>
      </w:pPr>
      <w:bookmarkStart w:id="8" w:name="O_593758"/>
      <w:bookmarkEnd w:id="8"/>
      <w:r w:rsidRPr="00537262">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537262">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PERFORMANCE CRITERIA</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Prepare to  fill LPG cylinders</w:t>
            </w: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1.1</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Work instructions are received and confirmed</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1.2</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Relevant requirements and established procedures to be followed for the work to be performed are discussed with all persons to establish and confirm the work schedule</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1.3</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WHS/OHS, environmental and sustainable energy policies and procedures to be follow</w:t>
            </w:r>
            <w:r w:rsidRPr="00537262">
              <w:t>ed for the work to be performed are received and confirmed</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1.4</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Suggestions to assist with the filling of gas cylinders are made to others involved in the work</w:t>
            </w:r>
          </w:p>
        </w:tc>
      </w:tr>
      <w:tr w:rsidTr="00537262">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1.5</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Hazards are id</w:t>
            </w:r>
            <w:r w:rsidRPr="00537262">
              <w:t>entified, WHS/OHS risks assessed and control measures are prioritised, implemented and monitored including emergency exits kept clear according to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1.6</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Scope of responsibility under the relevant work permit are received and confirm</w:t>
            </w:r>
            <w:r w:rsidRPr="00537262">
              <w:t>ed according to requirements and established procedures with relevant persons</w:t>
            </w:r>
          </w:p>
        </w:tc>
      </w:tr>
      <w:tr w:rsidTr="00537262">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1.7</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Resources including equipment, tools and personal protective equipment required for the job are obtained and in working order according to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1.8</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Relevant responsibilities associated with First Aid and other related work safety procedures at the worksite are confirmed in accordance with requirements and established procedures to ensure safety measures and followed in the instance of an incident.</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1.9</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Client issues are referred to appropriate persons in accordance with industry and community standards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1.10</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Site is prepared according to given instructions and the work schedule for a quality outcome and to minimise risk and damage to property, commerce and individuals in accordance with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Fill LPG cylinders</w:t>
            </w: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2.1</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WHS/OHS policies and proc</w:t>
            </w:r>
            <w:r w:rsidRPr="00537262">
              <w:t>edures and safe work practices are followed to eliminate or minimise incidents and hazards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2.2</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Lifting, climbing, working in confined spaces or aloft, and use of power tools, techniques and practices are safely followed in accordance with given instruct</w:t>
            </w:r>
            <w:r w:rsidRPr="00537262">
              <w:t>ions and according to requirements confirmed to eliminate the prospects of incidents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2.3</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Operational knowledge for the filling of gas cylinders is confirmed to ensure completion in an agreed timeframe and to quality standards with a minimum of waste acc</w:t>
            </w:r>
            <w:r w:rsidRPr="00537262">
              <w:t>ording to requirements and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2.4</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 xml:space="preserve">The filling of gas cylinders is carried out in accordance with given instructions and established procedures </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2.5</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Cylinders with defects such as leaks, damage etc. are</w:t>
            </w:r>
            <w:r w:rsidRPr="00537262">
              <w:t xml:space="preserve"> identified, marked and quarantined and identified hazards and WHS/OHS risks are reported to the immediate authorised persons for directions according to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2.6</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 xml:space="preserve">Non-routine events are referred to the immediate authorised persons for </w:t>
            </w:r>
            <w:r w:rsidRPr="00537262">
              <w:t>directions according to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2.7</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Problems associated with the filling of gas cylinders are dealt with using acquired known solutions and skills related to routine procedures to ensure work instructions and established procedures are me</w:t>
            </w:r>
            <w:r w:rsidRPr="00537262">
              <w:t>t</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2.8</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Ongoing checks of quality of the work are undertaken in accordance with given instructions and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3.1</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Cylinders are lifted and moved according to standard operating procedures against the work schedule and anomalies reported to authorised persons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3.2</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Accidents and incidents are actioned and reported to authorised persons in accordance with established p</w:t>
            </w:r>
            <w:r w:rsidRPr="00537262">
              <w:t xml:space="preserve">rocedures </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3.3</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 xml:space="preserve">Work site is rehabilitated, cleaned up and made safe in accordance with given instructions and established procedures </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3.4</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Tools, equipment and any surplus resources and materials are, where appropriate, cleaned, checked and returned t</w:t>
            </w:r>
            <w:r w:rsidRPr="00537262">
              <w:t xml:space="preserve">o storage in accordance with </w:t>
            </w:r>
            <w:r w:rsidRPr="00537262">
              <w:t>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3.5</w:t>
            </w:r>
          </w:p>
        </w:tc>
        <w:tc>
          <w:tcPr>
            <w:tcW w:w="48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Appropriate persons are notified of work completion according to established procedures</w:t>
            </w:r>
          </w:p>
        </w:tc>
      </w:tr>
      <w:tr w:rsidTr="0053726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3.6</w:t>
            </w:r>
          </w:p>
        </w:tc>
        <w:tc>
          <w:tcPr>
            <w:tcW w:w="486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Work completion records, report forms and data sheets are completed accurately in accordance with given instructions and established procedures</w:t>
            </w:r>
          </w:p>
        </w:tc>
      </w:tr>
    </w:tbl>
    <w:p w:rsidR="00000000" w:rsidRPr="00537262" w:rsidP="00537262">
      <w:pPr>
        <w:pStyle w:val="BodyText"/>
      </w:pPr>
    </w:p>
    <w:p w:rsidR="00000000" w:rsidRPr="00537262" w:rsidP="00537262">
      <w:pPr>
        <w:pStyle w:val="AllowPageBreak"/>
      </w:pPr>
    </w:p>
    <w:p w:rsidR="00000000" w:rsidRPr="00537262" w:rsidP="00537262">
      <w:pPr>
        <w:pStyle w:val="Heading1"/>
      </w:pPr>
      <w:bookmarkStart w:id="9" w:name="O_593759"/>
      <w:bookmarkEnd w:id="9"/>
      <w:r w:rsidRPr="00537262">
        <w:t>Required Skills and Knowledge</w:t>
      </w:r>
    </w:p>
    <w:tbl>
      <w:tblPr>
        <w:tblW w:w="0" w:type="auto"/>
        <w:tblLayout w:type="fixed"/>
        <w:tblCellMar>
          <w:left w:w="62" w:type="dxa"/>
          <w:right w:w="62" w:type="dxa"/>
        </w:tblCellMar>
        <w:tblLook w:val="0000"/>
      </w:tblPr>
      <w:tblGrid>
        <w:gridCol w:w="8398"/>
      </w:tblGrid>
      <w:tr w:rsidTr="001839DD">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REQUIRED SKILLS AND KNOWLEDGE</w:t>
            </w:r>
          </w:p>
        </w:tc>
      </w:tr>
      <w:tr w:rsidTr="001839D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 xml:space="preserve">7) </w:t>
            </w:r>
            <w:r w:rsidRPr="00537262">
              <w:rPr>
                <w:rStyle w:val="Emphasis"/>
              </w:rPr>
              <w:t>This describes the skills and</w:t>
            </w:r>
            <w:r w:rsidRPr="00537262">
              <w:rPr>
                <w:rStyle w:val="Emphasis"/>
              </w:rPr>
              <w:t xml:space="preserve"> knowledge and their level, required for this unit.</w:t>
            </w:r>
          </w:p>
        </w:tc>
      </w:tr>
      <w:tr w:rsidTr="001839D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Evidence shall show that knowledge has been acquired of safe working practices for the filling of LPG cylinders.</w:t>
            </w:r>
          </w:p>
        </w:tc>
      </w:tr>
      <w:tr w:rsidTr="001839DD">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All knowledge and skills detailed in this unit should be contextualised to current industry practices and technologies. The extent of the required skills and knowledge is provided below. It forms an integral part of this unit.</w:t>
            </w:r>
          </w:p>
        </w:tc>
      </w:tr>
      <w:tr w:rsidTr="001839DD">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KS01-G615A</w:t>
            </w:r>
            <w:r w:rsidRPr="00537262">
              <w:rPr>
                <w:rStyle w:val="SpecialBold"/>
              </w:rPr>
              <w:tab/>
              <w:t>LPG cylinder fill</w:t>
            </w:r>
            <w:r w:rsidRPr="00537262">
              <w:rPr>
                <w:rStyle w:val="SpecialBold"/>
              </w:rPr>
              <w:t xml:space="preserve">ing </w:t>
            </w:r>
          </w:p>
        </w:tc>
      </w:tr>
      <w:tr w:rsidTr="001839DD">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Evidence shall show an understanding of inspecting and filling of liquefied petroleum gas (LPG)  cylinders in accordance with relevant legislation, codes, regulations and established procedures to an extent indicated by the following aspects:</w:t>
            </w:r>
          </w:p>
        </w:tc>
      </w:tr>
      <w:tr w:rsidTr="001839DD">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T1. Relevant Australian Standards, guidelines and codes of practice including AS1596 and  AS2030 or replacements</w:t>
            </w:r>
          </w:p>
          <w:p w:rsidR="00000000" w:rsidRPr="00537262" w:rsidP="00537262">
            <w:pPr>
              <w:pStyle w:val="BodyText"/>
            </w:pPr>
            <w:r w:rsidRPr="00537262">
              <w:t>T2. Relevant OHS policies and procedures.</w:t>
            </w:r>
          </w:p>
          <w:p w:rsidR="00000000" w:rsidRPr="00537262" w:rsidP="00537262">
            <w:pPr>
              <w:pStyle w:val="ListBullet"/>
            </w:pPr>
            <w:r w:rsidRPr="00537262">
              <w:t xml:space="preserve">Safety signs including workplace hazards and warnings </w:t>
            </w:r>
          </w:p>
          <w:p w:rsidR="00000000" w:rsidRPr="00537262" w:rsidP="00537262">
            <w:pPr>
              <w:pStyle w:val="BodyText"/>
            </w:pPr>
            <w:r w:rsidRPr="00537262">
              <w:t>T3. LPG cylinders</w:t>
            </w:r>
          </w:p>
          <w:p w:rsidR="00000000" w:rsidRPr="00537262" w:rsidP="00537262">
            <w:pPr>
              <w:pStyle w:val="ListBullet"/>
            </w:pPr>
            <w:r w:rsidRPr="00537262">
              <w:t>Properties of LP Gas</w:t>
            </w:r>
          </w:p>
          <w:p w:rsidR="00000000" w:rsidRPr="00537262" w:rsidP="00537262">
            <w:pPr>
              <w:pStyle w:val="ListBullet"/>
            </w:pPr>
            <w:r w:rsidRPr="00537262">
              <w:t>Types</w:t>
            </w:r>
            <w:r w:rsidRPr="00537262">
              <w:t>, construction, size, valves, labelling, Material Safety Data Sheets (MSDS)</w:t>
            </w:r>
          </w:p>
          <w:p w:rsidR="00000000" w:rsidRPr="00537262" w:rsidP="00537262">
            <w:pPr>
              <w:pStyle w:val="ListBullet"/>
            </w:pPr>
            <w:r w:rsidRPr="00537262">
              <w:t>Inspection requirements</w:t>
            </w:r>
          </w:p>
          <w:p w:rsidR="00000000" w:rsidRPr="00537262" w:rsidP="00537262">
            <w:pPr>
              <w:pStyle w:val="ListBullet2"/>
            </w:pPr>
            <w:r w:rsidRPr="00537262">
              <w:t>correct date on cylinder,; company’s ownership,; corrosion and impact damage,; leaks,; component and part damage</w:t>
            </w:r>
          </w:p>
          <w:p w:rsidR="00000000" w:rsidRPr="00537262" w:rsidP="00537262">
            <w:pPr>
              <w:pStyle w:val="ListBullet"/>
            </w:pPr>
            <w:r w:rsidRPr="00537262">
              <w:t>Filling</w:t>
            </w:r>
          </w:p>
          <w:p w:rsidR="00000000" w:rsidRPr="00537262" w:rsidP="00537262">
            <w:pPr>
              <w:pStyle w:val="ListBullet2"/>
            </w:pPr>
            <w:r w:rsidRPr="00537262">
              <w:t>requirements, methods, tools/equipment, procedures, precautions</w:t>
            </w:r>
          </w:p>
          <w:p w:rsidR="00000000" w:rsidRPr="00537262" w:rsidP="00537262">
            <w:pPr>
              <w:pStyle w:val="ListBullet"/>
            </w:pPr>
            <w:r w:rsidRPr="00537262">
              <w:t xml:space="preserve">Handling </w:t>
            </w:r>
          </w:p>
          <w:p w:rsidR="00000000" w:rsidRPr="00537262" w:rsidP="00537262">
            <w:pPr>
              <w:pStyle w:val="ListBullet"/>
            </w:pPr>
            <w:r w:rsidRPr="00537262">
              <w:t>Leak testing</w:t>
            </w:r>
          </w:p>
          <w:p w:rsidR="00000000" w:rsidRPr="00537262" w:rsidP="00537262">
            <w:pPr>
              <w:pStyle w:val="BodyText"/>
            </w:pPr>
            <w:r w:rsidRPr="00537262">
              <w:t>T4. Personal Protection Equipment</w:t>
            </w:r>
          </w:p>
          <w:p w:rsidR="00000000" w:rsidRPr="00537262" w:rsidP="00537262">
            <w:pPr>
              <w:pStyle w:val="ListBullet"/>
            </w:pPr>
            <w:r w:rsidRPr="00537262">
              <w:t xml:space="preserve">Types, application, checking, maintenance and storage </w:t>
            </w:r>
          </w:p>
          <w:p w:rsidR="00000000" w:rsidRPr="00537262" w:rsidP="00537262">
            <w:pPr>
              <w:pStyle w:val="BodyText"/>
            </w:pPr>
            <w:r w:rsidRPr="00537262">
              <w:t>T5. Hazard identification, risk assessment and control</w:t>
            </w:r>
          </w:p>
          <w:p w:rsidR="00000000" w:rsidRPr="00537262" w:rsidP="00537262">
            <w:pPr>
              <w:pStyle w:val="ListBullet"/>
            </w:pPr>
            <w:r w:rsidRPr="00537262">
              <w:t>Work Permits, JHA’s, J</w:t>
            </w:r>
            <w:r w:rsidRPr="00537262">
              <w:t>SA’s, JSEA’s, SWM’s, etc.</w:t>
            </w:r>
          </w:p>
          <w:p w:rsidR="00000000" w:rsidRPr="00537262" w:rsidP="00537262">
            <w:pPr>
              <w:pStyle w:val="ListBullet"/>
            </w:pPr>
            <w:r w:rsidRPr="00537262">
              <w:t>Use of spill kits and PPE</w:t>
            </w:r>
          </w:p>
          <w:p w:rsidR="00000000" w:rsidRPr="00537262" w:rsidP="00537262">
            <w:pPr>
              <w:pStyle w:val="BodyText"/>
            </w:pPr>
            <w:r w:rsidRPr="00537262">
              <w:t>T6. Manual handling</w:t>
            </w:r>
          </w:p>
          <w:p w:rsidR="00000000" w:rsidRPr="00537262" w:rsidP="00537262">
            <w:pPr>
              <w:pStyle w:val="ListBullet"/>
            </w:pPr>
            <w:r w:rsidRPr="00537262">
              <w:t xml:space="preserve">Characteristics, types, techniques </w:t>
            </w:r>
          </w:p>
          <w:p w:rsidR="00000000" w:rsidRPr="00537262" w:rsidP="00537262">
            <w:pPr>
              <w:pStyle w:val="BodyText"/>
            </w:pPr>
            <w:r w:rsidRPr="00537262">
              <w:t>T7. Accidents and emergency</w:t>
            </w:r>
          </w:p>
          <w:p w:rsidR="00000000" w:rsidRPr="00537262" w:rsidP="00537262">
            <w:pPr>
              <w:pStyle w:val="ListBullet"/>
            </w:pPr>
            <w:r w:rsidRPr="00537262">
              <w:t xml:space="preserve">Types: fire, gas leak </w:t>
            </w:r>
          </w:p>
          <w:p w:rsidR="00000000" w:rsidRPr="00537262" w:rsidP="00537262">
            <w:pPr>
              <w:pStyle w:val="ListBullet"/>
            </w:pPr>
            <w:r w:rsidRPr="00537262">
              <w:t xml:space="preserve">Emergency equipment and procedures </w:t>
            </w:r>
          </w:p>
          <w:p w:rsidR="00000000" w:rsidRPr="00537262" w:rsidP="00537262">
            <w:pPr>
              <w:pStyle w:val="ListBullet2"/>
            </w:pPr>
            <w:r w:rsidRPr="00537262">
              <w:t>breathing apparatus</w:t>
            </w:r>
          </w:p>
          <w:p w:rsidR="00000000" w:rsidRPr="00537262" w:rsidP="00537262">
            <w:pPr>
              <w:pStyle w:val="ListBullet2"/>
            </w:pPr>
            <w:r w:rsidRPr="00537262">
              <w:t>gas detectors/oxygen monitoring devices</w:t>
            </w:r>
          </w:p>
          <w:p w:rsidR="00000000" w:rsidRPr="00537262" w:rsidP="00537262">
            <w:pPr>
              <w:pStyle w:val="ListBullet"/>
            </w:pPr>
            <w:r w:rsidRPr="00537262">
              <w:t>Reporting</w:t>
            </w:r>
          </w:p>
          <w:p w:rsidR="00000000" w:rsidRPr="00537262" w:rsidP="00537262">
            <w:pPr>
              <w:pStyle w:val="BodyText"/>
            </w:pPr>
            <w:r w:rsidRPr="00537262">
              <w:t>T8. Organisation's policies, quality requirements, specifications, forms and reports for work activity</w:t>
            </w:r>
          </w:p>
          <w:p w:rsidR="00000000" w:rsidRPr="00537262" w:rsidP="00537262">
            <w:pPr>
              <w:pStyle w:val="BodyText"/>
            </w:pPr>
          </w:p>
        </w:tc>
      </w:tr>
    </w:tbl>
    <w:p w:rsidR="001839DD" w:rsidP="00537262">
      <w:pPr>
        <w:pStyle w:val="BodyText"/>
      </w:pPr>
    </w:p>
    <w:p w:rsidR="001839DD" w:rsidP="00537262">
      <w:pPr>
        <w:pStyle w:val="BodyText"/>
      </w:pPr>
    </w:p>
    <w:p w:rsidR="00000000" w:rsidRPr="00537262" w:rsidP="00537262">
      <w:pPr>
        <w:pStyle w:val="Heading1"/>
      </w:pPr>
      <w:bookmarkStart w:id="10" w:name="O_593760"/>
      <w:bookmarkEnd w:id="10"/>
      <w:r w:rsidRPr="00537262">
        <w:t>Evidence Guide</w:t>
      </w:r>
    </w:p>
    <w:tbl>
      <w:tblPr>
        <w:tblW w:w="0" w:type="auto"/>
        <w:tblLayout w:type="fixed"/>
        <w:tblCellMar>
          <w:left w:w="62" w:type="dxa"/>
          <w:right w:w="62" w:type="dxa"/>
        </w:tblCellMar>
        <w:tblLook w:val="0000"/>
      </w:tblPr>
      <w:tblGrid>
        <w:gridCol w:w="8398"/>
      </w:tblGrid>
      <w:tr w:rsidTr="0053726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EVIDENCE GUIDE</w:t>
            </w:r>
          </w:p>
        </w:tc>
      </w:tr>
      <w:tr w:rsidTr="0053726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8)</w:t>
            </w:r>
            <w:r w:rsidRPr="00537262">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537262" w:rsidP="00537262">
      <w:pPr>
        <w:pStyle w:val="BodyText"/>
      </w:pPr>
    </w:p>
    <w:tbl>
      <w:tblPr>
        <w:tblW w:w="0" w:type="auto"/>
        <w:tblLayout w:type="fixed"/>
        <w:tblCellMar>
          <w:left w:w="62" w:type="dxa"/>
          <w:right w:w="62" w:type="dxa"/>
        </w:tblCellMar>
        <w:tblLook w:val="0000"/>
      </w:tblPr>
      <w:tblGrid>
        <w:gridCol w:w="1828"/>
        <w:gridCol w:w="6570"/>
      </w:tblGrid>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Overview of Assessmen</w:t>
            </w:r>
            <w:r w:rsidRPr="00537262">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8.1)</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 xml:space="preserve">Longitudinal competency development approaches to assessment, such as Profiling, require data to be reliably gathered in a form that can be </w:t>
            </w:r>
            <w:r w:rsidRPr="00537262">
              <w:t>consistently interpreted over time. This approach is best utilised in Apprenticeship programs and reduces assessment intervention. It is the Industry’s preferred model for apprenticeships. However, where summative (or final) assessment is used it is to inc</w:t>
            </w:r>
            <w:r w:rsidRPr="00537262">
              <w:t>lude the application of the competency in the normal work environment or, at a minimum, the application of the competency in a realistically simulated work environment. It is recognised that, in some circumstances, assessment in part or full can occur outs</w:t>
            </w:r>
            <w:r w:rsidRPr="00537262">
              <w:t>ide the workplace. However, it must be in accord with Industry and Regulatory policy in this regard.</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Methods chosen for a particular assessment will be influenced by various factors. These include the extent of the assessment, the most effective location</w:t>
            </w:r>
            <w:r w:rsidRPr="00537262">
              <w:t>s for the assessment activities to take place, access to physical resources, additional safety measures that may be required and the critical nature of the competencies being assessed.</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The critical safety nature of working with electricity, electrical eq</w:t>
            </w:r>
            <w:r w:rsidRPr="00537262">
              <w:t>uipment, gas or any other hazardous substance/material carries risk in deeming a person competent. Hence, sources of evidence need to be ‘rich’ in nature so as to minimise error in judgment.</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Activities associated with normal every day work have a bearing</w:t>
            </w:r>
            <w:r w:rsidRPr="00537262">
              <w:t xml:space="preserve"> on the decision as to how much and how detailed the data gathered will </w:t>
            </w:r>
            <w:r w:rsidRPr="00537262">
              <w:t>contribute to its ‘richness’. Some skills are more critical to safety and operational requirements while the same skills may be more or less frequently practiced. These points are rais</w:t>
            </w:r>
            <w:r w:rsidRPr="00537262">
              <w:t>ed for the assessors to consider when choosing an assessment method and developing assessment instruments. Sample assessment instruments are included for Assessors in the Assessment Guidelines of this Training Package.</w:t>
            </w:r>
          </w:p>
        </w:tc>
      </w:tr>
    </w:tbl>
    <w:p w:rsidR="00000000" w:rsidRPr="00537262" w:rsidP="00537262">
      <w:pPr>
        <w:pStyle w:val="BodyText"/>
      </w:pPr>
    </w:p>
    <w:tbl>
      <w:tblPr>
        <w:tblW w:w="0" w:type="auto"/>
        <w:tblLayout w:type="fixed"/>
        <w:tblCellMar>
          <w:left w:w="62" w:type="dxa"/>
          <w:right w:w="62" w:type="dxa"/>
        </w:tblCellMar>
        <w:tblLook w:val="0000"/>
      </w:tblPr>
      <w:tblGrid>
        <w:gridCol w:w="1828"/>
        <w:gridCol w:w="6570"/>
      </w:tblGrid>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Critical aspects of evidence requir</w:t>
            </w:r>
            <w:r w:rsidRPr="00537262">
              <w:rPr>
                <w:rStyle w:val="SpecialBold"/>
              </w:rPr>
              <w:t>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8.2)</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Before the critical aspects of evidence are considered all prerequisites shall be met.</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Evidence for competence in this unit shall be considered holistically. Each element and associated Performance Criter</w:t>
            </w:r>
            <w:r w:rsidRPr="00537262">
              <w:t>ia shall be demonstrated on at least two occasions in accordance with the ‘Assessment Guidelines — UEG11’. Evidence shall also comprise:</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2"/>
              <w:rPr>
                <w:lang w:val="en-NZ"/>
              </w:rPr>
            </w:pPr>
            <w:r w:rsidRPr="00537262">
              <w:t xml:space="preserve">A representative body of work performance demonstrated within the timeframes typically </w:t>
            </w:r>
            <w:r w:rsidRPr="00537262">
              <w:t>expected of the discipline, work function and industrial environment. In particular this shall incorporate evidence that shows a candidate is able to:</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2"/>
              <w:rPr>
                <w:lang w:val="en-NZ"/>
              </w:rPr>
            </w:pPr>
            <w:r w:rsidRPr="00537262">
              <w:t xml:space="preserve">Implement Occupational Health and Safety workplace procedures and practices including the use of risk </w:t>
            </w:r>
            <w:r w:rsidRPr="00537262">
              <w:t>control measures as specified in the Performance Criteria and range</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2"/>
              <w:rPr>
                <w:lang w:val="en-NZ"/>
              </w:rPr>
            </w:pPr>
            <w:r w:rsidRPr="00537262">
              <w:t>Apply sustainable energy principles and practices as specified in the Performance Criteria and range</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2"/>
              <w:rPr>
                <w:lang w:val="en-NZ"/>
              </w:rPr>
            </w:pPr>
            <w:r w:rsidRPr="00537262">
              <w:t>Demonstrate an understanding of the required skills and knowledge as described in this unit to such an extent that the learner’s performance outcome is reported in accordance with the preferred approach; namely a percentile graded result, where required by</w:t>
            </w:r>
            <w:r w:rsidRPr="00537262">
              <w:t xml:space="preserve"> the regulated environment</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2"/>
              <w:rPr>
                <w:lang w:val="en-NZ"/>
              </w:rPr>
            </w:pPr>
            <w:r w:rsidRPr="00537262">
              <w:t>Demonstrate an appropriate level of employability skills</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2"/>
              <w:rPr>
                <w:lang w:val="en-NZ"/>
              </w:rPr>
            </w:pPr>
            <w:r w:rsidRPr="00537262">
              <w:t>Conduct work observing the relevant Anti-discrimination legislation, regulations, polices and workplace procedures</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537262" w:rsidP="00537262">
            <w:pPr>
              <w:pStyle w:val="ListBullet"/>
            </w:pPr>
            <w:r w:rsidRPr="00537262">
              <w:t xml:space="preserve">Demonstrate performance across a representative </w:t>
            </w:r>
            <w:r w:rsidRPr="00537262">
              <w:t>range of contexts from the prescribed items below.</w:t>
            </w:r>
          </w:p>
          <w:p w:rsidR="00000000" w:rsidRPr="00537262" w:rsidP="00537262">
            <w:pPr>
              <w:pStyle w:val="ListBullet2"/>
            </w:pPr>
            <w:r w:rsidRPr="00537262">
              <w:t>Inspecting and filling of liquefied petroleum gas (LPG) cylinders in accordance with relevant legislation, codes, regulations and established procedures as described in 9.) Range Statement and including:</w:t>
            </w:r>
          </w:p>
          <w:p w:rsidR="00000000" w:rsidRPr="00537262" w:rsidP="00537262">
            <w:pPr>
              <w:pStyle w:val="BodyText"/>
            </w:pPr>
          </w:p>
        </w:tc>
      </w:tr>
    </w:tbl>
    <w:p w:rsidR="00000000" w:rsidRPr="00537262" w:rsidP="00537262">
      <w:pPr>
        <w:pStyle w:val="BodyText"/>
      </w:pPr>
    </w:p>
    <w:tbl>
      <w:tblPr>
        <w:tblW w:w="0" w:type="auto"/>
        <w:tblLayout w:type="fixed"/>
        <w:tblCellMar>
          <w:left w:w="62" w:type="dxa"/>
          <w:right w:w="62" w:type="dxa"/>
        </w:tblCellMar>
        <w:tblLook w:val="0000"/>
      </w:tblPr>
      <w:tblGrid>
        <w:gridCol w:w="1800"/>
        <w:gridCol w:w="810"/>
        <w:gridCol w:w="1170"/>
        <w:gridCol w:w="1749"/>
        <w:gridCol w:w="2841"/>
      </w:tblGrid>
      <w:tr w:rsidTr="00537262">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537262">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62">
            <w:pPr>
              <w:pStyle w:val="BodyText"/>
              <w:rPr>
                <w:lang w:val="en-NZ"/>
              </w:rPr>
            </w:pPr>
            <w:r w:rsidRPr="00537262">
              <w:rPr>
                <w:rStyle w:val="SpecialBold"/>
              </w:rPr>
              <w:t>Range of tools/equipment/procedures/workplace</w:t>
            </w:r>
          </w:p>
        </w:tc>
      </w:tr>
      <w:tr w:rsidTr="0053726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537262">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62" w:rsidP="00537262">
            <w:pPr>
              <w:pStyle w:val="BodyText"/>
            </w:pPr>
            <w:r w:rsidRPr="00537262">
              <w:rPr>
                <w:rStyle w:val="SpecialBold"/>
              </w:rPr>
              <w:t xml:space="preserve">Group </w:t>
            </w:r>
          </w:p>
        </w:tc>
        <w:tc>
          <w:tcPr>
            <w:tcW w:w="1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62" w:rsidP="00537262">
            <w:pPr>
              <w:pStyle w:val="BodyText"/>
            </w:pPr>
            <w:r w:rsidRPr="00537262">
              <w:rPr>
                <w:rStyle w:val="SpecialBold"/>
              </w:rPr>
              <w:t>The minimum number of items on which skill is to be demonstrated</w:t>
            </w:r>
          </w:p>
        </w:tc>
        <w:tc>
          <w:tcPr>
            <w:tcW w:w="2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62">
            <w:pPr>
              <w:pStyle w:val="BodyText"/>
              <w:rPr>
                <w:lang w:val="en-NZ"/>
              </w:rPr>
            </w:pPr>
            <w:r w:rsidRPr="00537262">
              <w:rPr>
                <w:rStyle w:val="SpecialBold"/>
              </w:rPr>
              <w:t>Item List</w:t>
            </w:r>
          </w:p>
        </w:tc>
      </w:tr>
      <w:tr w:rsidTr="0053726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537262">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62" w:rsidP="00537262">
            <w:pPr>
              <w:pStyle w:val="BodyText"/>
            </w:pPr>
            <w:r w:rsidRPr="00537262">
              <w:rPr>
                <w:rStyle w:val="SpecialBold"/>
              </w:rPr>
              <w:t>A. Tools/</w:t>
            </w:r>
          </w:p>
          <w:p w:rsidR="00000000" w:rsidP="00537262">
            <w:pPr>
              <w:pStyle w:val="BodyText"/>
              <w:rPr>
                <w:lang w:val="en-NZ"/>
              </w:rPr>
            </w:pPr>
            <w:r w:rsidRPr="00537262">
              <w:rPr>
                <w:rStyle w:val="SpecialBold"/>
              </w:rPr>
              <w:t>equipment</w:t>
            </w:r>
          </w:p>
        </w:tc>
        <w:tc>
          <w:tcPr>
            <w:tcW w:w="1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62">
            <w:pPr>
              <w:pStyle w:val="BodyText"/>
              <w:rPr>
                <w:lang w:val="en-NZ"/>
              </w:rPr>
            </w:pPr>
            <w:r w:rsidRPr="00537262">
              <w:t>At least 5</w:t>
            </w:r>
          </w:p>
        </w:tc>
        <w:tc>
          <w:tcPr>
            <w:tcW w:w="2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62" w:rsidP="00537262">
            <w:pPr>
              <w:pStyle w:val="ListBullet"/>
            </w:pPr>
            <w:r w:rsidRPr="00537262">
              <w:t>LPG cylinders</w:t>
            </w:r>
          </w:p>
          <w:p w:rsidR="00000000" w:rsidRPr="00537262" w:rsidP="00537262">
            <w:pPr>
              <w:pStyle w:val="ListBullet"/>
            </w:pPr>
            <w:r w:rsidRPr="00537262">
              <w:t>Cylinder trolleys</w:t>
            </w:r>
          </w:p>
          <w:p w:rsidR="00000000" w:rsidRPr="00537262" w:rsidP="00537262">
            <w:pPr>
              <w:pStyle w:val="ListBullet"/>
            </w:pPr>
            <w:r w:rsidRPr="00537262">
              <w:t>Hose and fittings</w:t>
            </w:r>
          </w:p>
          <w:p w:rsidR="00000000" w:rsidRPr="00537262" w:rsidP="00537262">
            <w:pPr>
              <w:pStyle w:val="ListBullet"/>
            </w:pPr>
            <w:r w:rsidRPr="00537262">
              <w:t>Leak detection devices</w:t>
            </w:r>
          </w:p>
          <w:p w:rsidR="00000000" w:rsidRPr="00537262" w:rsidP="00537262">
            <w:pPr>
              <w:pStyle w:val="ListBullet"/>
            </w:pPr>
            <w:r w:rsidRPr="00537262">
              <w:t>Valves</w:t>
            </w:r>
          </w:p>
          <w:p w:rsidR="00000000" w:rsidRPr="00537262" w:rsidP="00537262">
            <w:pPr>
              <w:pStyle w:val="ListBullet"/>
            </w:pPr>
            <w:r w:rsidRPr="00537262">
              <w:t>Gauges</w:t>
            </w:r>
          </w:p>
          <w:p w:rsidR="00000000" w:rsidRPr="00537262" w:rsidP="00537262">
            <w:pPr>
              <w:pStyle w:val="ListBullet"/>
            </w:pPr>
            <w:r w:rsidRPr="00537262">
              <w:t>Spindles</w:t>
            </w:r>
          </w:p>
          <w:p w:rsidR="00000000" w:rsidRPr="00537262" w:rsidP="00537262">
            <w:pPr>
              <w:pStyle w:val="ListBullet"/>
            </w:pPr>
            <w:r w:rsidRPr="00537262">
              <w:t>Scales</w:t>
            </w:r>
          </w:p>
          <w:p w:rsidR="00000000" w:rsidRPr="00537262" w:rsidP="00537262">
            <w:pPr>
              <w:pStyle w:val="ListBullet"/>
            </w:pPr>
            <w:r w:rsidRPr="00537262">
              <w:t>Decanting equipment</w:t>
            </w:r>
          </w:p>
          <w:p w:rsidR="00000000" w:rsidRPr="00537262" w:rsidP="00537262">
            <w:pPr>
              <w:pStyle w:val="ListBullet"/>
            </w:pPr>
            <w:r w:rsidRPr="00537262">
              <w:t>Dispensing pumps</w:t>
            </w:r>
          </w:p>
          <w:p w:rsidR="00000000" w:rsidP="00537262">
            <w:pPr>
              <w:pStyle w:val="ListBullet"/>
              <w:rPr>
                <w:lang w:val="en-NZ"/>
              </w:rPr>
            </w:pPr>
            <w:r w:rsidRPr="00537262">
              <w:t>Hand tools</w:t>
            </w:r>
          </w:p>
        </w:tc>
      </w:tr>
      <w:tr w:rsidTr="0053726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537262">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62">
            <w:pPr>
              <w:pStyle w:val="BodyText"/>
              <w:rPr>
                <w:lang w:val="en-NZ"/>
              </w:rPr>
            </w:pPr>
            <w:r w:rsidRPr="00537262">
              <w:rPr>
                <w:rStyle w:val="SpecialBold"/>
              </w:rPr>
              <w:t>B. Procedures</w:t>
            </w:r>
          </w:p>
        </w:tc>
        <w:tc>
          <w:tcPr>
            <w:tcW w:w="1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62">
            <w:pPr>
              <w:pStyle w:val="BodyText"/>
              <w:rPr>
                <w:lang w:val="en-NZ"/>
              </w:rPr>
            </w:pPr>
            <w:r w:rsidRPr="00537262">
              <w:t>All</w:t>
            </w:r>
          </w:p>
        </w:tc>
        <w:tc>
          <w:tcPr>
            <w:tcW w:w="2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62" w:rsidP="00537262">
            <w:pPr>
              <w:pStyle w:val="ListBullet"/>
            </w:pPr>
            <w:r w:rsidRPr="00537262">
              <w:t>WHS/OHS</w:t>
            </w:r>
          </w:p>
          <w:p w:rsidR="00000000" w:rsidRPr="00537262" w:rsidP="00537262">
            <w:pPr>
              <w:pStyle w:val="ListBullet"/>
            </w:pPr>
            <w:r w:rsidRPr="00537262">
              <w:t xml:space="preserve">Job safety analysis </w:t>
            </w:r>
          </w:p>
          <w:p w:rsidR="00000000" w:rsidRPr="00537262" w:rsidP="00537262">
            <w:pPr>
              <w:pStyle w:val="ListBullet"/>
            </w:pPr>
            <w:r w:rsidRPr="00537262">
              <w:t xml:space="preserve">Manual handling </w:t>
            </w:r>
          </w:p>
          <w:p w:rsidR="00000000" w:rsidRPr="00537262" w:rsidP="00537262">
            <w:pPr>
              <w:pStyle w:val="ListBullet"/>
            </w:pPr>
            <w:r w:rsidRPr="00537262">
              <w:t>Cylinder inspection</w:t>
            </w:r>
          </w:p>
          <w:p w:rsidR="00000000" w:rsidRPr="00537262" w:rsidP="00537262">
            <w:pPr>
              <w:pStyle w:val="ListBullet"/>
            </w:pPr>
            <w:r w:rsidRPr="00537262">
              <w:t>Cylinder filling</w:t>
            </w:r>
          </w:p>
          <w:p w:rsidR="00000000" w:rsidRPr="00537262" w:rsidP="00537262">
            <w:pPr>
              <w:pStyle w:val="ListBullet"/>
            </w:pPr>
            <w:r w:rsidRPr="00537262">
              <w:t>Checking for leaks</w:t>
            </w:r>
          </w:p>
          <w:p w:rsidR="00000000" w:rsidP="00537262">
            <w:pPr>
              <w:pStyle w:val="ListBullet"/>
              <w:rPr>
                <w:lang w:val="en-NZ"/>
              </w:rPr>
            </w:pPr>
            <w:r w:rsidRPr="00537262">
              <w:t xml:space="preserve">Emergency procedures and response action </w:t>
            </w:r>
          </w:p>
        </w:tc>
      </w:tr>
      <w:tr w:rsidTr="00537262">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537262">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62">
            <w:pPr>
              <w:pStyle w:val="BodyText"/>
              <w:rPr>
                <w:lang w:val="en-NZ"/>
              </w:rPr>
            </w:pPr>
            <w:r w:rsidRPr="00537262">
              <w:rPr>
                <w:rStyle w:val="SpecialBold"/>
              </w:rPr>
              <w:t>C. Unplanned event</w:t>
            </w:r>
          </w:p>
        </w:tc>
        <w:tc>
          <w:tcPr>
            <w:tcW w:w="1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262">
            <w:pPr>
              <w:pStyle w:val="BodyText"/>
              <w:rPr>
                <w:lang w:val="en-NZ"/>
              </w:rPr>
            </w:pPr>
            <w:r w:rsidRPr="00537262">
              <w:t>At least one occasion</w:t>
            </w:r>
          </w:p>
        </w:tc>
        <w:tc>
          <w:tcPr>
            <w:tcW w:w="2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262" w:rsidP="00537262">
            <w:pPr>
              <w:pStyle w:val="BodyText"/>
            </w:pPr>
            <w:r w:rsidRPr="00537262">
              <w:t xml:space="preserve">Deal with an unplanned event by drawing on required skills and l knowledge  to provide appropriate solutions incorporated in the holistic assessment with the above listed items </w:t>
            </w:r>
          </w:p>
        </w:tc>
      </w:tr>
    </w:tbl>
    <w:p w:rsidR="00000000" w:rsidRPr="00537262" w:rsidP="00537262">
      <w:pPr>
        <w:pStyle w:val="BodyText"/>
      </w:pPr>
    </w:p>
    <w:tbl>
      <w:tblPr>
        <w:tblW w:w="0" w:type="auto"/>
        <w:tblLayout w:type="fixed"/>
        <w:tblCellMar>
          <w:left w:w="62" w:type="dxa"/>
          <w:right w:w="62" w:type="dxa"/>
        </w:tblCellMar>
        <w:tblLook w:val="0000"/>
      </w:tblPr>
      <w:tblGrid>
        <w:gridCol w:w="1828"/>
        <w:gridCol w:w="6570"/>
      </w:tblGrid>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8.3)</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This unit should be assessed as it relates to normal work practice using procedures, information and resources typical of a workplace. This should include:</w:t>
            </w:r>
          </w:p>
        </w:tc>
      </w:tr>
      <w:tr w:rsidTr="00537262">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OHS policy and work procedures and instru</w:t>
            </w:r>
            <w:r w:rsidRPr="00537262">
              <w:t>ctions.</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Suitable work environment, facilities, equipment and materials to undertake actual work as prescribed by this Competency Standard Unit.</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Appropriate environmental regulation and work practices.</w:t>
            </w:r>
          </w:p>
        </w:tc>
      </w:tr>
      <w:tr w:rsidTr="00537262">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Appropriate organisational requirements.</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Appropriate work environment, equipment and tools.</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537262" w:rsidP="00537262">
            <w:pPr>
              <w:pStyle w:val="ListBullet"/>
            </w:pPr>
            <w:r w:rsidRPr="00537262">
              <w:t>These should be part of the formal learning/assessment environment.</w:t>
            </w:r>
          </w:p>
          <w:p w:rsidR="00000000" w:rsidP="00537262">
            <w:pPr>
              <w:pStyle w:val="ListBullet"/>
              <w:rPr>
                <w:lang w:val="en-NZ"/>
              </w:rPr>
            </w:pP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Assessment of this competency must also be undertaken in either an actual workplace or under a simulated work environment.</w:t>
            </w:r>
          </w:p>
          <w:p w:rsidR="00000000" w:rsidRPr="00537262" w:rsidP="00537262">
            <w:pPr>
              <w:pStyle w:val="BodyText"/>
            </w:pPr>
            <w:r w:rsidRPr="00537262">
              <w:t>Note:</w:t>
            </w:r>
          </w:p>
          <w:p w:rsidR="00000000" w:rsidRPr="00537262" w:rsidP="00537262">
            <w:pPr>
              <w:pStyle w:val="BodyText"/>
            </w:pPr>
            <w:r w:rsidRPr="00537262">
              <w:t>Wh</w:t>
            </w:r>
            <w:r w:rsidRPr="00537262">
              <w:t>ere simulation is considered a suitable strategy for assessment, conditions must be authentic and as far as possible reproduce and replicate the workplace and be consistent with the approved industry simulation policy.</w:t>
            </w:r>
          </w:p>
          <w:p w:rsidR="00000000" w:rsidRPr="00537262" w:rsidP="00537262">
            <w:pPr>
              <w:pStyle w:val="BodyText"/>
            </w:pPr>
          </w:p>
          <w:p w:rsidR="00000000" w:rsidRPr="00537262" w:rsidP="00537262">
            <w:pPr>
              <w:pStyle w:val="BodyText"/>
            </w:pPr>
            <w:r w:rsidRPr="00537262">
              <w:t>The resources used for assessment sh</w:t>
            </w:r>
            <w:r w:rsidRPr="00537262">
              <w:t>ould reflect current industry practices in relation to locating, proving and protecting utility assets.</w:t>
            </w:r>
          </w:p>
        </w:tc>
      </w:tr>
    </w:tbl>
    <w:p w:rsidR="00000000" w:rsidRPr="00537262" w:rsidP="00537262">
      <w:pPr>
        <w:pStyle w:val="BodyText"/>
      </w:pPr>
    </w:p>
    <w:tbl>
      <w:tblPr>
        <w:tblW w:w="0" w:type="auto"/>
        <w:tblLayout w:type="fixed"/>
        <w:tblCellMar>
          <w:left w:w="62" w:type="dxa"/>
          <w:right w:w="62" w:type="dxa"/>
        </w:tblCellMar>
        <w:tblLook w:val="0000"/>
      </w:tblPr>
      <w:tblGrid>
        <w:gridCol w:w="1828"/>
        <w:gridCol w:w="6570"/>
      </w:tblGrid>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8.4)</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This Competency Standard Unit shall be assessed by methods given in Volume 1, Part 3 ‘Assessment Guidelines’.</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Note: Competent performance with inherent safe working practices is expected in the Industry to which this Competency Standard Unit applies. This requires that the specified required Skills and Knowledge are assessed in a structured environment which is pr</w:t>
            </w:r>
            <w:r w:rsidRPr="00537262">
              <w:t>imarily intended for learning/assessment and incorporates all necessary equipment and facilities for learners to develop and demonstrate the required skills and knowledge described in this unit.</w:t>
            </w:r>
          </w:p>
        </w:tc>
      </w:tr>
    </w:tbl>
    <w:p w:rsidR="00000000" w:rsidRPr="00537262" w:rsidP="00537262">
      <w:pPr>
        <w:pStyle w:val="BodyText"/>
      </w:pPr>
    </w:p>
    <w:tbl>
      <w:tblPr>
        <w:tblW w:w="0" w:type="auto"/>
        <w:tblLayout w:type="fixed"/>
        <w:tblCellMar>
          <w:left w:w="62" w:type="dxa"/>
          <w:right w:w="62" w:type="dxa"/>
        </w:tblCellMar>
        <w:tblLook w:val="0000"/>
      </w:tblPr>
      <w:tblGrid>
        <w:gridCol w:w="1828"/>
        <w:gridCol w:w="2000"/>
        <w:gridCol w:w="4570"/>
      </w:tblGrid>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8.5)</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There are no recommended concurrent assessments with this unit, however in some cases efficiencies may be gained in terms of learning and assessment effort being concurrently managed with allied Competency Standard Units where listed.</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UEGNSG132A</w:t>
            </w:r>
          </w:p>
        </w:tc>
        <w:tc>
          <w:tcPr>
            <w:tcW w:w="4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Carry out basic work activities in a gas industry work environment</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UEGNSG141A</w:t>
            </w:r>
          </w:p>
        </w:tc>
        <w:tc>
          <w:tcPr>
            <w:tcW w:w="4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Apply Workplace Health and Safety regulations codes and practices in the gas industry</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UEGNSG140A</w:t>
            </w:r>
          </w:p>
        </w:tc>
        <w:tc>
          <w:tcPr>
            <w:tcW w:w="457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Apply environmental policies and procedures in the utilities industry</w:t>
            </w:r>
          </w:p>
        </w:tc>
      </w:tr>
      <w:tr w:rsidTr="00537262">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UEGN</w:t>
            </w:r>
            <w:r w:rsidRPr="00537262">
              <w:t>SG134A</w:t>
            </w:r>
          </w:p>
        </w:tc>
        <w:tc>
          <w:tcPr>
            <w:tcW w:w="457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Establish a utilities infrastructure work site</w:t>
            </w:r>
          </w:p>
        </w:tc>
      </w:tr>
    </w:tbl>
    <w:p w:rsidR="001839DD" w:rsidP="00537262">
      <w:pPr>
        <w:pStyle w:val="BodyText"/>
      </w:pPr>
    </w:p>
    <w:p w:rsidR="001839DD" w:rsidP="00537262">
      <w:pPr>
        <w:pStyle w:val="BodyText"/>
      </w:pPr>
    </w:p>
    <w:p w:rsidR="00000000" w:rsidRPr="00537262" w:rsidP="00537262">
      <w:pPr>
        <w:pStyle w:val="Heading1"/>
      </w:pPr>
      <w:bookmarkStart w:id="11" w:name="O_593761"/>
      <w:bookmarkEnd w:id="11"/>
      <w:r w:rsidRPr="00537262">
        <w:t>Range Statement</w:t>
      </w:r>
    </w:p>
    <w:tbl>
      <w:tblPr>
        <w:tblW w:w="0" w:type="auto"/>
        <w:tblLayout w:type="fixed"/>
        <w:tblCellMar>
          <w:left w:w="62" w:type="dxa"/>
          <w:right w:w="62" w:type="dxa"/>
        </w:tblCellMar>
        <w:tblLook w:val="0000"/>
      </w:tblPr>
      <w:tblGrid>
        <w:gridCol w:w="8398"/>
      </w:tblGrid>
      <w:tr w:rsidTr="0053726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RANGE STATEMENT</w:t>
            </w:r>
          </w:p>
        </w:tc>
      </w:tr>
      <w:tr w:rsidTr="00537262">
        <w:tblPrEx>
          <w:tblW w:w="0" w:type="auto"/>
          <w:tblLayout w:type="fixed"/>
          <w:tblCellMar>
            <w:left w:w="62" w:type="dxa"/>
            <w:right w:w="62" w:type="dxa"/>
          </w:tblCellMar>
          <w:tblLook w:val="0000"/>
        </w:tblPrEx>
        <w:trPr>
          <w:trHeight w:val="910"/>
        </w:trPr>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9)</w:t>
            </w:r>
            <w:r w:rsidRPr="00537262">
              <w:t xml:space="preserve"> </w:t>
            </w:r>
            <w:r w:rsidRPr="00537262">
              <w:rPr>
                <w:rStyle w:val="Emphasis"/>
              </w:rPr>
              <w:t xml:space="preserve">This relates to the competency standard unit as a whole providing the range of contexts and conditions to </w:t>
            </w:r>
            <w:r w:rsidRPr="00537262">
              <w:rPr>
                <w:rStyle w:val="Emphasis"/>
              </w:rPr>
              <w:t>which the Performance Criteria apply. It allows for different work environments and situations that will affect performance.</w:t>
            </w:r>
          </w:p>
        </w:tc>
      </w:tr>
      <w:tr w:rsidTr="0053726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 xml:space="preserve">This Competency Standard Unit shall be demonstrated in relation to inspecting and filling LPG cylinders by weight using scales or </w:t>
            </w:r>
            <w:r w:rsidRPr="00537262">
              <w:t>by decanting or by dispenser pump at an LPG terminal or a cylinder filling installation compliant to the requirements of AS1596.</w:t>
            </w:r>
          </w:p>
        </w:tc>
      </w:tr>
      <w:tr w:rsidTr="0053726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t>The following constants and variables included in the element/Performance Criteria in this unit are fully described in the Definitions Section of this volume and form an integral part of the Range Statement of this unit:</w:t>
            </w:r>
          </w:p>
        </w:tc>
      </w:tr>
      <w:tr w:rsidTr="0053726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Appropriate Persons</w:t>
            </w:r>
          </w:p>
        </w:tc>
      </w:tr>
      <w:tr w:rsidTr="0053726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Equipment</w:t>
            </w:r>
          </w:p>
        </w:tc>
      </w:tr>
      <w:tr w:rsidTr="0053726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537262">
            <w:pPr>
              <w:pStyle w:val="ListBullet"/>
              <w:rPr>
                <w:lang w:val="en-NZ"/>
              </w:rPr>
            </w:pPr>
            <w:r w:rsidRPr="00537262">
              <w:t>Inspection Checks</w:t>
            </w:r>
          </w:p>
        </w:tc>
      </w:tr>
      <w:tr w:rsidTr="0053726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537262" w:rsidP="00537262">
            <w:pPr>
              <w:pStyle w:val="ListBullet"/>
            </w:pPr>
            <w:r w:rsidRPr="00537262">
              <w:t>Legislative Requirements</w:t>
            </w:r>
          </w:p>
        </w:tc>
      </w:tr>
    </w:tbl>
    <w:p w:rsidR="001839DD" w:rsidP="00537262">
      <w:pPr>
        <w:pStyle w:val="BodyText"/>
      </w:pPr>
    </w:p>
    <w:p w:rsidR="001839DD" w:rsidP="00537262">
      <w:pPr>
        <w:pStyle w:val="BodyText"/>
      </w:pPr>
    </w:p>
    <w:p w:rsidR="00000000" w:rsidRPr="00537262" w:rsidP="00537262">
      <w:pPr>
        <w:pStyle w:val="Heading1"/>
      </w:pPr>
      <w:bookmarkStart w:id="12" w:name="O_593762"/>
      <w:bookmarkEnd w:id="12"/>
      <w:r w:rsidRPr="00537262">
        <w:t>Unit Sector(s)</w:t>
      </w:r>
    </w:p>
    <w:p w:rsidR="00000000" w:rsidRPr="00537262" w:rsidP="00537262">
      <w:pPr>
        <w:pStyle w:val="BodyText"/>
      </w:pPr>
      <w:r w:rsidRPr="00537262">
        <w:t>Not applicable.</w:t>
      </w:r>
    </w:p>
    <w:p w:rsidR="00000000" w:rsidRPr="00537262" w:rsidP="00537262">
      <w:pPr>
        <w:pStyle w:val="AllowPageBreak"/>
      </w:pPr>
    </w:p>
    <w:p w:rsidR="00000000" w:rsidRPr="00537262" w:rsidP="00537262">
      <w:pPr>
        <w:pStyle w:val="Heading1"/>
      </w:pPr>
      <w:bookmarkStart w:id="13" w:name="O_593763"/>
      <w:bookmarkEnd w:id="13"/>
      <w:r w:rsidRPr="00537262">
        <w:t>Competency Field</w:t>
      </w:r>
    </w:p>
    <w:tbl>
      <w:tblPr>
        <w:tblW w:w="0" w:type="auto"/>
        <w:tblLayout w:type="fixed"/>
        <w:tblCellMar>
          <w:left w:w="62" w:type="dxa"/>
          <w:right w:w="62" w:type="dxa"/>
        </w:tblCellMar>
        <w:tblLook w:val="0000"/>
      </w:tblPr>
      <w:tblGrid>
        <w:gridCol w:w="2638"/>
        <w:gridCol w:w="5760"/>
      </w:tblGrid>
      <w:tr w:rsidTr="0053726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37262">
            <w:pPr>
              <w:pStyle w:val="BodyText"/>
              <w:rPr>
                <w:lang w:val="en-NZ"/>
              </w:rPr>
            </w:pPr>
            <w:r w:rsidRPr="00537262">
              <w:rPr>
                <w:rStyle w:val="SpecialBold"/>
              </w:rPr>
              <w:t xml:space="preserve">11) </w:t>
            </w:r>
          </w:p>
        </w:tc>
      </w:tr>
      <w:tr w:rsidTr="0053726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7262" w:rsidP="00537262">
            <w:pPr>
              <w:pStyle w:val="BodyText"/>
            </w:pPr>
            <w:r w:rsidRPr="00537262">
              <w:t>LPG.</w:t>
            </w:r>
          </w:p>
        </w:tc>
      </w:tr>
    </w:tbl>
    <w:p w:rsidR="001839DD" w:rsidP="00537262">
      <w:pPr>
        <w:pStyle w:val="BodyText"/>
      </w:pPr>
    </w:p>
    <w:p w:rsidR="001839DD" w:rsidP="00537262">
      <w:pPr>
        <w:pStyle w:val="BodyText"/>
      </w:pPr>
    </w:p>
    <w:p w:rsidR="00000000" w:rsidRPr="00537262" w:rsidP="00537262"/>
    <w:sectPr w:rsidSect="00537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62" w:rsidRPr="001839DD" w:rsidP="00183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DD" w:rsidP="00537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839DD" w:rsidP="0053726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839DD" w:rsidP="005372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62" w:rsidRPr="001839DD" w:rsidP="001839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9DD" w:rsidRPr="002D2AF8" w:rsidP="00537262">
    <w:pPr>
      <w:pStyle w:val="Header"/>
      <w:framePr w:wrap="around"/>
    </w:pPr>
    <w:r>
      <w:fldChar w:fldCharType="begin"/>
    </w:r>
    <w:r>
      <w:instrText xml:space="preserve"> TITLE   \* MERGEFORMAT </w:instrText>
    </w:r>
    <w:r>
      <w:fldChar w:fldCharType="separate"/>
    </w:r>
    <w:r>
      <w:t>UEGNSG615A Fill LPG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1839DD" w:rsidP="00537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CC9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AC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0E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262"/>
    <w:pPr>
      <w:spacing w:before="360" w:after="60"/>
      <w:outlineLvl w:val="0"/>
    </w:pPr>
    <w:rPr>
      <w:sz w:val="32"/>
    </w:rPr>
  </w:style>
  <w:style w:type="paragraph" w:styleId="Heading2">
    <w:name w:val="heading 2"/>
    <w:basedOn w:val="HeadingBase"/>
    <w:next w:val="BodyText"/>
    <w:link w:val="Heading2Char"/>
    <w:qFormat/>
    <w:rsid w:val="00537262"/>
    <w:pPr>
      <w:keepLines/>
      <w:spacing w:before="240" w:after="120"/>
      <w:outlineLvl w:val="1"/>
    </w:pPr>
    <w:rPr>
      <w:sz w:val="28"/>
      <w:szCs w:val="40"/>
    </w:rPr>
  </w:style>
  <w:style w:type="paragraph" w:styleId="Heading3">
    <w:name w:val="heading 3"/>
    <w:basedOn w:val="HeadingBase"/>
    <w:next w:val="BodyText"/>
    <w:link w:val="Heading3Char"/>
    <w:qFormat/>
    <w:rsid w:val="00537262"/>
    <w:pPr>
      <w:spacing w:before="180" w:after="120"/>
      <w:outlineLvl w:val="2"/>
    </w:pPr>
    <w:rPr>
      <w:spacing w:val="-10"/>
      <w:kern w:val="32"/>
    </w:rPr>
  </w:style>
  <w:style w:type="paragraph" w:styleId="Heading4">
    <w:name w:val="heading 4"/>
    <w:basedOn w:val="HeadingBase"/>
    <w:next w:val="BodyText"/>
    <w:link w:val="Heading4Char"/>
    <w:qFormat/>
    <w:rsid w:val="00537262"/>
    <w:pPr>
      <w:spacing w:before="160" w:after="120"/>
      <w:outlineLvl w:val="3"/>
    </w:pPr>
    <w:rPr>
      <w:sz w:val="22"/>
    </w:rPr>
  </w:style>
  <w:style w:type="paragraph" w:styleId="Heading5">
    <w:name w:val="heading 5"/>
    <w:basedOn w:val="HeadingBase"/>
    <w:next w:val="Normal"/>
    <w:link w:val="Heading5Char"/>
    <w:qFormat/>
    <w:rsid w:val="00537262"/>
    <w:pPr>
      <w:spacing w:before="80"/>
      <w:outlineLvl w:val="4"/>
    </w:pPr>
    <w:rPr>
      <w:color w:val="918585"/>
      <w:sz w:val="20"/>
    </w:rPr>
  </w:style>
  <w:style w:type="paragraph" w:styleId="Heading6">
    <w:name w:val="heading 6"/>
    <w:basedOn w:val="HeadingBase"/>
    <w:next w:val="Normal"/>
    <w:link w:val="Heading6Char"/>
    <w:qFormat/>
    <w:rsid w:val="00537262"/>
    <w:pPr>
      <w:spacing w:before="60"/>
      <w:outlineLvl w:val="5"/>
    </w:pPr>
    <w:rPr>
      <w:color w:val="918585"/>
      <w:sz w:val="20"/>
    </w:rPr>
  </w:style>
  <w:style w:type="paragraph" w:styleId="Heading7">
    <w:name w:val="heading 7"/>
    <w:basedOn w:val="Normal"/>
    <w:next w:val="Normal"/>
    <w:link w:val="Heading7Char"/>
    <w:qFormat/>
    <w:rsid w:val="00537262"/>
    <w:pPr>
      <w:ind w:left="720"/>
      <w:outlineLvl w:val="6"/>
    </w:pPr>
    <w:rPr>
      <w:i/>
    </w:rPr>
  </w:style>
  <w:style w:type="paragraph" w:styleId="Heading8">
    <w:name w:val="heading 8"/>
    <w:basedOn w:val="Normal"/>
    <w:next w:val="Normal"/>
    <w:link w:val="Heading8Char"/>
    <w:qFormat/>
    <w:rsid w:val="00537262"/>
    <w:pPr>
      <w:ind w:left="720"/>
      <w:outlineLvl w:val="7"/>
    </w:pPr>
    <w:rPr>
      <w:i/>
    </w:rPr>
  </w:style>
  <w:style w:type="paragraph" w:styleId="Heading9">
    <w:name w:val="heading 9"/>
    <w:basedOn w:val="Normal"/>
    <w:next w:val="Normal"/>
    <w:link w:val="Heading9Char"/>
    <w:qFormat/>
    <w:rsid w:val="00537262"/>
    <w:pPr>
      <w:ind w:left="720"/>
      <w:outlineLvl w:val="8"/>
    </w:pPr>
    <w:rPr>
      <w:i/>
    </w:rPr>
  </w:style>
  <w:style w:type="character" w:default="1" w:styleId="DefaultParagraphFont">
    <w:name w:val="Default Paragraph Font"/>
    <w:uiPriority w:val="1"/>
    <w:unhideWhenUsed/>
    <w:rsid w:val="00537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262"/>
  </w:style>
  <w:style w:type="character" w:customStyle="1" w:styleId="Heading1Char">
    <w:name w:val="Heading 1 Char"/>
    <w:basedOn w:val="DefaultParagraphFont"/>
    <w:link w:val="Heading1"/>
    <w:rsid w:val="00537262"/>
    <w:rPr>
      <w:rFonts w:ascii="Times New Roman" w:eastAsia="Times New Roman" w:hAnsi="Times New Roman" w:cs="Times New Roman"/>
      <w:b/>
      <w:sz w:val="32"/>
      <w:szCs w:val="20"/>
      <w:lang w:eastAsia="en-US"/>
    </w:rPr>
  </w:style>
  <w:style w:type="paragraph" w:styleId="BodyText">
    <w:name w:val="Body Text"/>
    <w:basedOn w:val="Normal"/>
    <w:link w:val="BodyTextChar"/>
    <w:rsid w:val="00537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262"/>
    <w:rPr>
      <w:rFonts w:ascii="Times New Roman" w:eastAsia="Times New Roman" w:hAnsi="Times New Roman" w:cs="Times New Roman"/>
      <w:sz w:val="24"/>
      <w:lang w:eastAsia="en-US"/>
    </w:rPr>
  </w:style>
  <w:style w:type="paragraph" w:styleId="ListBullet">
    <w:name w:val="List Bullet"/>
    <w:basedOn w:val="List"/>
    <w:rsid w:val="00537262"/>
    <w:pPr>
      <w:numPr>
        <w:numId w:val="13"/>
      </w:numPr>
      <w:tabs>
        <w:tab w:val="clear" w:pos="340"/>
      </w:tabs>
      <w:spacing w:before="40" w:after="40"/>
    </w:pPr>
  </w:style>
  <w:style w:type="character" w:customStyle="1" w:styleId="SpecialBold">
    <w:name w:val="Special Bold"/>
    <w:basedOn w:val="DefaultParagraphFont"/>
    <w:rsid w:val="00537262"/>
    <w:rPr>
      <w:b/>
      <w:spacing w:val="0"/>
    </w:rPr>
  </w:style>
  <w:style w:type="paragraph" w:styleId="ListBullet2">
    <w:name w:val="List Bullet 2"/>
    <w:basedOn w:val="List2"/>
    <w:rsid w:val="00537262"/>
    <w:pPr>
      <w:numPr>
        <w:numId w:val="14"/>
      </w:numPr>
      <w:tabs>
        <w:tab w:val="clear" w:pos="680"/>
      </w:tabs>
    </w:pPr>
  </w:style>
  <w:style w:type="character" w:styleId="Emphasis">
    <w:name w:val="Emphasis"/>
    <w:basedOn w:val="DefaultParagraphFont"/>
    <w:qFormat/>
    <w:rsid w:val="00537262"/>
    <w:rPr>
      <w:i/>
    </w:rPr>
  </w:style>
  <w:style w:type="paragraph" w:customStyle="1" w:styleId="SuperHeading">
    <w:name w:val="SuperHeading"/>
    <w:basedOn w:val="Normal"/>
    <w:rsid w:val="00537262"/>
    <w:pPr>
      <w:spacing w:before="240" w:after="120"/>
      <w:outlineLvl w:val="0"/>
    </w:pPr>
    <w:rPr>
      <w:rFonts w:ascii="Times New Roman" w:hAnsi="Times New Roman"/>
      <w:b/>
      <w:sz w:val="32"/>
    </w:rPr>
  </w:style>
  <w:style w:type="paragraph" w:customStyle="1" w:styleId="AllowPageBreak">
    <w:name w:val="AllowPageBreak"/>
    <w:rsid w:val="00537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262"/>
    <w:rPr>
      <w:rFonts w:ascii="Courier New" w:eastAsia="Times New Roman" w:hAnsi="Courier New" w:cs="Times New Roman"/>
      <w:i/>
      <w:szCs w:val="20"/>
      <w:lang w:eastAsia="en-US"/>
    </w:rPr>
  </w:style>
  <w:style w:type="paragraph" w:customStyle="1" w:styleId="HeadingBase">
    <w:name w:val="Heading Base"/>
    <w:rsid w:val="00537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262"/>
    <w:pPr>
      <w:tabs>
        <w:tab w:val="right" w:leader="dot" w:pos="9072"/>
      </w:tabs>
      <w:ind w:left="567"/>
    </w:pPr>
    <w:rPr>
      <w:szCs w:val="22"/>
    </w:rPr>
  </w:style>
  <w:style w:type="paragraph" w:customStyle="1" w:styleId="TOCBase">
    <w:name w:val="TOC Base"/>
    <w:rsid w:val="00537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262"/>
    <w:pPr>
      <w:tabs>
        <w:tab w:val="right" w:leader="dot" w:pos="9072"/>
      </w:tabs>
      <w:spacing w:before="40" w:after="40"/>
      <w:ind w:left="284"/>
    </w:pPr>
    <w:rPr>
      <w:rFonts w:ascii="Times New Roman" w:hAnsi="Times New Roman"/>
    </w:rPr>
  </w:style>
  <w:style w:type="paragraph" w:styleId="TOC1">
    <w:name w:val="toc 1"/>
    <w:basedOn w:val="TOCBase"/>
    <w:next w:val="Normal"/>
    <w:rsid w:val="005372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262"/>
    <w:rPr>
      <w:rFonts w:ascii="Times New Roman" w:eastAsia="Times New Roman" w:hAnsi="Times New Roman" w:cs="Times New Roman"/>
      <w:sz w:val="16"/>
      <w:lang w:eastAsia="en-US"/>
    </w:rPr>
  </w:style>
  <w:style w:type="paragraph" w:styleId="Title">
    <w:name w:val="Title"/>
    <w:basedOn w:val="HeadingBase"/>
    <w:link w:val="TitleChar"/>
    <w:qFormat/>
    <w:rsid w:val="00537262"/>
    <w:pPr>
      <w:spacing w:before="5040"/>
      <w:jc w:val="center"/>
    </w:pPr>
    <w:rPr>
      <w:sz w:val="48"/>
      <w:szCs w:val="72"/>
      <w:lang w:val="en-US"/>
    </w:rPr>
  </w:style>
  <w:style w:type="character" w:customStyle="1" w:styleId="TitleChar">
    <w:name w:val="Title Char"/>
    <w:basedOn w:val="DefaultParagraphFont"/>
    <w:link w:val="Title"/>
    <w:rsid w:val="00537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262"/>
    <w:pPr>
      <w:tabs>
        <w:tab w:val="left" w:pos="3600"/>
        <w:tab w:val="left" w:pos="3958"/>
      </w:tabs>
    </w:pPr>
  </w:style>
  <w:style w:type="paragraph" w:styleId="List">
    <w:name w:val="List"/>
    <w:basedOn w:val="BodyText"/>
    <w:next w:val="BodyText"/>
    <w:rsid w:val="00537262"/>
    <w:pPr>
      <w:tabs>
        <w:tab w:val="left" w:pos="340"/>
      </w:tabs>
      <w:spacing w:before="60" w:after="60"/>
      <w:ind w:left="340" w:hanging="340"/>
    </w:pPr>
  </w:style>
  <w:style w:type="paragraph" w:customStyle="1" w:styleId="Note">
    <w:name w:val="Note"/>
    <w:basedOn w:val="BodyText"/>
    <w:rsid w:val="00537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262"/>
    <w:pPr>
      <w:framePr w:wrap="auto" w:hAnchor="text" w:y="6049"/>
    </w:pPr>
    <w:rPr>
      <w:color w:val="000000"/>
      <w:sz w:val="40"/>
    </w:rPr>
  </w:style>
  <w:style w:type="paragraph" w:customStyle="1" w:styleId="TOCTitle">
    <w:name w:val="TOCTitle"/>
    <w:basedOn w:val="Heading1"/>
    <w:rsid w:val="00537262"/>
    <w:pPr>
      <w:spacing w:after="240"/>
      <w:jc w:val="center"/>
      <w:outlineLvl w:val="9"/>
    </w:pPr>
    <w:rPr>
      <w:caps/>
    </w:rPr>
  </w:style>
  <w:style w:type="paragraph" w:customStyle="1" w:styleId="Version">
    <w:name w:val="Version"/>
    <w:rsid w:val="005372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262"/>
    <w:pPr>
      <w:keepNext w:val="0"/>
      <w:tabs>
        <w:tab w:val="right" w:pos="4176"/>
      </w:tabs>
      <w:ind w:left="198" w:hanging="198"/>
    </w:pPr>
    <w:rPr>
      <w:rFonts w:ascii="Garamond" w:hAnsi="Garamond"/>
    </w:rPr>
  </w:style>
  <w:style w:type="paragraph" w:styleId="IndexHeading">
    <w:name w:val="index heading"/>
    <w:basedOn w:val="Normal"/>
    <w:next w:val="Index1"/>
    <w:semiHidden/>
    <w:rsid w:val="00537262"/>
    <w:pPr>
      <w:spacing w:before="120" w:after="120"/>
    </w:pPr>
    <w:rPr>
      <w:rFonts w:ascii="Arial" w:hAnsi="Arial"/>
      <w:b/>
      <w:color w:val="918585"/>
      <w:sz w:val="24"/>
    </w:rPr>
  </w:style>
  <w:style w:type="paragraph" w:styleId="Header">
    <w:name w:val="header"/>
    <w:basedOn w:val="Normal"/>
    <w:link w:val="HeaderChar"/>
    <w:rsid w:val="00537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262"/>
    <w:rPr>
      <w:rFonts w:ascii="Times New Roman" w:eastAsia="Times New Roman" w:hAnsi="Times New Roman" w:cs="Times New Roman"/>
      <w:sz w:val="16"/>
      <w:szCs w:val="20"/>
      <w:lang w:val="en-GB" w:eastAsia="en-US"/>
    </w:rPr>
  </w:style>
  <w:style w:type="paragraph" w:customStyle="1" w:styleId="Chapter">
    <w:name w:val="Chapter"/>
    <w:basedOn w:val="Normal"/>
    <w:rsid w:val="00537262"/>
    <w:pPr>
      <w:spacing w:before="240"/>
    </w:pPr>
    <w:rPr>
      <w:rFonts w:ascii="Times New Roman" w:hAnsi="Times New Roman"/>
      <w:smallCaps/>
      <w:spacing w:val="80"/>
      <w:sz w:val="28"/>
    </w:rPr>
  </w:style>
  <w:style w:type="paragraph" w:customStyle="1" w:styleId="InChapter">
    <w:name w:val="InChapter"/>
    <w:basedOn w:val="Heading3"/>
    <w:rsid w:val="00537262"/>
    <w:pPr>
      <w:spacing w:after="240"/>
      <w:outlineLvl w:val="9"/>
    </w:pPr>
    <w:rPr>
      <w:noProof/>
    </w:rPr>
  </w:style>
  <w:style w:type="paragraph" w:styleId="Index2">
    <w:name w:val="index 2"/>
    <w:basedOn w:val="Normal"/>
    <w:next w:val="Normal"/>
    <w:semiHidden/>
    <w:rsid w:val="00537262"/>
    <w:pPr>
      <w:tabs>
        <w:tab w:val="right" w:pos="4176"/>
      </w:tabs>
      <w:ind w:left="568" w:hanging="284"/>
    </w:pPr>
    <w:rPr>
      <w:rFonts w:ascii="Garamond" w:hAnsi="Garamond"/>
    </w:rPr>
  </w:style>
  <w:style w:type="paragraph" w:customStyle="1" w:styleId="Byline">
    <w:name w:val="Byline"/>
    <w:rsid w:val="00537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262"/>
    <w:pPr>
      <w:tabs>
        <w:tab w:val="clear" w:pos="3600"/>
        <w:tab w:val="clear" w:pos="3958"/>
      </w:tabs>
      <w:jc w:val="right"/>
    </w:pPr>
  </w:style>
  <w:style w:type="paragraph" w:styleId="Caption">
    <w:name w:val="caption"/>
    <w:basedOn w:val="BodyText"/>
    <w:next w:val="Normal"/>
    <w:qFormat/>
    <w:rsid w:val="00537262"/>
    <w:pPr>
      <w:framePr w:w="2268" w:hSpace="181" w:vSpace="181" w:wrap="around" w:vAnchor="text" w:hAnchor="page" w:x="1135" w:y="285" w:anchorLock="1"/>
    </w:pPr>
    <w:rPr>
      <w:i/>
    </w:rPr>
  </w:style>
  <w:style w:type="paragraph" w:customStyle="1" w:styleId="MiniTOCTitle">
    <w:name w:val="MiniTOCTitle"/>
    <w:basedOn w:val="Heading4"/>
    <w:rsid w:val="00537262"/>
    <w:pPr>
      <w:spacing w:before="240"/>
      <w:outlineLvl w:val="9"/>
    </w:pPr>
    <w:rPr>
      <w:noProof/>
      <w:sz w:val="24"/>
    </w:rPr>
  </w:style>
  <w:style w:type="paragraph" w:customStyle="1" w:styleId="MiniTOCItem">
    <w:name w:val="MiniTOCItem"/>
    <w:basedOn w:val="ListBullet"/>
    <w:rsid w:val="00537262"/>
    <w:pPr>
      <w:numPr>
        <w:numId w:val="0"/>
      </w:numPr>
      <w:tabs>
        <w:tab w:val="right" w:leader="dot" w:pos="6521"/>
      </w:tabs>
      <w:spacing w:before="0" w:after="0"/>
    </w:pPr>
  </w:style>
  <w:style w:type="paragraph" w:customStyle="1" w:styleId="TOFTitle">
    <w:name w:val="TOFTitle"/>
    <w:basedOn w:val="TOCTitle"/>
    <w:rsid w:val="00537262"/>
  </w:style>
  <w:style w:type="paragraph" w:styleId="TableofFigures">
    <w:name w:val="table of figures"/>
    <w:basedOn w:val="Normal"/>
    <w:next w:val="Normal"/>
    <w:semiHidden/>
    <w:rsid w:val="00537262"/>
    <w:pPr>
      <w:tabs>
        <w:tab w:val="right" w:leader="dot" w:pos="9072"/>
      </w:tabs>
      <w:ind w:left="970" w:hanging="403"/>
    </w:pPr>
    <w:rPr>
      <w:rFonts w:ascii="Times New Roman" w:hAnsi="Times New Roman"/>
      <w:b/>
    </w:rPr>
  </w:style>
  <w:style w:type="paragraph" w:styleId="ListNumber">
    <w:name w:val="List Number"/>
    <w:basedOn w:val="List"/>
    <w:rsid w:val="00537262"/>
    <w:pPr>
      <w:numPr>
        <w:numId w:val="11"/>
      </w:numPr>
    </w:pPr>
  </w:style>
  <w:style w:type="character" w:customStyle="1" w:styleId="WingdingSymbols">
    <w:name w:val="Wingding Symbols"/>
    <w:rsid w:val="00537262"/>
    <w:rPr>
      <w:rFonts w:ascii="Wingdings" w:hAnsi="Wingdings"/>
    </w:rPr>
  </w:style>
  <w:style w:type="paragraph" w:customStyle="1" w:styleId="TableHeading">
    <w:name w:val="Table Heading"/>
    <w:basedOn w:val="HeadingBase"/>
    <w:rsid w:val="00537262"/>
    <w:pPr>
      <w:keepLines/>
      <w:pBdr>
        <w:bottom w:val="single" w:sz="6" w:space="1" w:color="918585"/>
      </w:pBdr>
      <w:spacing w:before="240"/>
    </w:pPr>
  </w:style>
  <w:style w:type="character" w:customStyle="1" w:styleId="HotSpot">
    <w:name w:val="HotSpot"/>
    <w:rsid w:val="00537262"/>
    <w:rPr>
      <w:color w:val="0033CC"/>
      <w:u w:val="none"/>
    </w:rPr>
  </w:style>
  <w:style w:type="paragraph" w:customStyle="1" w:styleId="BodyTextRight">
    <w:name w:val="Body Text Right"/>
    <w:basedOn w:val="BodyText"/>
    <w:rsid w:val="00537262"/>
    <w:pPr>
      <w:spacing w:before="0" w:after="0"/>
      <w:jc w:val="right"/>
    </w:pPr>
  </w:style>
  <w:style w:type="paragraph" w:styleId="Index3">
    <w:name w:val="index 3"/>
    <w:basedOn w:val="ListNumber2"/>
    <w:next w:val="Normal"/>
    <w:semiHidden/>
    <w:rsid w:val="00537262"/>
    <w:pPr>
      <w:numPr>
        <w:numId w:val="0"/>
      </w:numPr>
      <w:tabs>
        <w:tab w:val="right" w:leader="dot" w:pos="4176"/>
      </w:tabs>
    </w:pPr>
  </w:style>
  <w:style w:type="paragraph" w:styleId="ListNumber2">
    <w:name w:val="List Number 2"/>
    <w:basedOn w:val="List2"/>
    <w:rsid w:val="00537262"/>
    <w:pPr>
      <w:numPr>
        <w:numId w:val="10"/>
      </w:numPr>
      <w:tabs>
        <w:tab w:val="clear" w:pos="1060"/>
      </w:tabs>
    </w:pPr>
  </w:style>
  <w:style w:type="paragraph" w:customStyle="1" w:styleId="MarginNote">
    <w:name w:val="Margin Note"/>
    <w:basedOn w:val="BodyText"/>
    <w:rsid w:val="00537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262"/>
    <w:rPr>
      <w:sz w:val="32"/>
    </w:rPr>
  </w:style>
  <w:style w:type="paragraph" w:customStyle="1" w:styleId="HeadingProcedure">
    <w:name w:val="Heading Procedure"/>
    <w:basedOn w:val="HeadingBase"/>
    <w:next w:val="Normal"/>
    <w:rsid w:val="00537262"/>
    <w:pPr>
      <w:tabs>
        <w:tab w:val="left" w:pos="0"/>
      </w:tabs>
      <w:spacing w:before="120" w:after="60"/>
    </w:pPr>
    <w:rPr>
      <w:i/>
      <w:color w:val="918585"/>
      <w:sz w:val="22"/>
    </w:rPr>
  </w:style>
  <w:style w:type="paragraph" w:customStyle="1" w:styleId="TableBodyText">
    <w:name w:val="Table Body Text"/>
    <w:basedOn w:val="BodyText"/>
    <w:rsid w:val="00537262"/>
    <w:pPr>
      <w:spacing w:before="60" w:after="60"/>
    </w:pPr>
  </w:style>
  <w:style w:type="paragraph" w:styleId="ListContinue">
    <w:name w:val="List Continue"/>
    <w:basedOn w:val="List"/>
    <w:rsid w:val="00537262"/>
    <w:pPr>
      <w:ind w:firstLine="0"/>
    </w:pPr>
  </w:style>
  <w:style w:type="paragraph" w:customStyle="1" w:styleId="ListNote">
    <w:name w:val="List Note"/>
    <w:basedOn w:val="List"/>
    <w:rsid w:val="00537262"/>
    <w:pPr>
      <w:pBdr>
        <w:top w:val="single" w:sz="6" w:space="2" w:color="918585"/>
        <w:bottom w:val="single" w:sz="6" w:space="2" w:color="918585"/>
      </w:pBdr>
      <w:tabs>
        <w:tab w:val="left" w:pos="1021"/>
      </w:tabs>
      <w:ind w:firstLine="0"/>
    </w:pPr>
  </w:style>
  <w:style w:type="paragraph" w:customStyle="1" w:styleId="Warning">
    <w:name w:val="Warning"/>
    <w:basedOn w:val="BodyText"/>
    <w:rsid w:val="00537262"/>
    <w:pPr>
      <w:shd w:val="clear" w:color="auto" w:fill="D9D9D9"/>
      <w:tabs>
        <w:tab w:val="left" w:pos="992"/>
      </w:tabs>
      <w:ind w:left="119" w:right="119"/>
    </w:pPr>
    <w:rPr>
      <w:sz w:val="20"/>
    </w:rPr>
  </w:style>
  <w:style w:type="paragraph" w:customStyle="1" w:styleId="MarginIcons">
    <w:name w:val="Margin Icons"/>
    <w:basedOn w:val="BodyText"/>
    <w:rsid w:val="00537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262"/>
    <w:rPr>
      <w:rFonts w:ascii="Courier New" w:hAnsi="Courier New"/>
    </w:rPr>
  </w:style>
  <w:style w:type="paragraph" w:customStyle="1" w:styleId="NoteBullet">
    <w:name w:val="Note Bullet"/>
    <w:basedOn w:val="Note"/>
    <w:rsid w:val="00537262"/>
    <w:pPr>
      <w:tabs>
        <w:tab w:val="clear" w:pos="680"/>
      </w:tabs>
      <w:spacing w:before="60" w:after="60"/>
    </w:pPr>
  </w:style>
  <w:style w:type="paragraph" w:customStyle="1" w:styleId="SubHeading2">
    <w:name w:val="SubHeading2"/>
    <w:basedOn w:val="HeadingBase"/>
    <w:rsid w:val="00537262"/>
    <w:pPr>
      <w:spacing w:before="240" w:after="60"/>
    </w:pPr>
    <w:rPr>
      <w:sz w:val="20"/>
    </w:rPr>
  </w:style>
  <w:style w:type="paragraph" w:customStyle="1" w:styleId="SubHeading1">
    <w:name w:val="SubHeading1"/>
    <w:basedOn w:val="HeadingBase"/>
    <w:rsid w:val="00537262"/>
    <w:pPr>
      <w:spacing w:before="240" w:after="60"/>
    </w:pPr>
    <w:rPr>
      <w:color w:val="918585"/>
      <w:sz w:val="22"/>
    </w:rPr>
  </w:style>
  <w:style w:type="paragraph" w:customStyle="1" w:styleId="SideHeading">
    <w:name w:val="Side Heading"/>
    <w:basedOn w:val="HeadingBase"/>
    <w:rsid w:val="00537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262"/>
    <w:pPr>
      <w:numPr>
        <w:numId w:val="12"/>
      </w:numPr>
    </w:pPr>
  </w:style>
  <w:style w:type="paragraph" w:styleId="PlainText">
    <w:name w:val="Plain Text"/>
    <w:basedOn w:val="Normal"/>
    <w:link w:val="PlainTextChar"/>
    <w:rsid w:val="00537262"/>
    <w:rPr>
      <w:sz w:val="20"/>
    </w:rPr>
  </w:style>
  <w:style w:type="character" w:customStyle="1" w:styleId="PlainTextChar">
    <w:name w:val="Plain Text Char"/>
    <w:basedOn w:val="DefaultParagraphFont"/>
    <w:link w:val="PlainText"/>
    <w:rsid w:val="00537262"/>
    <w:rPr>
      <w:rFonts w:ascii="Courier New" w:eastAsia="Times New Roman" w:hAnsi="Courier New" w:cs="Times New Roman"/>
      <w:sz w:val="20"/>
      <w:szCs w:val="20"/>
      <w:lang w:eastAsia="en-US"/>
    </w:rPr>
  </w:style>
  <w:style w:type="character" w:customStyle="1" w:styleId="MenuOption">
    <w:name w:val="Menu Option"/>
    <w:basedOn w:val="DefaultParagraphFont"/>
    <w:rsid w:val="00537262"/>
    <w:rPr>
      <w:b/>
      <w:smallCaps/>
    </w:rPr>
  </w:style>
  <w:style w:type="paragraph" w:customStyle="1" w:styleId="TableListNumber">
    <w:name w:val="Table List Number"/>
    <w:basedOn w:val="ListNumber"/>
    <w:rsid w:val="00537262"/>
    <w:pPr>
      <w:numPr>
        <w:numId w:val="0"/>
      </w:numPr>
    </w:pPr>
  </w:style>
  <w:style w:type="paragraph" w:styleId="TOC4">
    <w:name w:val="toc 4"/>
    <w:basedOn w:val="TOCBase"/>
    <w:next w:val="Normal"/>
    <w:semiHidden/>
    <w:rsid w:val="00537262"/>
    <w:pPr>
      <w:tabs>
        <w:tab w:val="right" w:leader="dot" w:pos="9071"/>
      </w:tabs>
      <w:ind w:left="1701"/>
    </w:pPr>
  </w:style>
  <w:style w:type="paragraph" w:customStyle="1" w:styleId="ListAlpha">
    <w:name w:val="List Alpha"/>
    <w:basedOn w:val="List"/>
    <w:rsid w:val="00537262"/>
    <w:pPr>
      <w:numPr>
        <w:numId w:val="9"/>
      </w:numPr>
    </w:pPr>
  </w:style>
  <w:style w:type="paragraph" w:customStyle="1" w:styleId="ListAlpha2">
    <w:name w:val="List Alpha 2"/>
    <w:basedOn w:val="List2"/>
    <w:rsid w:val="00537262"/>
    <w:pPr>
      <w:numPr>
        <w:numId w:val="8"/>
      </w:numPr>
    </w:pPr>
  </w:style>
  <w:style w:type="paragraph" w:styleId="List2">
    <w:name w:val="List 2"/>
    <w:basedOn w:val="BodyText"/>
    <w:rsid w:val="00537262"/>
    <w:pPr>
      <w:tabs>
        <w:tab w:val="left" w:pos="680"/>
      </w:tabs>
      <w:spacing w:before="60" w:after="60"/>
      <w:ind w:left="680" w:hanging="340"/>
    </w:pPr>
  </w:style>
  <w:style w:type="paragraph" w:styleId="List3">
    <w:name w:val="List 3"/>
    <w:basedOn w:val="BodyText"/>
    <w:rsid w:val="00537262"/>
    <w:pPr>
      <w:tabs>
        <w:tab w:val="left" w:pos="1021"/>
      </w:tabs>
      <w:spacing w:before="60" w:after="60"/>
      <w:ind w:left="1020" w:hanging="340"/>
    </w:pPr>
  </w:style>
  <w:style w:type="paragraph" w:styleId="List4">
    <w:name w:val="List 4"/>
    <w:basedOn w:val="BodyText"/>
    <w:rsid w:val="00537262"/>
    <w:pPr>
      <w:tabs>
        <w:tab w:val="left" w:pos="1361"/>
      </w:tabs>
      <w:spacing w:before="60" w:after="60"/>
      <w:ind w:left="1361" w:hanging="340"/>
    </w:pPr>
  </w:style>
  <w:style w:type="paragraph" w:styleId="List5">
    <w:name w:val="List 5"/>
    <w:basedOn w:val="BodyText"/>
    <w:rsid w:val="00537262"/>
    <w:pPr>
      <w:tabs>
        <w:tab w:val="left" w:pos="1701"/>
      </w:tabs>
      <w:spacing w:before="60" w:after="60"/>
      <w:ind w:left="1701" w:hanging="340"/>
    </w:pPr>
  </w:style>
  <w:style w:type="paragraph" w:styleId="ListBullet3">
    <w:name w:val="List Bullet 3"/>
    <w:basedOn w:val="List3"/>
    <w:rsid w:val="00537262"/>
    <w:pPr>
      <w:numPr>
        <w:numId w:val="15"/>
      </w:numPr>
      <w:tabs>
        <w:tab w:val="clear" w:pos="1021"/>
      </w:tabs>
      <w:ind w:left="1037" w:hanging="357"/>
    </w:pPr>
  </w:style>
  <w:style w:type="paragraph" w:styleId="ListBullet4">
    <w:name w:val="List Bullet 4"/>
    <w:basedOn w:val="List4"/>
    <w:rsid w:val="00537262"/>
    <w:pPr>
      <w:numPr>
        <w:numId w:val="3"/>
      </w:numPr>
    </w:pPr>
  </w:style>
  <w:style w:type="paragraph" w:styleId="ListBullet5">
    <w:name w:val="List Bullet 5"/>
    <w:basedOn w:val="List5"/>
    <w:rsid w:val="00537262"/>
    <w:pPr>
      <w:numPr>
        <w:numId w:val="4"/>
      </w:numPr>
    </w:pPr>
  </w:style>
  <w:style w:type="paragraph" w:styleId="ListContinue2">
    <w:name w:val="List Continue 2"/>
    <w:basedOn w:val="List2"/>
    <w:rsid w:val="00537262"/>
    <w:pPr>
      <w:ind w:firstLine="0"/>
    </w:pPr>
  </w:style>
  <w:style w:type="paragraph" w:styleId="ListContinue3">
    <w:name w:val="List Continue 3"/>
    <w:basedOn w:val="List3"/>
    <w:rsid w:val="00537262"/>
    <w:pPr>
      <w:ind w:left="1021" w:firstLine="0"/>
    </w:pPr>
  </w:style>
  <w:style w:type="paragraph" w:styleId="ListContinue4">
    <w:name w:val="List Continue 4"/>
    <w:basedOn w:val="List4"/>
    <w:rsid w:val="00537262"/>
    <w:pPr>
      <w:ind w:firstLine="0"/>
    </w:pPr>
  </w:style>
  <w:style w:type="paragraph" w:styleId="ListContinue5">
    <w:name w:val="List Continue 5"/>
    <w:basedOn w:val="List5"/>
    <w:rsid w:val="00537262"/>
    <w:pPr>
      <w:ind w:firstLine="0"/>
    </w:pPr>
  </w:style>
  <w:style w:type="paragraph" w:styleId="ListNumber3">
    <w:name w:val="List Number 3"/>
    <w:basedOn w:val="List3"/>
    <w:rsid w:val="00537262"/>
    <w:pPr>
      <w:numPr>
        <w:numId w:val="5"/>
      </w:numPr>
    </w:pPr>
  </w:style>
  <w:style w:type="paragraph" w:styleId="ListNumber4">
    <w:name w:val="List Number 4"/>
    <w:basedOn w:val="List4"/>
    <w:rsid w:val="00537262"/>
    <w:pPr>
      <w:numPr>
        <w:numId w:val="6"/>
      </w:numPr>
    </w:pPr>
  </w:style>
  <w:style w:type="paragraph" w:styleId="ListNumber5">
    <w:name w:val="List Number 5"/>
    <w:basedOn w:val="List5"/>
    <w:rsid w:val="00537262"/>
    <w:pPr>
      <w:numPr>
        <w:numId w:val="7"/>
      </w:numPr>
    </w:pPr>
  </w:style>
  <w:style w:type="paragraph" w:styleId="BlockText">
    <w:name w:val="Block Text"/>
    <w:basedOn w:val="Normal"/>
    <w:rsid w:val="00537262"/>
    <w:pPr>
      <w:spacing w:after="120"/>
      <w:ind w:left="1440" w:right="1440"/>
    </w:pPr>
  </w:style>
  <w:style w:type="character" w:customStyle="1" w:styleId="Subscript">
    <w:name w:val="Subscript"/>
    <w:basedOn w:val="DefaultParagraphFont"/>
    <w:rsid w:val="00537262"/>
    <w:rPr>
      <w:sz w:val="16"/>
      <w:vertAlign w:val="subscript"/>
    </w:rPr>
  </w:style>
  <w:style w:type="character" w:customStyle="1" w:styleId="Superscript">
    <w:name w:val="Superscript"/>
    <w:basedOn w:val="DefaultParagraphFont"/>
    <w:rsid w:val="00537262"/>
    <w:rPr>
      <w:sz w:val="16"/>
      <w:vertAlign w:val="superscript"/>
    </w:rPr>
  </w:style>
  <w:style w:type="character" w:customStyle="1" w:styleId="Symbols">
    <w:name w:val="Symbols"/>
    <w:basedOn w:val="DefaultParagraphFont"/>
    <w:rsid w:val="00537262"/>
    <w:rPr>
      <w:rFonts w:ascii="Symbol" w:hAnsi="Symbol"/>
    </w:rPr>
  </w:style>
  <w:style w:type="character" w:customStyle="1" w:styleId="MenuOptions">
    <w:name w:val="Menu Options"/>
    <w:basedOn w:val="DefaultParagraphFont"/>
    <w:rsid w:val="00537262"/>
    <w:rPr>
      <w:rFonts w:ascii="Arial Narrow" w:hAnsi="Arial Narrow"/>
      <w:smallCaps/>
    </w:rPr>
  </w:style>
  <w:style w:type="character" w:customStyle="1" w:styleId="Buttons">
    <w:name w:val="Buttons"/>
    <w:basedOn w:val="DefaultParagraphFont"/>
    <w:rsid w:val="00537262"/>
    <w:rPr>
      <w:b/>
    </w:rPr>
  </w:style>
  <w:style w:type="character" w:customStyle="1" w:styleId="Underlined">
    <w:name w:val="Underlined"/>
    <w:basedOn w:val="DefaultParagraphFont"/>
    <w:rsid w:val="00537262"/>
    <w:rPr>
      <w:u w:val="single"/>
    </w:rPr>
  </w:style>
  <w:style w:type="paragraph" w:customStyle="1" w:styleId="TableBodyTextRight">
    <w:name w:val="Table Body Text Right"/>
    <w:basedOn w:val="TableBodyText"/>
    <w:rsid w:val="00537262"/>
    <w:pPr>
      <w:widowControl w:val="0"/>
      <w:autoSpaceDE w:val="0"/>
      <w:autoSpaceDN w:val="0"/>
      <w:adjustRightInd w:val="0"/>
      <w:jc w:val="right"/>
    </w:pPr>
    <w:rPr>
      <w:rFonts w:cs="Arial"/>
      <w:szCs w:val="18"/>
    </w:rPr>
  </w:style>
  <w:style w:type="paragraph" w:customStyle="1" w:styleId="CopyrightText">
    <w:name w:val="Copyright Text"/>
    <w:basedOn w:val="BodyText"/>
    <w:rsid w:val="00537262"/>
    <w:rPr>
      <w:sz w:val="18"/>
    </w:rPr>
  </w:style>
  <w:style w:type="paragraph" w:customStyle="1" w:styleId="BodySmallRight">
    <w:name w:val="Body Small Right"/>
    <w:basedOn w:val="BodyTextRight"/>
    <w:rsid w:val="00537262"/>
    <w:rPr>
      <w:sz w:val="18"/>
      <w:szCs w:val="18"/>
    </w:rPr>
  </w:style>
  <w:style w:type="paragraph" w:customStyle="1" w:styleId="MarginEdition">
    <w:name w:val="Margin Edition"/>
    <w:basedOn w:val="MarginNote"/>
    <w:rsid w:val="00537262"/>
    <w:pPr>
      <w:spacing w:before="0" w:after="0"/>
    </w:pPr>
    <w:rPr>
      <w:rFonts w:ascii="Times New Roman" w:hAnsi="Times New Roman"/>
      <w:color w:val="999999"/>
    </w:rPr>
  </w:style>
  <w:style w:type="paragraph" w:customStyle="1" w:styleId="Spacer">
    <w:name w:val="Spacer"/>
    <w:basedOn w:val="Normal"/>
    <w:rsid w:val="00537262"/>
    <w:rPr>
      <w:sz w:val="2"/>
      <w:szCs w:val="2"/>
    </w:rPr>
  </w:style>
  <w:style w:type="character" w:customStyle="1" w:styleId="Small">
    <w:name w:val="Small"/>
    <w:basedOn w:val="DefaultParagraphFont"/>
    <w:rsid w:val="00537262"/>
    <w:rPr>
      <w:sz w:val="16"/>
    </w:rPr>
  </w:style>
  <w:style w:type="paragraph" w:customStyle="1" w:styleId="WideTable">
    <w:name w:val="Wide Table"/>
    <w:basedOn w:val="Normal"/>
    <w:rsid w:val="00537262"/>
    <w:pPr>
      <w:ind w:left="-1418"/>
    </w:pPr>
    <w:rPr>
      <w:sz w:val="2"/>
      <w:szCs w:val="2"/>
    </w:rPr>
  </w:style>
  <w:style w:type="character" w:styleId="PageNumber">
    <w:name w:val="page number"/>
    <w:basedOn w:val="DefaultParagraphFont"/>
    <w:rsid w:val="00537262"/>
  </w:style>
  <w:style w:type="paragraph" w:styleId="Quote">
    <w:name w:val="Quote"/>
    <w:basedOn w:val="Heading1"/>
    <w:link w:val="QuoteChar"/>
    <w:qFormat/>
    <w:rsid w:val="00537262"/>
    <w:rPr>
      <w:b w:val="0"/>
      <w:sz w:val="72"/>
      <w:szCs w:val="72"/>
      <w:lang w:val="en-NZ"/>
    </w:rPr>
  </w:style>
  <w:style w:type="character" w:customStyle="1" w:styleId="QuoteChar">
    <w:name w:val="Quote Char"/>
    <w:basedOn w:val="DefaultParagraphFont"/>
    <w:link w:val="Quote"/>
    <w:rsid w:val="00537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262"/>
    <w:pPr>
      <w:pageBreakBefore/>
    </w:pPr>
  </w:style>
  <w:style w:type="paragraph" w:customStyle="1" w:styleId="Border">
    <w:name w:val="Border"/>
    <w:basedOn w:val="Normal"/>
    <w:qFormat/>
    <w:rsid w:val="00537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262"/>
    <w:rPr>
      <w:b/>
      <w:bCs/>
      <w:i/>
      <w:iCs/>
      <w:color w:val="auto"/>
    </w:rPr>
  </w:style>
  <w:style w:type="paragraph" w:styleId="IntenseQuote">
    <w:name w:val="Intense Quote"/>
    <w:basedOn w:val="Normal"/>
    <w:next w:val="Normal"/>
    <w:link w:val="IntenseQuoteChar"/>
    <w:uiPriority w:val="30"/>
    <w:qFormat/>
    <w:rsid w:val="00537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262"/>
    <w:rPr>
      <w:smallCaps/>
      <w:color w:val="auto"/>
      <w:u w:val="single"/>
    </w:rPr>
  </w:style>
  <w:style w:type="character" w:styleId="IntenseReference">
    <w:name w:val="Intense Reference"/>
    <w:basedOn w:val="DefaultParagraphFont"/>
    <w:uiPriority w:val="32"/>
    <w:qFormat/>
    <w:rsid w:val="00537262"/>
    <w:rPr>
      <w:b/>
      <w:bCs/>
      <w:smallCaps/>
      <w:color w:val="auto"/>
      <w:spacing w:val="5"/>
      <w:u w:val="single"/>
    </w:rPr>
  </w:style>
  <w:style w:type="paragraph" w:customStyle="1" w:styleId="2ColumnHeading">
    <w:name w:val="2Column Heading"/>
    <w:basedOn w:val="BodyText"/>
    <w:qFormat/>
    <w:rsid w:val="00537262"/>
    <w:pPr>
      <w:spacing w:after="60"/>
      <w:ind w:left="-2268"/>
    </w:pPr>
    <w:rPr>
      <w:b/>
    </w:rPr>
  </w:style>
  <w:style w:type="paragraph" w:customStyle="1" w:styleId="Heading1TOC">
    <w:name w:val="Heading1 TOC"/>
    <w:basedOn w:val="Normal"/>
    <w:qFormat/>
    <w:rsid w:val="00537262"/>
    <w:pPr>
      <w:spacing w:before="240" w:after="120"/>
    </w:pPr>
    <w:rPr>
      <w:rFonts w:ascii="Times New Roman" w:hAnsi="Times New Roman"/>
      <w:b/>
      <w:sz w:val="32"/>
    </w:rPr>
  </w:style>
  <w:style w:type="paragraph" w:customStyle="1" w:styleId="Heading2TOC">
    <w:name w:val="Heading2 TOC"/>
    <w:basedOn w:val="Normal"/>
    <w:qFormat/>
    <w:rsid w:val="00537262"/>
    <w:pPr>
      <w:spacing w:before="240" w:after="60"/>
    </w:pPr>
    <w:rPr>
      <w:rFonts w:ascii="Times New Roman" w:hAnsi="Times New Roman"/>
      <w:b/>
      <w:sz w:val="28"/>
    </w:rPr>
  </w:style>
  <w:style w:type="character" w:customStyle="1" w:styleId="Underline">
    <w:name w:val="Underline"/>
    <w:basedOn w:val="DefaultParagraphFont"/>
    <w:qFormat/>
    <w:rsid w:val="00537262"/>
    <w:rPr>
      <w:u w:val="single"/>
    </w:rPr>
  </w:style>
  <w:style w:type="character" w:customStyle="1" w:styleId="BoldandItalics">
    <w:name w:val="Bold and Italics"/>
    <w:qFormat/>
    <w:rsid w:val="00537262"/>
    <w:rPr>
      <w:b/>
      <w:i/>
      <w:u w:val="none"/>
    </w:rPr>
  </w:style>
  <w:style w:type="paragraph" w:styleId="BalloonText">
    <w:name w:val="Balloon Text"/>
    <w:basedOn w:val="Normal"/>
    <w:link w:val="BalloonTextChar"/>
    <w:rsid w:val="00537262"/>
    <w:rPr>
      <w:rFonts w:ascii="Tahoma" w:hAnsi="Tahoma" w:cs="Tahoma"/>
      <w:sz w:val="16"/>
      <w:szCs w:val="16"/>
    </w:rPr>
  </w:style>
  <w:style w:type="character" w:customStyle="1" w:styleId="BalloonTextChar">
    <w:name w:val="Balloon Text Char"/>
    <w:basedOn w:val="DefaultParagraphFont"/>
    <w:link w:val="BalloonText"/>
    <w:rsid w:val="00537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262"/>
    <w:rPr>
      <w:b/>
      <w:color w:val="660033"/>
      <w:spacing w:val="0"/>
    </w:rPr>
  </w:style>
  <w:style w:type="paragraph" w:customStyle="1" w:styleId="Nameditemlist">
    <w:name w:val="Named item list"/>
    <w:basedOn w:val="BodyText"/>
    <w:qFormat/>
    <w:rsid w:val="005372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2344</Words>
  <Characters>14237</Characters>
  <Application>Microsoft Office Word</Application>
  <DocSecurity>0</DocSecurity>
  <Lines>589</Lines>
  <Paragraphs>227</Paragraphs>
  <ScaleCrop>false</ScaleCrop>
  <Company>Author-it Software Corporation Ltd.</Company>
  <LinksUpToDate>false</LinksUpToDate>
  <CharactersWithSpaces>16438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UEGNSG615A Fill LPG cylinders</dc:title>
  <dc:subject>Approved</dc:subject>
  <dc:creator>E-Oz Training Standards</dc:creator>
  <cp:keywords>Release 1</cp:keywords>
  <dc:description>Review Date: 12 April 2008</dc:description>
  <cp:lastModifiedBy>HSD_TPCMSd.prod</cp:lastModifiedBy>
  <cp:revision>3</cp:revision>
  <dcterms:created xsi:type="dcterms:W3CDTF">2014-03-13T15:17:23Z</dcterms:created>
  <dcterms:modified xsi:type="dcterms:W3CDTF">2014-03-13T03:45:00Z</dcterms:modified>
</cp:coreProperties>
</file>