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C35" w:rsidP="00211C35">
      <w:pPr>
        <w:pStyle w:val="Title"/>
      </w:pPr>
      <w:r>
        <w:fldChar w:fldCharType="begin"/>
      </w:r>
      <w:r>
        <w:instrText xml:space="preserve"> TITLE   \* MERGEFORMAT </w:instrText>
      </w:r>
      <w:r>
        <w:fldChar w:fldCharType="separate"/>
      </w:r>
      <w:r>
        <w:t>UEGNSG614A Load, unload, exchange and connect LPG cylinders</w:t>
      </w:r>
      <w:r>
        <w:fldChar w:fldCharType="end"/>
      </w:r>
    </w:p>
    <w:p w:rsidR="00211C35" w:rsidP="00211C35">
      <w:pPr>
        <w:pStyle w:val="Version"/>
        <w:sectPr w:rsidSect="007C39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992" w:rsidP="007C3992">
      <w:pPr>
        <w:pStyle w:val="SuperHeading"/>
      </w:pPr>
      <w:r w:rsidRPr="007C3992">
        <w:t>UEGNSG614A Load, unload, exchange and connect LPG cylinders</w:t>
      </w:r>
    </w:p>
    <w:p w:rsidR="00000000" w:rsidRPr="007C3992" w:rsidP="007C3992">
      <w:pPr>
        <w:pStyle w:val="Heading1"/>
      </w:pPr>
      <w:bookmarkStart w:id="1" w:name="O_593736"/>
      <w:bookmarkEnd w:id="1"/>
      <w:r w:rsidRPr="007C3992">
        <w:t>Modification History</w:t>
      </w:r>
    </w:p>
    <w:p w:rsidR="00000000" w:rsidRPr="007C3992" w:rsidP="007C3992">
      <w:pPr>
        <w:pStyle w:val="BodyText"/>
      </w:pPr>
      <w:r w:rsidRPr="007C3992">
        <w:t>This unit replaces UEGNSG603B Load, unload and exchanging gas cylinders</w:t>
      </w:r>
    </w:p>
    <w:p w:rsidR="00000000" w:rsidRPr="007C3992" w:rsidP="007C3992">
      <w:pPr>
        <w:pStyle w:val="AllowPageBreak"/>
      </w:pPr>
    </w:p>
    <w:p w:rsidR="00000000" w:rsidRPr="007C3992" w:rsidP="007C3992">
      <w:pPr>
        <w:pStyle w:val="Heading1"/>
      </w:pPr>
      <w:bookmarkStart w:id="2" w:name="O_593737"/>
      <w:bookmarkEnd w:id="2"/>
      <w:r w:rsidRPr="007C3992">
        <w:t>Unit Descriptor</w:t>
      </w:r>
    </w:p>
    <w:tbl>
      <w:tblPr>
        <w:tblW w:w="0" w:type="auto"/>
        <w:tblLayout w:type="fixed"/>
        <w:tblCellMar>
          <w:left w:w="62" w:type="dxa"/>
          <w:right w:w="62" w:type="dxa"/>
        </w:tblCellMar>
        <w:tblLook w:val="0000"/>
      </w:tblPr>
      <w:tblGrid>
        <w:gridCol w:w="2638"/>
        <w:gridCol w:w="5760"/>
      </w:tblGrid>
      <w:tr w:rsidTr="007C399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1) Scope:</w:t>
            </w:r>
          </w:p>
        </w:tc>
      </w:tr>
      <w:tr w:rsidTr="007C399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7C399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1.1) Descriptor</w:t>
            </w:r>
          </w:p>
        </w:tc>
      </w:tr>
      <w:tr w:rsidTr="007C399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t>This unit covers the loading, unloading, transporting, exchanging an</w:t>
            </w:r>
            <w:r w:rsidRPr="007C3992">
              <w:t xml:space="preserve">d connecting liquefied petroleum gas (LPG) cylinders to an approved installation in accordance with relevant legislation, codes, regulations and established procedures. </w:t>
            </w:r>
          </w:p>
          <w:p w:rsidR="00000000" w:rsidRPr="007C3992" w:rsidP="007C3992">
            <w:pPr>
              <w:pStyle w:val="BodyText"/>
            </w:pPr>
          </w:p>
          <w:p w:rsidR="00000000" w:rsidRPr="007C3992" w:rsidP="007C3992">
            <w:pPr>
              <w:pStyle w:val="BodyText"/>
            </w:pPr>
            <w:r w:rsidRPr="007C3992">
              <w:t>This encompasses following procedures to correctly and safely carry out the work usin</w:t>
            </w:r>
            <w:r w:rsidRPr="007C3992">
              <w:t>g appropriate materials, tools and equipment.</w:t>
            </w:r>
          </w:p>
          <w:p w:rsidR="00000000" w:rsidRPr="007C3992" w:rsidP="007C3992">
            <w:pPr>
              <w:pStyle w:val="BodyText"/>
            </w:pPr>
          </w:p>
          <w:p w:rsidR="00000000" w:rsidRPr="007C3992" w:rsidP="007C3992">
            <w:pPr>
              <w:pStyle w:val="BodyText"/>
            </w:pPr>
          </w:p>
        </w:tc>
      </w:tr>
    </w:tbl>
    <w:p w:rsidR="00000000" w:rsidRPr="007C3992" w:rsidP="007C3992">
      <w:pPr>
        <w:pStyle w:val="BodyText"/>
      </w:pPr>
    </w:p>
    <w:p w:rsidR="00000000" w:rsidRPr="007C3992" w:rsidP="007C3992">
      <w:pPr>
        <w:pStyle w:val="AllowPageBreak"/>
      </w:pPr>
    </w:p>
    <w:p w:rsidR="00000000" w:rsidRPr="007C3992" w:rsidP="007C3992">
      <w:pPr>
        <w:pStyle w:val="Heading1"/>
      </w:pPr>
      <w:bookmarkStart w:id="3" w:name="O_593738"/>
      <w:bookmarkEnd w:id="3"/>
      <w:r w:rsidRPr="007C3992">
        <w:t>Application of the Unit</w:t>
      </w:r>
    </w:p>
    <w:tbl>
      <w:tblPr>
        <w:tblW w:w="0" w:type="auto"/>
        <w:tblLayout w:type="fixed"/>
        <w:tblCellMar>
          <w:left w:w="62" w:type="dxa"/>
          <w:right w:w="62" w:type="dxa"/>
        </w:tblCellMar>
        <w:tblLook w:val="0000"/>
      </w:tblPr>
      <w:tblGrid>
        <w:gridCol w:w="2610"/>
        <w:gridCol w:w="5699"/>
      </w:tblGrid>
      <w:tr w:rsidTr="007C3992">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2)</w:t>
            </w:r>
          </w:p>
        </w:tc>
      </w:tr>
      <w:tr w:rsidTr="007C3992">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t xml:space="preserve">This unit shall apply to work sites where the distribution of liquefied petroleum gas cylinders occurs, subject to all </w:t>
            </w:r>
            <w:r w:rsidRPr="007C3992">
              <w:t>Workplace Health and Safety (WHS)/Occupational Health and Safety (OHS) and duty of care requirements being met for the workplace. Typically it applies to cylinder delivery drivers and service/ installation gas fitters who exchange LPG gas cylinders connect</w:t>
            </w:r>
            <w:r w:rsidRPr="007C3992">
              <w:t>ed to an approved gas installation.</w:t>
            </w:r>
          </w:p>
          <w:p w:rsidR="00000000" w:rsidRPr="007C3992" w:rsidP="007C3992">
            <w:pPr>
              <w:pStyle w:val="BodyText"/>
            </w:pPr>
          </w:p>
          <w:p w:rsidR="00000000" w:rsidRPr="007C3992" w:rsidP="007C3992">
            <w:pPr>
              <w:pStyle w:val="BodyText"/>
            </w:pPr>
            <w:r w:rsidRPr="007C3992">
              <w:t xml:space="preserve">This unit is intended as an entry level AQF 2 competency for new entrants in the gas industry. It is suitable for employment-based programs under an approved contract </w:t>
            </w:r>
            <w:r w:rsidRPr="007C3992">
              <w:t>of training.</w:t>
            </w:r>
          </w:p>
        </w:tc>
      </w:tr>
    </w:tbl>
    <w:p w:rsidR="00211C35" w:rsidP="007C3992">
      <w:pPr>
        <w:pStyle w:val="BodyText"/>
      </w:pPr>
    </w:p>
    <w:p w:rsidR="00211C35" w:rsidP="007C3992">
      <w:pPr>
        <w:pStyle w:val="BodyText"/>
      </w:pPr>
    </w:p>
    <w:p w:rsidR="00000000" w:rsidRPr="007C3992" w:rsidP="007C3992">
      <w:pPr>
        <w:pStyle w:val="Heading1"/>
      </w:pPr>
      <w:bookmarkStart w:id="4" w:name="O_593739"/>
      <w:bookmarkEnd w:id="4"/>
      <w:r w:rsidRPr="007C3992">
        <w:t>Licensing/Regulatory Information</w:t>
      </w:r>
    </w:p>
    <w:tbl>
      <w:tblPr>
        <w:tblW w:w="0" w:type="auto"/>
        <w:tblLayout w:type="fixed"/>
        <w:tblCellMar>
          <w:left w:w="62" w:type="dxa"/>
          <w:right w:w="62" w:type="dxa"/>
        </w:tblCellMar>
        <w:tblLook w:val="0000"/>
      </w:tblPr>
      <w:tblGrid>
        <w:gridCol w:w="2638"/>
        <w:gridCol w:w="5760"/>
      </w:tblGrid>
      <w:tr w:rsidTr="007C399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 xml:space="preserve">3) </w:t>
            </w:r>
          </w:p>
        </w:tc>
      </w:tr>
      <w:tr w:rsidTr="007C399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7C399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 xml:space="preserve">During Training: </w:t>
            </w:r>
          </w:p>
          <w:p w:rsidR="00000000" w:rsidRPr="007C3992" w:rsidP="007C3992">
            <w:pPr>
              <w:pStyle w:val="BodyText"/>
            </w:pPr>
            <w:r w:rsidRPr="007C3992">
              <w:t>Competency development activities are subject to regulations directly related to licensing, occupational health and safety and where applicable contracts of training such as appre</w:t>
            </w:r>
            <w:r w:rsidRPr="007C3992">
              <w:t xml:space="preserve">nticeships. </w:t>
            </w:r>
          </w:p>
          <w:p w:rsidR="00000000" w:rsidRPr="007C3992" w:rsidP="007C3992">
            <w:pPr>
              <w:pStyle w:val="BodyText"/>
            </w:pPr>
          </w:p>
          <w:p w:rsidR="00000000" w:rsidRPr="007C3992" w:rsidP="007C3992">
            <w:pPr>
              <w:pStyle w:val="BodyText"/>
            </w:pPr>
            <w:r w:rsidRPr="007C3992">
              <w:rPr>
                <w:rStyle w:val="SpecialBold"/>
              </w:rPr>
              <w:t>In the workplace:</w:t>
            </w:r>
          </w:p>
          <w:p w:rsidR="00000000" w:rsidRPr="007C3992" w:rsidP="007C3992">
            <w:pPr>
              <w:pStyle w:val="BodyText"/>
            </w:pPr>
            <w:r w:rsidRPr="007C3992">
              <w:t>The skills and knowledge described in this unit are not subject to licence regulation other than those directly related to Workplace Health and Safety (WHS)/ Occupational Health and Safety (OHS), gas/electricity/water indust</w:t>
            </w:r>
            <w:r w:rsidRPr="007C3992">
              <w:t xml:space="preserve">ry safety and compliance, industrial relations, environmental protection, telecommunications, anti-discrimination and training. </w:t>
            </w:r>
          </w:p>
          <w:p w:rsidR="00000000" w:rsidRPr="007C3992" w:rsidP="007C3992">
            <w:pPr>
              <w:pStyle w:val="BodyText"/>
            </w:pPr>
          </w:p>
          <w:p w:rsidR="00000000" w:rsidRPr="007C3992" w:rsidP="007C3992">
            <w:pPr>
              <w:pStyle w:val="BodyText"/>
            </w:pPr>
            <w:r w:rsidRPr="007C3992">
              <w:t>Commonwealth, State/Territory or Local Government legislation and regulations may exist that limits the age of operating certa</w:t>
            </w:r>
            <w:r w:rsidRPr="007C3992">
              <w:t>in equipment. Other conditions may apply to this competency under State and Territory legislative and regulatory requirements.</w:t>
            </w:r>
          </w:p>
        </w:tc>
      </w:tr>
    </w:tbl>
    <w:p w:rsidR="00211C35" w:rsidP="007C3992">
      <w:pPr>
        <w:pStyle w:val="BodyText"/>
      </w:pPr>
    </w:p>
    <w:p w:rsidR="00211C35" w:rsidP="007C3992">
      <w:pPr>
        <w:pStyle w:val="BodyText"/>
      </w:pPr>
    </w:p>
    <w:p w:rsidR="00000000" w:rsidRPr="007C3992" w:rsidP="007C3992">
      <w:pPr>
        <w:pStyle w:val="Heading1"/>
      </w:pPr>
      <w:bookmarkStart w:id="5" w:name="O_593740"/>
      <w:bookmarkEnd w:id="5"/>
      <w:r w:rsidRPr="007C3992">
        <w:t>Pre-Requisites</w:t>
      </w:r>
    </w:p>
    <w:tbl>
      <w:tblPr>
        <w:tblW w:w="0" w:type="auto"/>
        <w:tblLayout w:type="fixed"/>
        <w:tblCellMar>
          <w:left w:w="62" w:type="dxa"/>
          <w:right w:w="62" w:type="dxa"/>
        </w:tblCellMar>
        <w:tblLook w:val="0000"/>
      </w:tblPr>
      <w:tblGrid>
        <w:gridCol w:w="2638"/>
        <w:gridCol w:w="1800"/>
        <w:gridCol w:w="3960"/>
      </w:tblGrid>
      <w:tr w:rsidTr="007C399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 xml:space="preserve">4) </w:t>
            </w:r>
          </w:p>
        </w:tc>
      </w:tr>
      <w:tr w:rsidTr="007C399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4.1)</w:t>
            </w:r>
          </w:p>
        </w:tc>
      </w:tr>
      <w:tr w:rsidTr="007C399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Grant</w:t>
            </w:r>
            <w:r w:rsidRPr="007C3992">
              <w:t>ing of competency in this unit shall be made only after competency in the following unit(s) has/have been confirmed:</w:t>
            </w:r>
          </w:p>
        </w:tc>
      </w:tr>
      <w:tr w:rsidTr="007C399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UEGNSG141A</w:t>
            </w:r>
          </w:p>
        </w:tc>
        <w:tc>
          <w:tcPr>
            <w:tcW w:w="39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 xml:space="preserve">Apply Workplace Health and Safety regulations, codes and practices in the </w:t>
            </w:r>
            <w:r w:rsidRPr="007C3992">
              <w:t>gas industry</w:t>
            </w:r>
          </w:p>
        </w:tc>
      </w:tr>
      <w:tr w:rsidTr="007C399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UEGNSG005A</w:t>
            </w:r>
          </w:p>
        </w:tc>
        <w:tc>
          <w:tcPr>
            <w:tcW w:w="3960"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t>Prepare to work in the Australian gas industry</w:t>
            </w:r>
          </w:p>
        </w:tc>
      </w:tr>
    </w:tbl>
    <w:p w:rsidR="00000000" w:rsidRPr="007C3992" w:rsidP="007C3992">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7C399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 xml:space="preserve">4.2) </w:t>
            </w:r>
          </w:p>
          <w:p w:rsidR="00000000" w:rsidP="007C3992">
            <w:pPr>
              <w:pStyle w:val="BodyText"/>
              <w:rPr>
                <w:lang w:val="en-NZ"/>
              </w:rPr>
            </w:pPr>
            <w:r w:rsidRPr="007C3992">
              <w:t xml:space="preserve">Participants are best equipped to achieve this unit if they have reading, writing and numeracy skills indicated by the following scales. Description of each scale is given </w:t>
            </w:r>
            <w:r w:rsidRPr="007C3992">
              <w:t>in Volume 2, Part 3 ‘Literacy and Numeracy’</w:t>
            </w:r>
          </w:p>
        </w:tc>
      </w:tr>
      <w:tr w:rsidTr="007C399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Reading</w:t>
            </w:r>
          </w:p>
        </w:tc>
        <w:tc>
          <w:tcPr>
            <w:tcW w:w="81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3</w:t>
            </w:r>
          </w:p>
        </w:tc>
        <w:tc>
          <w:tcPr>
            <w:tcW w:w="99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Writing</w:t>
            </w: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3</w:t>
            </w:r>
          </w:p>
        </w:tc>
        <w:tc>
          <w:tcPr>
            <w:tcW w:w="12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Numeracy</w:t>
            </w:r>
          </w:p>
        </w:tc>
        <w:tc>
          <w:tcPr>
            <w:tcW w:w="720"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t>3</w:t>
            </w:r>
          </w:p>
        </w:tc>
      </w:tr>
    </w:tbl>
    <w:p w:rsidR="00211C35" w:rsidP="007C3992">
      <w:pPr>
        <w:pStyle w:val="BodyText"/>
      </w:pPr>
    </w:p>
    <w:p w:rsidR="00211C35" w:rsidP="007C3992">
      <w:pPr>
        <w:pStyle w:val="BodyText"/>
      </w:pPr>
    </w:p>
    <w:p w:rsidR="00000000" w:rsidRPr="007C3992" w:rsidP="007C3992">
      <w:pPr>
        <w:pStyle w:val="Heading1"/>
      </w:pPr>
      <w:bookmarkStart w:id="6" w:name="O_593741"/>
      <w:bookmarkEnd w:id="6"/>
      <w:r w:rsidRPr="007C3992">
        <w:t>Employability Skills Information</w:t>
      </w:r>
    </w:p>
    <w:tbl>
      <w:tblPr>
        <w:tblW w:w="0" w:type="auto"/>
        <w:tblLayout w:type="fixed"/>
        <w:tblCellMar>
          <w:left w:w="62" w:type="dxa"/>
          <w:right w:w="62" w:type="dxa"/>
        </w:tblCellMar>
        <w:tblLook w:val="0000"/>
      </w:tblPr>
      <w:tblGrid>
        <w:gridCol w:w="2638"/>
        <w:gridCol w:w="5760"/>
      </w:tblGrid>
      <w:tr w:rsidTr="007C399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 xml:space="preserve">5) </w:t>
            </w:r>
          </w:p>
        </w:tc>
      </w:tr>
      <w:tr w:rsidTr="007C399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This unit contains Employability Skills</w:t>
            </w:r>
          </w:p>
        </w:tc>
      </w:tr>
      <w:tr w:rsidTr="007C399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C3992">
              <w:t>requirements.</w:t>
            </w:r>
          </w:p>
        </w:tc>
      </w:tr>
    </w:tbl>
    <w:p w:rsidR="00211C35" w:rsidP="007C3992">
      <w:pPr>
        <w:pStyle w:val="BodyText"/>
      </w:pPr>
    </w:p>
    <w:p w:rsidR="00211C35" w:rsidP="007C3992">
      <w:pPr>
        <w:pStyle w:val="BodyText"/>
      </w:pPr>
    </w:p>
    <w:p w:rsidR="00000000" w:rsidRPr="007C3992" w:rsidP="007C3992">
      <w:pPr>
        <w:pStyle w:val="Heading1"/>
      </w:pPr>
      <w:bookmarkStart w:id="7" w:name="O_593742"/>
      <w:bookmarkEnd w:id="7"/>
      <w:r w:rsidRPr="007C3992">
        <w:t>Elements and Performance Criteria Pre-Content</w:t>
      </w:r>
    </w:p>
    <w:tbl>
      <w:tblPr>
        <w:tblW w:w="0" w:type="auto"/>
        <w:tblLayout w:type="fixed"/>
        <w:tblCellMar>
          <w:left w:w="62" w:type="dxa"/>
          <w:right w:w="62" w:type="dxa"/>
        </w:tblCellMar>
        <w:tblLook w:val="0000"/>
      </w:tblPr>
      <w:tblGrid>
        <w:gridCol w:w="2638"/>
        <w:gridCol w:w="5760"/>
      </w:tblGrid>
      <w:tr w:rsidTr="007C399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 xml:space="preserve">6) </w:t>
            </w:r>
            <w:r w:rsidRPr="007C3992">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Emphasis"/>
              </w:rPr>
              <w:t>Performance Criteria describe the required performance needed to demonstrate achievement of the element. Assessment of performance is to be consistent with the Evidence Guide.</w:t>
            </w:r>
          </w:p>
        </w:tc>
      </w:tr>
    </w:tbl>
    <w:p w:rsidR="00211C35" w:rsidP="007C3992">
      <w:pPr>
        <w:pStyle w:val="BodyText"/>
      </w:pPr>
    </w:p>
    <w:p w:rsidR="00211C35" w:rsidP="007C3992">
      <w:pPr>
        <w:pStyle w:val="BodyText"/>
      </w:pPr>
    </w:p>
    <w:p w:rsidR="00000000" w:rsidRPr="007C3992" w:rsidP="007C3992">
      <w:pPr>
        <w:pStyle w:val="Heading1"/>
      </w:pPr>
      <w:bookmarkStart w:id="8" w:name="O_593743"/>
      <w:bookmarkEnd w:id="8"/>
      <w:r w:rsidRPr="007C3992">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7C3992">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PERFORMANCE CRITERIA</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Prepare to  load/unload truck, , exchange and connect LPG cylinders</w:t>
            </w: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1.1</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Work instructions are received and confirmed with appropriate persons</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1.2</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 xml:space="preserve">Relevant requirements and established procedures to be followed for the work to be performed are discussed with all persons to establish and confirm the work schedule </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1.3</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WHS/OHS, environmental and sustainable energy policies and procedures to be follo</w:t>
            </w:r>
            <w:r w:rsidRPr="007C3992">
              <w:t>wed for the work to be performed are received and confirmed</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1.4</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Suggestions to assist with the loading, unloading and exchanging of gas cylinders are made to others involved in the work</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1.5</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Hazards are identified, WHS/OHS risks assessed and control m</w:t>
            </w:r>
            <w:r w:rsidRPr="007C3992">
              <w:t>easures are prioritised, implemented and monitored including emergency exits kept clear according to established procedures</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1.6</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Scope of responsibility under the relevant work permit are received and confirmed according to requirements and established p</w:t>
            </w:r>
            <w:r w:rsidRPr="007C3992">
              <w:t>rocedures with relevant persons where appropriate</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1.7</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Resources including equipment, tools and personal protective equipment required for the job are obtained and in working order according to established procedures</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1.8</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Relevant responsibilities associated with First Aid and other related work safety procedures at the worksite are confirmed in accordance with requirements and established procedures to ensure safety measures and followed in the instance of an incident.</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1.9</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Client issues are referred to appropriate persons in accordance with industry standards</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1.10</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Site is prepared according to given instructions and the work schedule for a quality outcome and to minimise risk and damage to property, commerce and indiv</w:t>
            </w:r>
            <w:r w:rsidRPr="007C3992">
              <w:t>iduals in accordance with established procedures</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Load/unload truck,  exchanging and connect LPG cylinders</w:t>
            </w: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2.1</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WHS/OHS policies and procedures and safe work practices are followed to eliminate or minimise incidents and hazards</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2.2</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Lifting, climbing, working in confined spaces and aloft, and use of power tools, techniques and practices are safely followed in accordance with given instructions and according to requirements confirmed to eliminate the prospects of incidents</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2.3</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Opera</w:t>
            </w:r>
            <w:r w:rsidRPr="007C3992">
              <w:t>tional knowledge for correct positioning of the truck, loading, unloading and exchanging of gas cylinders is confirmed to ensure completion in an agreed timeframe and to quality standards with a minimum of waste according to requirements and established pr</w:t>
            </w:r>
            <w:r w:rsidRPr="007C3992">
              <w:t>ocedures</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2.4</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 xml:space="preserve">The loading, unloading, exchanging and connection of gas cylinders is carried out in accordance with given instructions and established procedures </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2.5</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Potential hazards and safety risks are reported to the immediate authorised persons f</w:t>
            </w:r>
            <w:r w:rsidRPr="007C3992">
              <w:t xml:space="preserve">or directions according to established procedures </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2.6</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Non-routine events are referred to the immediate authorised persons for directions according to established procedures</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2.7</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Problems associa</w:t>
            </w:r>
            <w:r w:rsidRPr="007C3992">
              <w:t>ted with the loading, unloading and exchanging of gas cylinders are dealt with using acquired known solutions and skills related to routine procedures to ensure work instructions and established procedures are met</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2.8</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Ongoing checks of quality of the wo</w:t>
            </w:r>
            <w:r w:rsidRPr="007C3992">
              <w:t>rk are undertaken in accordance with given instructions and established procedures</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 xml:space="preserve">Complete work and relevant documentation </w:t>
            </w: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3.1</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Work undertaken is checked against work schedule and anomalies reported to authorised persons in accordance with established</w:t>
            </w:r>
            <w:r w:rsidRPr="007C3992">
              <w:t xml:space="preserve"> procedures</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3.2</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 xml:space="preserve">Accidents and incidents are actioned and reported to authorised persons in accordance with established procedures </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3.3</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Work site is rehabilitated, cleaned up and made safe in accordance with given instructions and established procedures</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3.4</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Tools, equipment and any surplus resources and materials are, where appropriate, cleaned, checked and returned to storage in accord</w:t>
            </w:r>
            <w:r w:rsidRPr="007C3992">
              <w:t>ance with established procedures</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3.5</w:t>
            </w:r>
          </w:p>
        </w:tc>
        <w:tc>
          <w:tcPr>
            <w:tcW w:w="48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Appropriate persons are notified of work completion according to established procedures</w:t>
            </w:r>
          </w:p>
        </w:tc>
      </w:tr>
      <w:tr w:rsidTr="007C399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3.6</w:t>
            </w:r>
          </w:p>
        </w:tc>
        <w:tc>
          <w:tcPr>
            <w:tcW w:w="4860"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t>Delivery documentation and work completion records, report forms and data sheets are completed accurately in accord</w:t>
            </w:r>
            <w:r w:rsidRPr="007C3992">
              <w:t>ance with given instructions and established procedures</w:t>
            </w:r>
          </w:p>
        </w:tc>
      </w:tr>
    </w:tbl>
    <w:p w:rsidR="00211C35" w:rsidP="007C3992">
      <w:pPr>
        <w:pStyle w:val="BodyText"/>
      </w:pPr>
    </w:p>
    <w:p w:rsidR="00211C35" w:rsidP="007C3992">
      <w:pPr>
        <w:pStyle w:val="BodyText"/>
      </w:pPr>
    </w:p>
    <w:p w:rsidR="00000000" w:rsidRPr="007C3992" w:rsidP="007C3992">
      <w:pPr>
        <w:pStyle w:val="Heading1"/>
      </w:pPr>
      <w:bookmarkStart w:id="9" w:name="O_593744"/>
      <w:bookmarkEnd w:id="9"/>
      <w:r w:rsidRPr="007C3992">
        <w:t>Required Skills and Knowledge</w:t>
      </w:r>
    </w:p>
    <w:tbl>
      <w:tblPr>
        <w:tblW w:w="0" w:type="auto"/>
        <w:tblLayout w:type="fixed"/>
        <w:tblCellMar>
          <w:left w:w="62" w:type="dxa"/>
          <w:right w:w="62" w:type="dxa"/>
        </w:tblCellMar>
        <w:tblLook w:val="0000"/>
      </w:tblPr>
      <w:tblGrid>
        <w:gridCol w:w="8398"/>
      </w:tblGrid>
      <w:tr w:rsidTr="00211C35">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REQUIRED SKILLS AND KNOWLEDGE</w:t>
            </w:r>
          </w:p>
        </w:tc>
      </w:tr>
      <w:tr w:rsidTr="00211C3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 xml:space="preserve">7) </w:t>
            </w:r>
            <w:r w:rsidRPr="007C3992">
              <w:rPr>
                <w:rStyle w:val="Emphasis"/>
              </w:rPr>
              <w:t>This describes the skills and knowledge and their level, required for this unit.</w:t>
            </w:r>
          </w:p>
        </w:tc>
      </w:tr>
      <w:tr w:rsidTr="00211C3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Evidence shall show that knowledge</w:t>
            </w:r>
            <w:r w:rsidRPr="007C3992">
              <w:t xml:space="preserve"> has been acquired of safe working practices for loading, unloading and exchanging gas cylinders.</w:t>
            </w:r>
          </w:p>
        </w:tc>
      </w:tr>
      <w:tr w:rsidTr="00211C35">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 xml:space="preserve">All knowledge and skills detailed in this unit should be contextualised to current industry practices and technologies. The extent of the required </w:t>
            </w:r>
            <w:r w:rsidRPr="007C3992">
              <w:t>skills and knowledge is provided below. It forms an integral part of this unit.</w:t>
            </w:r>
          </w:p>
        </w:tc>
      </w:tr>
      <w:tr w:rsidTr="00211C35">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KS01-G614A</w:t>
            </w:r>
            <w:r w:rsidRPr="007C3992">
              <w:rPr>
                <w:rStyle w:val="SpecialBold"/>
              </w:rPr>
              <w:tab/>
              <w:t>LPG cylinder transportation, handling and connection</w:t>
            </w:r>
          </w:p>
        </w:tc>
      </w:tr>
      <w:tr w:rsidTr="00211C3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 xml:space="preserve">Evidence shall show an understanding of loading, unloading, transporting, exchanging and connecting liquefied </w:t>
            </w:r>
            <w:r w:rsidRPr="007C3992">
              <w:t>petroleum gas (LPG) gas cylinders to an approved installation in accordance with as per relevant legislation, codes, regulations and established procedures to an extent indicated by the following aspects:</w:t>
            </w:r>
          </w:p>
        </w:tc>
      </w:tr>
      <w:tr w:rsidTr="00211C35">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t xml:space="preserve">T1. Relevant Australian Standards, guidelines and </w:t>
            </w:r>
            <w:r w:rsidRPr="007C3992">
              <w:t>codes of practice</w:t>
            </w:r>
          </w:p>
          <w:p w:rsidR="00000000" w:rsidRPr="007C3992" w:rsidP="007C3992">
            <w:pPr>
              <w:pStyle w:val="BodyText"/>
            </w:pPr>
            <w:r w:rsidRPr="007C3992">
              <w:t>T2. Relevant OHS policies and procedures.</w:t>
            </w:r>
          </w:p>
          <w:p w:rsidR="00000000" w:rsidRPr="007C3992" w:rsidP="007C3992">
            <w:pPr>
              <w:pStyle w:val="ListBullet"/>
            </w:pPr>
            <w:r w:rsidRPr="007C3992">
              <w:t xml:space="preserve">Safety signs including workplace hazards and warnings </w:t>
            </w:r>
          </w:p>
          <w:p w:rsidR="00000000" w:rsidRPr="007C3992" w:rsidP="007C3992">
            <w:pPr>
              <w:pStyle w:val="BodyText"/>
            </w:pPr>
            <w:r w:rsidRPr="007C3992">
              <w:t>T3. LPG cylinders</w:t>
            </w:r>
          </w:p>
          <w:p w:rsidR="00000000" w:rsidRPr="007C3992" w:rsidP="007C3992">
            <w:pPr>
              <w:pStyle w:val="ListBullet"/>
            </w:pPr>
            <w:r w:rsidRPr="007C3992">
              <w:t>Properties of LP Gas</w:t>
            </w:r>
          </w:p>
          <w:p w:rsidR="00000000" w:rsidRPr="007C3992" w:rsidP="007C3992">
            <w:pPr>
              <w:pStyle w:val="ListBullet"/>
            </w:pPr>
            <w:r w:rsidRPr="007C3992">
              <w:t>Types, construction, size, valves, labelling, Material Safety Data Sheets (MSDS)</w:t>
            </w:r>
          </w:p>
          <w:p w:rsidR="00000000" w:rsidRPr="007C3992" w:rsidP="007C3992">
            <w:pPr>
              <w:pStyle w:val="ListBullet"/>
            </w:pPr>
            <w:r w:rsidRPr="007C3992">
              <w:t>Transportation requirements</w:t>
            </w:r>
          </w:p>
          <w:p w:rsidR="00000000" w:rsidRPr="007C3992" w:rsidP="007C3992">
            <w:pPr>
              <w:pStyle w:val="ListBullet"/>
            </w:pPr>
            <w:r w:rsidRPr="007C3992">
              <w:t xml:space="preserve">Handling, loading, unloading, </w:t>
            </w:r>
          </w:p>
          <w:p w:rsidR="00000000" w:rsidRPr="007C3992" w:rsidP="007C3992">
            <w:pPr>
              <w:pStyle w:val="ListBullet"/>
            </w:pPr>
            <w:r w:rsidRPr="007C3992">
              <w:t>Disconnecting and connecting</w:t>
            </w:r>
          </w:p>
          <w:p w:rsidR="00000000" w:rsidRPr="007C3992" w:rsidP="007C3992">
            <w:pPr>
              <w:pStyle w:val="ListBullet"/>
            </w:pPr>
            <w:r w:rsidRPr="007C3992">
              <w:t>Out of gas procedures</w:t>
            </w:r>
          </w:p>
          <w:p w:rsidR="00000000" w:rsidRPr="007C3992" w:rsidP="007C3992">
            <w:pPr>
              <w:pStyle w:val="ListBullet"/>
            </w:pPr>
            <w:r w:rsidRPr="007C3992">
              <w:t>Leak testing</w:t>
            </w:r>
          </w:p>
          <w:p w:rsidR="00000000" w:rsidRPr="007C3992" w:rsidP="007C3992">
            <w:pPr>
              <w:pStyle w:val="BodyText"/>
            </w:pPr>
            <w:r w:rsidRPr="007C3992">
              <w:t>T4. Personal Protection Equipment</w:t>
            </w:r>
          </w:p>
          <w:p w:rsidR="00000000" w:rsidRPr="007C3992" w:rsidP="007C3992">
            <w:pPr>
              <w:pStyle w:val="ListBullet"/>
            </w:pPr>
            <w:r w:rsidRPr="007C3992">
              <w:t xml:space="preserve">Types, application, checking, maintenance and storage </w:t>
            </w:r>
          </w:p>
          <w:p w:rsidR="00000000" w:rsidRPr="007C3992" w:rsidP="007C3992">
            <w:pPr>
              <w:pStyle w:val="BodyText"/>
            </w:pPr>
            <w:r w:rsidRPr="007C3992">
              <w:t xml:space="preserve">T5. Hazard identification, risk assessment </w:t>
            </w:r>
            <w:r w:rsidRPr="007C3992">
              <w:t>and control</w:t>
            </w:r>
          </w:p>
          <w:p w:rsidR="00000000" w:rsidRPr="007C3992" w:rsidP="007C3992">
            <w:pPr>
              <w:pStyle w:val="ListBullet"/>
            </w:pPr>
            <w:r w:rsidRPr="007C3992">
              <w:t>Work Permits, JHA’s, JSA’s, JSEA’s, SWM’s, etc.</w:t>
            </w:r>
          </w:p>
          <w:p w:rsidR="00000000" w:rsidRPr="007C3992" w:rsidP="007C3992">
            <w:pPr>
              <w:pStyle w:val="ListBullet"/>
            </w:pPr>
            <w:r w:rsidRPr="007C3992">
              <w:t>Use of spill kits and PPE</w:t>
            </w:r>
          </w:p>
          <w:p w:rsidR="00000000" w:rsidRPr="007C3992" w:rsidP="007C3992">
            <w:pPr>
              <w:pStyle w:val="BodyText"/>
            </w:pPr>
            <w:r w:rsidRPr="007C3992">
              <w:t>T6. Manual handling</w:t>
            </w:r>
          </w:p>
          <w:p w:rsidR="00000000" w:rsidRPr="007C3992" w:rsidP="007C3992">
            <w:pPr>
              <w:pStyle w:val="ListBullet"/>
            </w:pPr>
            <w:r w:rsidRPr="007C3992">
              <w:t xml:space="preserve">Characteristics, types, techniques </w:t>
            </w:r>
          </w:p>
          <w:p w:rsidR="00000000" w:rsidRPr="007C3992" w:rsidP="007C3992">
            <w:pPr>
              <w:pStyle w:val="BodyText"/>
            </w:pPr>
            <w:r w:rsidRPr="007C3992">
              <w:t>T7. Traffic control at a worksite</w:t>
            </w:r>
          </w:p>
          <w:p w:rsidR="00000000" w:rsidRPr="007C3992" w:rsidP="007C3992">
            <w:pPr>
              <w:pStyle w:val="ListBullet"/>
            </w:pPr>
            <w:r w:rsidRPr="007C3992">
              <w:t xml:space="preserve">relevant traffic authority regulations </w:t>
            </w:r>
          </w:p>
          <w:p w:rsidR="00000000" w:rsidRPr="007C3992" w:rsidP="007C3992">
            <w:pPr>
              <w:pStyle w:val="ListBullet"/>
            </w:pPr>
            <w:r w:rsidRPr="007C3992">
              <w:t>signs/devices and techniques to contr</w:t>
            </w:r>
            <w:r w:rsidRPr="007C3992">
              <w:t xml:space="preserve">ol pedestrians and traffic </w:t>
            </w:r>
          </w:p>
          <w:p w:rsidR="00000000" w:rsidRPr="007C3992" w:rsidP="007C3992">
            <w:pPr>
              <w:pStyle w:val="ListBullet"/>
            </w:pPr>
            <w:r w:rsidRPr="007C3992">
              <w:t>monitoring traffic controls</w:t>
            </w:r>
          </w:p>
          <w:p w:rsidR="00000000" w:rsidRPr="007C3992" w:rsidP="007C3992">
            <w:pPr>
              <w:pStyle w:val="BodyText"/>
            </w:pPr>
            <w:r w:rsidRPr="007C3992">
              <w:t>T8. Accidents and emergency</w:t>
            </w:r>
          </w:p>
          <w:p w:rsidR="00000000" w:rsidRPr="007C3992" w:rsidP="007C3992">
            <w:pPr>
              <w:pStyle w:val="ListBullet"/>
            </w:pPr>
            <w:r w:rsidRPr="007C3992">
              <w:t>Types: fire, gas leak Procedures</w:t>
            </w:r>
          </w:p>
          <w:p w:rsidR="00000000" w:rsidRPr="007C3992" w:rsidP="007C3992">
            <w:pPr>
              <w:pStyle w:val="ListBullet"/>
            </w:pPr>
            <w:r w:rsidRPr="007C3992">
              <w:t xml:space="preserve">Emergency equipment and procedures </w:t>
            </w:r>
          </w:p>
          <w:p w:rsidR="00000000" w:rsidRPr="007C3992" w:rsidP="007C3992">
            <w:pPr>
              <w:pStyle w:val="ListBullet2"/>
            </w:pPr>
            <w:r w:rsidRPr="007C3992">
              <w:t>breathing apparatus</w:t>
            </w:r>
          </w:p>
          <w:p w:rsidR="00000000" w:rsidRPr="007C3992" w:rsidP="007C3992">
            <w:pPr>
              <w:pStyle w:val="ListBullet2"/>
            </w:pPr>
            <w:r w:rsidRPr="007C3992">
              <w:t>gas detectors/oxygen monitoring devices</w:t>
            </w:r>
          </w:p>
          <w:p w:rsidR="00000000" w:rsidRPr="007C3992" w:rsidP="007C3992">
            <w:pPr>
              <w:pStyle w:val="ListBullet"/>
            </w:pPr>
            <w:r w:rsidRPr="007C3992">
              <w:t>Reporting</w:t>
            </w:r>
          </w:p>
          <w:p w:rsidR="00000000" w:rsidRPr="007C3992" w:rsidP="007C3992">
            <w:pPr>
              <w:pStyle w:val="BodyText"/>
            </w:pPr>
            <w:r w:rsidRPr="007C3992">
              <w:t>T9. Organisation's policies, quality requirements, specifications, forms and reports for work activity</w:t>
            </w:r>
          </w:p>
        </w:tc>
      </w:tr>
    </w:tbl>
    <w:p w:rsidR="00211C35" w:rsidP="007C3992">
      <w:pPr>
        <w:pStyle w:val="BodyText"/>
      </w:pPr>
    </w:p>
    <w:p w:rsidR="00211C35" w:rsidP="007C3992">
      <w:pPr>
        <w:pStyle w:val="BodyText"/>
      </w:pPr>
    </w:p>
    <w:p w:rsidR="00000000" w:rsidRPr="007C3992" w:rsidP="007C3992">
      <w:pPr>
        <w:pStyle w:val="Heading1"/>
      </w:pPr>
      <w:bookmarkStart w:id="10" w:name="O_593745"/>
      <w:bookmarkEnd w:id="10"/>
      <w:r w:rsidRPr="007C3992">
        <w:t>Evidence Guide</w:t>
      </w:r>
    </w:p>
    <w:tbl>
      <w:tblPr>
        <w:tblW w:w="0" w:type="auto"/>
        <w:tblLayout w:type="fixed"/>
        <w:tblCellMar>
          <w:left w:w="62" w:type="dxa"/>
          <w:right w:w="62" w:type="dxa"/>
        </w:tblCellMar>
        <w:tblLook w:val="0000"/>
      </w:tblPr>
      <w:tblGrid>
        <w:gridCol w:w="8398"/>
      </w:tblGrid>
      <w:tr w:rsidTr="007C3992">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EVIDENCE GUIDE</w:t>
            </w:r>
          </w:p>
        </w:tc>
      </w:tr>
      <w:tr w:rsidTr="007C399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8)</w:t>
            </w:r>
            <w:r w:rsidRPr="007C3992">
              <w:t xml:space="preserve"> The Evidence Guide forms an integral part of this Competency Standard Unit and shall be used in conjunction with all components parts of this unit and performed in accordance with </w:t>
            </w:r>
            <w:r w:rsidRPr="007C3992">
              <w:t>the Assessment Guidelines of this Training Package.</w:t>
            </w:r>
          </w:p>
        </w:tc>
      </w:tr>
    </w:tbl>
    <w:p w:rsidR="00000000" w:rsidRPr="007C3992" w:rsidP="007C3992">
      <w:pPr>
        <w:pStyle w:val="BodyText"/>
      </w:pPr>
    </w:p>
    <w:tbl>
      <w:tblPr>
        <w:tblW w:w="0" w:type="auto"/>
        <w:tblLayout w:type="fixed"/>
        <w:tblCellMar>
          <w:left w:w="62" w:type="dxa"/>
          <w:right w:w="62" w:type="dxa"/>
        </w:tblCellMar>
        <w:tblLook w:val="0000"/>
      </w:tblPr>
      <w:tblGrid>
        <w:gridCol w:w="1828"/>
        <w:gridCol w:w="6570"/>
      </w:tblGrid>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8.1)</w:t>
            </w:r>
          </w:p>
        </w:tc>
      </w:tr>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Longitudinal competency development approaches to assessment, such as Profiling, require data to be reliably gathered in a form that can be consistently interpreted over time. This approach is best utilised in Apprenticeship p</w:t>
            </w:r>
            <w:r w:rsidRPr="007C3992">
              <w:t>rograms and reduces assessment intervention. It is the Industry’s preferred model for apprenticeships. However, where summative (or final) assessment is used it is to include the application of the competency in the normal work environment or, at a minimum</w:t>
            </w:r>
            <w:r w:rsidRPr="007C3992">
              <w:t>, the application of the competency in a realistically simulated work environment. It is recognised that, in some circumstances, assessment in part or full can occur outside the workplace. However, it must be in accord with Industry and Regulatory policy i</w:t>
            </w:r>
            <w:r w:rsidRPr="007C3992">
              <w:t>n this regard.</w:t>
            </w:r>
          </w:p>
        </w:tc>
      </w:tr>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Methods chosen for a particular assessment will be influenced by various factors. These include the extent of the assessment, the most effective locations for the assessment activities to take place, access to physical resources, additiona</w:t>
            </w:r>
            <w:r w:rsidRPr="007C3992">
              <w:t>l safety measures that may be required and the critical nature of the competencies being assessed.</w:t>
            </w:r>
          </w:p>
        </w:tc>
      </w:tr>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The critical safety nature of working with electricity, electrical equipment, gas or any other hazardous substance/material carries risk in deeming a perso</w:t>
            </w:r>
            <w:r w:rsidRPr="007C3992">
              <w:t>n competent. Hence, sources of evidence need to be ‘rich’ in nature so as to minimise error in judgment.</w:t>
            </w:r>
          </w:p>
        </w:tc>
      </w:tr>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t xml:space="preserve">Activities associated with normal every day work have a bearing on the decision as to how much and how detailed the data gathered will contribute to </w:t>
            </w:r>
            <w:r w:rsidRPr="007C3992">
              <w:t>its ‘richness’. Some skills are more critical to safety and operational requirements while the same skills may be more or less frequently practiced. These points are raised for the assessors to consider when choosing an assessment method and developing ass</w:t>
            </w:r>
            <w:r w:rsidRPr="007C3992">
              <w:t>essment instruments. Sample assessment instruments are included for Assessors in the Assessment Guidelines of this Training Package.</w:t>
            </w:r>
          </w:p>
        </w:tc>
      </w:tr>
    </w:tbl>
    <w:p w:rsidR="00000000" w:rsidRPr="007C3992" w:rsidP="007C3992">
      <w:pPr>
        <w:pStyle w:val="BodyText"/>
      </w:pPr>
    </w:p>
    <w:tbl>
      <w:tblPr>
        <w:tblW w:w="0" w:type="auto"/>
        <w:tblLayout w:type="fixed"/>
        <w:tblCellMar>
          <w:left w:w="62" w:type="dxa"/>
          <w:right w:w="62" w:type="dxa"/>
        </w:tblCellMar>
        <w:tblLook w:val="0000"/>
      </w:tblPr>
      <w:tblGrid>
        <w:gridCol w:w="1800"/>
        <w:gridCol w:w="28"/>
        <w:gridCol w:w="782"/>
        <w:gridCol w:w="810"/>
        <w:gridCol w:w="2047"/>
        <w:gridCol w:w="2903"/>
        <w:gridCol w:w="28"/>
      </w:tblGrid>
      <w:tr w:rsidTr="007C3992">
        <w:tblPrEx>
          <w:tblW w:w="0" w:type="auto"/>
          <w:tblLayout w:type="fixed"/>
          <w:tblCellMar>
            <w:left w:w="62" w:type="dxa"/>
            <w:right w:w="62" w:type="dxa"/>
          </w:tblCellMar>
          <w:tblLook w:val="0000"/>
        </w:tblPrEx>
        <w:tc>
          <w:tcPr>
            <w:tcW w:w="1828" w:type="dxa"/>
            <w:gridSpan w:val="2"/>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Critical aspects of evidence required to demonstrate competency in this unit</w:t>
            </w:r>
          </w:p>
        </w:tc>
        <w:tc>
          <w:tcPr>
            <w:tcW w:w="6570" w:type="dxa"/>
            <w:gridSpan w:val="5"/>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8.2)</w:t>
            </w:r>
          </w:p>
        </w:tc>
      </w:tr>
      <w:tr w:rsidTr="007C3992">
        <w:tblPrEx>
          <w:tblW w:w="0" w:type="auto"/>
          <w:tblLayout w:type="fixed"/>
          <w:tblCellMar>
            <w:left w:w="62" w:type="dxa"/>
            <w:right w:w="62" w:type="dxa"/>
          </w:tblCellMar>
          <w:tblLook w:val="0000"/>
        </w:tblPrEx>
        <w:tc>
          <w:tcPr>
            <w:tcW w:w="182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Before the critical aspects of evidence are considered all prerequisites shall be met.</w:t>
            </w:r>
          </w:p>
        </w:tc>
      </w:tr>
      <w:tr w:rsidTr="007C3992">
        <w:tblPrEx>
          <w:tblW w:w="0" w:type="auto"/>
          <w:tblLayout w:type="fixed"/>
          <w:tblCellMar>
            <w:left w:w="62" w:type="dxa"/>
            <w:right w:w="62" w:type="dxa"/>
          </w:tblCellMar>
          <w:tblLook w:val="0000"/>
        </w:tblPrEx>
        <w:tc>
          <w:tcPr>
            <w:tcW w:w="182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Evidence for competence in this unit shall be considered holistically. Each element and associated Performance Criteria shall be demonstrated on at least two occasi</w:t>
            </w:r>
            <w:r w:rsidRPr="007C3992">
              <w:t>ons in accordance with the ‘Assessment Guidelines — UEG11’. Evidence shall also comprise:</w:t>
            </w:r>
          </w:p>
        </w:tc>
      </w:tr>
      <w:tr w:rsidTr="007C3992">
        <w:tblPrEx>
          <w:tblW w:w="0" w:type="auto"/>
          <w:tblLayout w:type="fixed"/>
          <w:tblCellMar>
            <w:left w:w="62" w:type="dxa"/>
            <w:right w:w="62" w:type="dxa"/>
          </w:tblCellMar>
          <w:tblLook w:val="0000"/>
        </w:tblPrEx>
        <w:tc>
          <w:tcPr>
            <w:tcW w:w="1828" w:type="dxa"/>
            <w:gridSpan w:val="2"/>
            <w:tcBorders>
              <w:top w:val="nil"/>
              <w:left w:val="nil"/>
              <w:bottom w:val="nil"/>
              <w:right w:val="nil"/>
            </w:tcBorders>
            <w:tcMar>
              <w:top w:w="0" w:type="dxa"/>
              <w:left w:w="62" w:type="dxa"/>
              <w:bottom w:w="0" w:type="dxa"/>
              <w:right w:w="62" w:type="dxa"/>
            </w:tcMar>
          </w:tcPr>
          <w:p w:rsidR="00000000" w:rsidP="007C3992">
            <w:pPr>
              <w:pStyle w:val="BodyText"/>
              <w:rPr>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P="007C3992">
            <w:pPr>
              <w:pStyle w:val="ListBullet"/>
              <w:rPr>
                <w:lang w:val="en-NZ"/>
              </w:rPr>
            </w:pPr>
            <w:r w:rsidRPr="007C3992">
              <w:t xml:space="preserve">A representative body of work performance demonstrated within the timeframes typically expected of the discipline, work function and industrial environment. In </w:t>
            </w:r>
            <w:r w:rsidRPr="007C3992">
              <w:t xml:space="preserve">particular this shall incorporate evidence </w:t>
            </w:r>
            <w:r w:rsidRPr="007C3992">
              <w:t>that shows a candidate is able to:</w:t>
            </w:r>
          </w:p>
        </w:tc>
      </w:tr>
      <w:tr w:rsidTr="007C3992">
        <w:tblPrEx>
          <w:tblW w:w="0" w:type="auto"/>
          <w:tblLayout w:type="fixed"/>
          <w:tblCellMar>
            <w:left w:w="62" w:type="dxa"/>
            <w:right w:w="62" w:type="dxa"/>
          </w:tblCellMar>
          <w:tblLook w:val="0000"/>
        </w:tblPrEx>
        <w:tc>
          <w:tcPr>
            <w:tcW w:w="1828" w:type="dxa"/>
            <w:gridSpan w:val="2"/>
            <w:tcBorders>
              <w:top w:val="nil"/>
              <w:left w:val="nil"/>
              <w:bottom w:val="nil"/>
              <w:right w:val="nil"/>
            </w:tcBorders>
            <w:tcMar>
              <w:top w:w="0" w:type="dxa"/>
              <w:left w:w="62" w:type="dxa"/>
              <w:bottom w:w="0" w:type="dxa"/>
              <w:right w:w="62" w:type="dxa"/>
            </w:tcMar>
          </w:tcPr>
          <w:p w:rsidR="00000000" w:rsidP="007C3992">
            <w:pPr>
              <w:pStyle w:val="BodyText"/>
              <w:rPr>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P="007C3992">
            <w:pPr>
              <w:pStyle w:val="ListBullet2"/>
              <w:rPr>
                <w:lang w:val="en-NZ"/>
              </w:rPr>
            </w:pPr>
            <w:r w:rsidRPr="007C3992">
              <w:t>Implement Occupational Health and Safety workplace procedures and practices including the use of risk control measures as specified in the Performance Criteria and range</w:t>
            </w:r>
          </w:p>
        </w:tc>
      </w:tr>
      <w:tr w:rsidTr="007C3992">
        <w:tblPrEx>
          <w:tblW w:w="0" w:type="auto"/>
          <w:tblLayout w:type="fixed"/>
          <w:tblCellMar>
            <w:left w:w="62" w:type="dxa"/>
            <w:right w:w="62" w:type="dxa"/>
          </w:tblCellMar>
          <w:tblLook w:val="0000"/>
        </w:tblPrEx>
        <w:tc>
          <w:tcPr>
            <w:tcW w:w="1828" w:type="dxa"/>
            <w:gridSpan w:val="2"/>
            <w:tcBorders>
              <w:top w:val="nil"/>
              <w:left w:val="nil"/>
              <w:bottom w:val="nil"/>
              <w:right w:val="nil"/>
            </w:tcBorders>
            <w:tcMar>
              <w:top w:w="0" w:type="dxa"/>
              <w:left w:w="62" w:type="dxa"/>
              <w:bottom w:w="0" w:type="dxa"/>
              <w:right w:w="62" w:type="dxa"/>
            </w:tcMar>
          </w:tcPr>
          <w:p w:rsidR="00000000" w:rsidP="007C3992">
            <w:pPr>
              <w:pStyle w:val="BodyText"/>
              <w:rPr>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P="007C3992">
            <w:pPr>
              <w:pStyle w:val="ListBullet2"/>
              <w:rPr>
                <w:lang w:val="en-NZ"/>
              </w:rPr>
            </w:pPr>
            <w:r w:rsidRPr="007C3992">
              <w:t>Apply sustainable energy principles and practices as specified in the Performance Criteria and range</w:t>
            </w:r>
          </w:p>
        </w:tc>
      </w:tr>
      <w:tr w:rsidTr="007C3992">
        <w:tblPrEx>
          <w:tblW w:w="0" w:type="auto"/>
          <w:tblLayout w:type="fixed"/>
          <w:tblCellMar>
            <w:left w:w="62" w:type="dxa"/>
            <w:right w:w="62" w:type="dxa"/>
          </w:tblCellMar>
          <w:tblLook w:val="0000"/>
        </w:tblPrEx>
        <w:tc>
          <w:tcPr>
            <w:tcW w:w="1828" w:type="dxa"/>
            <w:gridSpan w:val="2"/>
            <w:tcBorders>
              <w:top w:val="nil"/>
              <w:left w:val="nil"/>
              <w:bottom w:val="nil"/>
              <w:right w:val="nil"/>
            </w:tcBorders>
            <w:tcMar>
              <w:top w:w="0" w:type="dxa"/>
              <w:left w:w="62" w:type="dxa"/>
              <w:bottom w:w="0" w:type="dxa"/>
              <w:right w:w="62" w:type="dxa"/>
            </w:tcMar>
          </w:tcPr>
          <w:p w:rsidR="00000000" w:rsidP="007C3992">
            <w:pPr>
              <w:pStyle w:val="BodyText"/>
              <w:rPr>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P="007C3992">
            <w:pPr>
              <w:pStyle w:val="ListBullet2"/>
              <w:rPr>
                <w:lang w:val="en-NZ"/>
              </w:rPr>
            </w:pPr>
            <w:r w:rsidRPr="007C3992">
              <w:t>Demonstrate an understanding of the required knowledge and associated skills as described in this unit to such an extent that the learner’s perfo</w:t>
            </w:r>
            <w:r w:rsidRPr="007C3992">
              <w:t>rmance outcome is reported in accordance with the preferred approach; namely a percentile graded result, where required by the regulated environment</w:t>
            </w:r>
          </w:p>
        </w:tc>
      </w:tr>
      <w:tr w:rsidTr="007C3992">
        <w:tblPrEx>
          <w:tblW w:w="0" w:type="auto"/>
          <w:tblLayout w:type="fixed"/>
          <w:tblCellMar>
            <w:left w:w="62" w:type="dxa"/>
            <w:right w:w="62" w:type="dxa"/>
          </w:tblCellMar>
          <w:tblLook w:val="0000"/>
        </w:tblPrEx>
        <w:tc>
          <w:tcPr>
            <w:tcW w:w="1828" w:type="dxa"/>
            <w:gridSpan w:val="2"/>
            <w:tcBorders>
              <w:top w:val="nil"/>
              <w:left w:val="nil"/>
              <w:bottom w:val="nil"/>
              <w:right w:val="nil"/>
            </w:tcBorders>
            <w:tcMar>
              <w:top w:w="0" w:type="dxa"/>
              <w:left w:w="62" w:type="dxa"/>
              <w:bottom w:w="0" w:type="dxa"/>
              <w:right w:w="62" w:type="dxa"/>
            </w:tcMar>
          </w:tcPr>
          <w:p w:rsidR="00000000" w:rsidP="007C3992">
            <w:pPr>
              <w:pStyle w:val="BodyText"/>
              <w:rPr>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P="007C3992">
            <w:pPr>
              <w:pStyle w:val="ListBullet2"/>
              <w:rPr>
                <w:lang w:val="en-NZ"/>
              </w:rPr>
            </w:pPr>
            <w:r w:rsidRPr="007C3992">
              <w:t>Demonstrate an appropriate level of employability skills</w:t>
            </w:r>
          </w:p>
        </w:tc>
      </w:tr>
      <w:tr w:rsidTr="007C3992">
        <w:tblPrEx>
          <w:tblW w:w="0" w:type="auto"/>
          <w:tblLayout w:type="fixed"/>
          <w:tblCellMar>
            <w:left w:w="62" w:type="dxa"/>
            <w:right w:w="62" w:type="dxa"/>
          </w:tblCellMar>
          <w:tblLook w:val="0000"/>
        </w:tblPrEx>
        <w:tc>
          <w:tcPr>
            <w:tcW w:w="1828" w:type="dxa"/>
            <w:gridSpan w:val="2"/>
            <w:tcBorders>
              <w:top w:val="nil"/>
              <w:left w:val="nil"/>
              <w:bottom w:val="nil"/>
              <w:right w:val="nil"/>
            </w:tcBorders>
            <w:tcMar>
              <w:top w:w="0" w:type="dxa"/>
              <w:left w:w="62" w:type="dxa"/>
              <w:bottom w:w="0" w:type="dxa"/>
              <w:right w:w="62" w:type="dxa"/>
            </w:tcMar>
          </w:tcPr>
          <w:p w:rsidR="00000000" w:rsidP="007C3992">
            <w:pPr>
              <w:pStyle w:val="BodyText"/>
              <w:rPr>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P="007C3992">
            <w:pPr>
              <w:pStyle w:val="ListBullet2"/>
              <w:rPr>
                <w:lang w:val="en-NZ"/>
              </w:rPr>
            </w:pPr>
            <w:r w:rsidRPr="007C3992">
              <w:t>Condu</w:t>
            </w:r>
            <w:r w:rsidRPr="007C3992">
              <w:t>ct work observing the relevant Anti-discrimination legislation, regulations, polices and workplace procedures</w:t>
            </w:r>
          </w:p>
        </w:tc>
      </w:tr>
      <w:tr w:rsidTr="007C3992">
        <w:tblPrEx>
          <w:tblW w:w="0" w:type="auto"/>
          <w:tblLayout w:type="fixed"/>
          <w:tblCellMar>
            <w:left w:w="62" w:type="dxa"/>
            <w:right w:w="62" w:type="dxa"/>
          </w:tblCellMar>
          <w:tblLook w:val="0000"/>
        </w:tblPrEx>
        <w:tc>
          <w:tcPr>
            <w:tcW w:w="1828" w:type="dxa"/>
            <w:gridSpan w:val="2"/>
            <w:tcBorders>
              <w:top w:val="nil"/>
              <w:left w:val="nil"/>
              <w:bottom w:val="nil"/>
              <w:right w:val="nil"/>
            </w:tcBorders>
            <w:tcMar>
              <w:top w:w="0" w:type="dxa"/>
              <w:left w:w="62" w:type="dxa"/>
              <w:bottom w:w="0" w:type="dxa"/>
              <w:right w:w="62" w:type="dxa"/>
            </w:tcMar>
          </w:tcPr>
          <w:p w:rsidR="00000000" w:rsidP="007C3992">
            <w:pPr>
              <w:pStyle w:val="BodyText"/>
              <w:rPr>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RPr="007C3992" w:rsidP="007C3992">
            <w:pPr>
              <w:pStyle w:val="ListBullet"/>
            </w:pPr>
            <w:r w:rsidRPr="007C3992">
              <w:t>Demonstrate performance across a representative range of contexts from the prescribed items below.</w:t>
            </w:r>
          </w:p>
          <w:p w:rsidR="00000000" w:rsidRPr="007C3992" w:rsidP="007C3992">
            <w:pPr>
              <w:pStyle w:val="ListBullet2"/>
            </w:pPr>
            <w:r w:rsidRPr="007C3992">
              <w:t>Loading, unloading, transporting, exchanging and connecting liquefied petroleum gas (LPG) gas cylinders to an approved installation in accordance with relevant legislation, codes, regulations and established procedures as described in 9.) Range Statement a</w:t>
            </w:r>
            <w:r w:rsidRPr="007C3992">
              <w:t>nd including:</w:t>
            </w:r>
          </w:p>
          <w:p w:rsidR="00000000" w:rsidP="007C3992">
            <w:pPr>
              <w:pStyle w:val="BodyText"/>
              <w:rPr>
                <w:lang w:val="en-NZ"/>
              </w:rPr>
            </w:pPr>
          </w:p>
        </w:tc>
      </w:tr>
      <w:tr w:rsidTr="007C3992">
        <w:tblPrEx>
          <w:tblW w:w="0" w:type="auto"/>
          <w:tblLayout w:type="fixed"/>
          <w:tblCellMar>
            <w:left w:w="62" w:type="dxa"/>
            <w:right w:w="62" w:type="dxa"/>
          </w:tblCellMar>
          <w:tblLook w:val="0000"/>
        </w:tblPrEx>
        <w:trPr>
          <w:gridAfter w:val="1"/>
          <w:wAfter w:w="28" w:type="dxa"/>
          <w:trHeight w:val="28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single" w:sz="6" w:space="0" w:color="auto"/>
            </w:tcBorders>
            <w:tcMar>
              <w:top w:w="0" w:type="dxa"/>
              <w:left w:w="62" w:type="dxa"/>
              <w:bottom w:w="0" w:type="dxa"/>
              <w:right w:w="62" w:type="dxa"/>
            </w:tcMar>
          </w:tcPr>
          <w:p w:rsidR="00000000" w:rsidRPr="007C3992">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992">
            <w:pPr>
              <w:pStyle w:val="BodyText"/>
              <w:rPr>
                <w:lang w:val="en-NZ"/>
              </w:rPr>
            </w:pPr>
            <w:r w:rsidRPr="007C3992">
              <w:rPr>
                <w:rStyle w:val="SpecialBold"/>
              </w:rPr>
              <w:t>Range of tools/equipment/procedures/workplace</w:t>
            </w:r>
          </w:p>
        </w:tc>
      </w:tr>
      <w:tr w:rsidTr="007C3992">
        <w:tblPrEx>
          <w:tblW w:w="0" w:type="auto"/>
          <w:tblLayout w:type="fixed"/>
          <w:tblCellMar>
            <w:left w:w="62" w:type="dxa"/>
            <w:right w:w="62" w:type="dxa"/>
          </w:tblCellMar>
          <w:tblLook w:val="0000"/>
        </w:tblPrEx>
        <w:trPr>
          <w:gridAfter w:val="1"/>
          <w:wAfter w:w="28" w:type="dxa"/>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single" w:sz="6" w:space="0" w:color="auto"/>
            </w:tcBorders>
            <w:tcMar>
              <w:top w:w="0" w:type="dxa"/>
              <w:left w:w="62" w:type="dxa"/>
              <w:bottom w:w="0" w:type="dxa"/>
              <w:right w:w="62" w:type="dxa"/>
            </w:tcMar>
          </w:tcPr>
          <w:p w:rsidR="00000000" w:rsidRPr="007C399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992" w:rsidP="007C3992">
            <w:pPr>
              <w:pStyle w:val="BodyText"/>
            </w:pPr>
            <w:r w:rsidRPr="007C3992">
              <w:rPr>
                <w:rStyle w:val="SpecialBold"/>
              </w:rPr>
              <w:t xml:space="preserve">Group </w:t>
            </w:r>
          </w:p>
        </w:tc>
        <w:tc>
          <w:tcPr>
            <w:tcW w:w="2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992" w:rsidP="007C3992">
            <w:pPr>
              <w:pStyle w:val="BodyText"/>
            </w:pPr>
            <w:r w:rsidRPr="007C3992">
              <w:rPr>
                <w:rStyle w:val="SpecialBold"/>
              </w:rPr>
              <w:t>The minimum number of items on which skill is to be demonstrated</w:t>
            </w:r>
          </w:p>
        </w:tc>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992">
            <w:pPr>
              <w:pStyle w:val="BodyText"/>
              <w:rPr>
                <w:lang w:val="en-NZ"/>
              </w:rPr>
            </w:pPr>
            <w:r w:rsidRPr="007C3992">
              <w:rPr>
                <w:rStyle w:val="SpecialBold"/>
              </w:rPr>
              <w:t>Item List</w:t>
            </w:r>
          </w:p>
        </w:tc>
      </w:tr>
      <w:tr w:rsidTr="007C3992">
        <w:tblPrEx>
          <w:tblW w:w="0" w:type="auto"/>
          <w:tblLayout w:type="fixed"/>
          <w:tblCellMar>
            <w:left w:w="62" w:type="dxa"/>
            <w:right w:w="62" w:type="dxa"/>
          </w:tblCellMar>
          <w:tblLook w:val="0000"/>
        </w:tblPrEx>
        <w:trPr>
          <w:gridAfter w:val="1"/>
          <w:wAfter w:w="28" w:type="dxa"/>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single" w:sz="6" w:space="0" w:color="auto"/>
            </w:tcBorders>
            <w:tcMar>
              <w:top w:w="0" w:type="dxa"/>
              <w:left w:w="62" w:type="dxa"/>
              <w:bottom w:w="0" w:type="dxa"/>
              <w:right w:w="62" w:type="dxa"/>
            </w:tcMar>
          </w:tcPr>
          <w:p w:rsidR="00000000" w:rsidRPr="007C399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992">
            <w:pPr>
              <w:pStyle w:val="BodyText"/>
              <w:rPr>
                <w:lang w:val="en-NZ"/>
              </w:rPr>
            </w:pPr>
            <w:r w:rsidRPr="007C3992">
              <w:rPr>
                <w:rStyle w:val="SpecialBold"/>
              </w:rPr>
              <w:t>A. Equipment/tools</w:t>
            </w:r>
          </w:p>
        </w:tc>
        <w:tc>
          <w:tcPr>
            <w:tcW w:w="2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992">
            <w:pPr>
              <w:pStyle w:val="BodyText"/>
              <w:rPr>
                <w:lang w:val="en-NZ"/>
              </w:rPr>
            </w:pPr>
            <w:r w:rsidRPr="007C3992">
              <w:t>All</w:t>
            </w:r>
          </w:p>
        </w:tc>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992" w:rsidP="007C3992">
            <w:pPr>
              <w:pStyle w:val="ListBullet"/>
            </w:pPr>
            <w:r w:rsidRPr="007C3992">
              <w:t>Cylinder trolley</w:t>
            </w:r>
          </w:p>
          <w:p w:rsidR="00000000" w:rsidRPr="007C3992" w:rsidP="007C3992">
            <w:pPr>
              <w:pStyle w:val="ListBullet"/>
            </w:pPr>
            <w:r w:rsidRPr="007C3992">
              <w:t xml:space="preserve">Hoses and fittings </w:t>
            </w:r>
          </w:p>
          <w:p w:rsidR="00000000" w:rsidRPr="007C3992" w:rsidP="007C3992">
            <w:pPr>
              <w:pStyle w:val="ListBullet"/>
            </w:pPr>
            <w:r w:rsidRPr="007C3992">
              <w:t>Hand tools Leak detection devices</w:t>
            </w:r>
          </w:p>
          <w:p w:rsidR="00000000" w:rsidRPr="007C3992" w:rsidP="007C3992">
            <w:pPr>
              <w:pStyle w:val="ListBullet"/>
            </w:pPr>
            <w:r w:rsidRPr="007C3992">
              <w:t>Truck tail gate loader</w:t>
            </w:r>
          </w:p>
          <w:p w:rsidR="00000000" w:rsidP="007C3992">
            <w:pPr>
              <w:pStyle w:val="ListBullet"/>
              <w:rPr>
                <w:lang w:val="en-NZ"/>
              </w:rPr>
            </w:pPr>
            <w:r w:rsidRPr="007C3992">
              <w:t>Tray gates and ropes</w:t>
            </w:r>
          </w:p>
        </w:tc>
      </w:tr>
      <w:tr w:rsidTr="007C3992">
        <w:tblPrEx>
          <w:tblW w:w="0" w:type="auto"/>
          <w:tblLayout w:type="fixed"/>
          <w:tblCellMar>
            <w:left w:w="62" w:type="dxa"/>
            <w:right w:w="62" w:type="dxa"/>
          </w:tblCellMar>
          <w:tblLook w:val="0000"/>
        </w:tblPrEx>
        <w:trPr>
          <w:gridAfter w:val="1"/>
          <w:wAfter w:w="28" w:type="dxa"/>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single" w:sz="6" w:space="0" w:color="auto"/>
            </w:tcBorders>
            <w:tcMar>
              <w:top w:w="0" w:type="dxa"/>
              <w:left w:w="62" w:type="dxa"/>
              <w:bottom w:w="0" w:type="dxa"/>
              <w:right w:w="62" w:type="dxa"/>
            </w:tcMar>
          </w:tcPr>
          <w:p w:rsidR="00000000" w:rsidRPr="007C399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992">
            <w:pPr>
              <w:pStyle w:val="BodyText"/>
              <w:rPr>
                <w:lang w:val="en-NZ"/>
              </w:rPr>
            </w:pPr>
            <w:r w:rsidRPr="007C3992">
              <w:rPr>
                <w:rStyle w:val="SpecialBold"/>
              </w:rPr>
              <w:t>B. Procedures</w:t>
            </w:r>
          </w:p>
        </w:tc>
        <w:tc>
          <w:tcPr>
            <w:tcW w:w="2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992">
            <w:pPr>
              <w:pStyle w:val="BodyText"/>
              <w:rPr>
                <w:lang w:val="en-NZ"/>
              </w:rPr>
            </w:pPr>
            <w:r w:rsidRPr="007C3992">
              <w:t>All</w:t>
            </w:r>
          </w:p>
        </w:tc>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992" w:rsidP="007C3992">
            <w:pPr>
              <w:pStyle w:val="ListBullet"/>
            </w:pPr>
            <w:r w:rsidRPr="007C3992">
              <w:t xml:space="preserve">OHS </w:t>
            </w:r>
          </w:p>
          <w:p w:rsidR="00000000" w:rsidRPr="007C3992" w:rsidP="007C3992">
            <w:pPr>
              <w:pStyle w:val="ListBullet"/>
            </w:pPr>
            <w:r w:rsidRPr="007C3992">
              <w:t>Cylinder transportation</w:t>
            </w:r>
          </w:p>
          <w:p w:rsidR="00000000" w:rsidRPr="007C3992" w:rsidP="007C3992">
            <w:pPr>
              <w:pStyle w:val="ListBullet"/>
            </w:pPr>
            <w:r w:rsidRPr="007C3992">
              <w:t>Cylinder loading and unloading</w:t>
            </w:r>
          </w:p>
          <w:p w:rsidR="00000000" w:rsidRPr="007C3992" w:rsidP="007C3992">
            <w:pPr>
              <w:pStyle w:val="ListBullet"/>
            </w:pPr>
            <w:r w:rsidRPr="007C3992">
              <w:t>Cylinder exchange and connecting</w:t>
            </w:r>
          </w:p>
          <w:p w:rsidR="00000000" w:rsidRPr="007C3992" w:rsidP="007C3992">
            <w:pPr>
              <w:pStyle w:val="ListBullet"/>
            </w:pPr>
            <w:r w:rsidRPr="007C3992">
              <w:t>Hazard identification, risk assessment and control</w:t>
            </w:r>
          </w:p>
          <w:p w:rsidR="00000000" w:rsidRPr="007C3992" w:rsidP="007C3992">
            <w:pPr>
              <w:pStyle w:val="ListBullet"/>
            </w:pPr>
            <w:r w:rsidRPr="007C3992">
              <w:t>Emergency procedures and response action</w:t>
            </w:r>
          </w:p>
          <w:p w:rsidR="00000000" w:rsidP="007C3992">
            <w:pPr>
              <w:pStyle w:val="ListBullet"/>
              <w:rPr>
                <w:lang w:val="en-NZ"/>
              </w:rPr>
            </w:pPr>
            <w:r w:rsidRPr="007C3992">
              <w:t xml:space="preserve">Organisations </w:t>
            </w:r>
          </w:p>
        </w:tc>
      </w:tr>
      <w:tr w:rsidTr="007C3992">
        <w:tblPrEx>
          <w:tblW w:w="0" w:type="auto"/>
          <w:tblLayout w:type="fixed"/>
          <w:tblCellMar>
            <w:left w:w="62" w:type="dxa"/>
            <w:right w:w="62" w:type="dxa"/>
          </w:tblCellMar>
          <w:tblLook w:val="0000"/>
        </w:tblPrEx>
        <w:trPr>
          <w:gridAfter w:val="1"/>
          <w:wAfter w:w="28" w:type="dxa"/>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single" w:sz="6" w:space="0" w:color="auto"/>
            </w:tcBorders>
            <w:tcMar>
              <w:top w:w="0" w:type="dxa"/>
              <w:left w:w="62" w:type="dxa"/>
              <w:bottom w:w="0" w:type="dxa"/>
              <w:right w:w="62" w:type="dxa"/>
            </w:tcMar>
          </w:tcPr>
          <w:p w:rsidR="00000000" w:rsidRPr="007C399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992">
            <w:pPr>
              <w:pStyle w:val="BodyText"/>
              <w:rPr>
                <w:lang w:val="en-NZ"/>
              </w:rPr>
            </w:pPr>
            <w:r w:rsidRPr="007C3992">
              <w:rPr>
                <w:rStyle w:val="SpecialBold"/>
              </w:rPr>
              <w:t>C. Unplanned event</w:t>
            </w:r>
          </w:p>
        </w:tc>
        <w:tc>
          <w:tcPr>
            <w:tcW w:w="2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992">
            <w:pPr>
              <w:pStyle w:val="BodyText"/>
              <w:rPr>
                <w:lang w:val="en-NZ"/>
              </w:rPr>
            </w:pPr>
            <w:r w:rsidRPr="007C3992">
              <w:t>At least one occasion</w:t>
            </w:r>
          </w:p>
        </w:tc>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992" w:rsidP="007C3992">
            <w:pPr>
              <w:pStyle w:val="BodyText"/>
            </w:pPr>
            <w:r w:rsidRPr="007C3992">
              <w:t xml:space="preserve">Deal with an unplanned event by drawing on required  knowledge and associated skills to provide appropriate solutions incorporated in the holistic assessment with the above listed items </w:t>
            </w:r>
          </w:p>
        </w:tc>
      </w:tr>
    </w:tbl>
    <w:p w:rsidR="00000000" w:rsidRPr="007C3992" w:rsidP="007C3992">
      <w:pPr>
        <w:pStyle w:val="BodyText"/>
      </w:pPr>
    </w:p>
    <w:tbl>
      <w:tblPr>
        <w:tblW w:w="0" w:type="auto"/>
        <w:tblLayout w:type="fixed"/>
        <w:tblCellMar>
          <w:left w:w="62" w:type="dxa"/>
          <w:right w:w="62" w:type="dxa"/>
        </w:tblCellMar>
        <w:tblLook w:val="0000"/>
      </w:tblPr>
      <w:tblGrid>
        <w:gridCol w:w="1828"/>
        <w:gridCol w:w="6570"/>
      </w:tblGrid>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8.3)</w:t>
            </w:r>
          </w:p>
        </w:tc>
      </w:tr>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This unit should be assessed as it relates to normal work practice using procedures, information and resources typical of a workplace. This should include:</w:t>
            </w:r>
          </w:p>
        </w:tc>
      </w:tr>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C3992">
            <w:pPr>
              <w:pStyle w:val="ListBullet"/>
              <w:rPr>
                <w:lang w:val="en-NZ"/>
              </w:rPr>
            </w:pPr>
            <w:r w:rsidRPr="007C3992">
              <w:t>OHS policy and work procedures and instru</w:t>
            </w:r>
            <w:r w:rsidRPr="007C3992">
              <w:t>ctions.</w:t>
            </w:r>
          </w:p>
        </w:tc>
      </w:tr>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C3992">
            <w:pPr>
              <w:pStyle w:val="ListBullet"/>
              <w:rPr>
                <w:lang w:val="en-NZ"/>
              </w:rPr>
            </w:pPr>
            <w:r w:rsidRPr="007C3992">
              <w:t>Suitable work environment, facilities, equipment and materials to undertake actual work as prescribed by this Competency Standard Unit.</w:t>
            </w:r>
          </w:p>
        </w:tc>
      </w:tr>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C3992">
            <w:pPr>
              <w:pStyle w:val="ListBullet"/>
              <w:rPr>
                <w:lang w:val="en-NZ"/>
              </w:rPr>
            </w:pPr>
            <w:r w:rsidRPr="007C3992">
              <w:t>Appropriate environmental regulation and work practices.</w:t>
            </w:r>
          </w:p>
        </w:tc>
      </w:tr>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C3992">
            <w:pPr>
              <w:pStyle w:val="ListBullet"/>
              <w:rPr>
                <w:lang w:val="en-NZ"/>
              </w:rPr>
            </w:pPr>
            <w:r w:rsidRPr="007C3992">
              <w:t>Appropriate organisational requirements.</w:t>
            </w:r>
          </w:p>
        </w:tc>
      </w:tr>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C3992">
            <w:pPr>
              <w:pStyle w:val="ListBullet"/>
              <w:rPr>
                <w:lang w:val="en-NZ"/>
              </w:rPr>
            </w:pPr>
            <w:r w:rsidRPr="007C3992">
              <w:t>Appropriate work environment, equipment and tools.</w:t>
            </w:r>
          </w:p>
        </w:tc>
      </w:tr>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t>These should be part of the formal learning/assessment environment.</w:t>
            </w:r>
          </w:p>
          <w:p w:rsidR="00000000" w:rsidRPr="007C3992" w:rsidP="007C3992">
            <w:pPr>
              <w:pStyle w:val="BodyText"/>
            </w:pPr>
          </w:p>
          <w:p w:rsidR="00000000" w:rsidP="007C3992">
            <w:pPr>
              <w:pStyle w:val="BodyText"/>
              <w:rPr>
                <w:lang w:val="en-NZ"/>
              </w:rPr>
            </w:pPr>
          </w:p>
        </w:tc>
      </w:tr>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t xml:space="preserve">Assessment of this competency must also be undertaken in either an actual workplace or under a simulated work environment. </w:t>
            </w:r>
          </w:p>
          <w:p w:rsidR="00000000" w:rsidRPr="007C3992" w:rsidP="007C3992">
            <w:pPr>
              <w:pStyle w:val="BodyText"/>
            </w:pPr>
            <w:r w:rsidRPr="007C3992">
              <w:t>Note:</w:t>
            </w:r>
          </w:p>
          <w:p w:rsidR="00000000" w:rsidRPr="007C3992" w:rsidP="007C3992">
            <w:pPr>
              <w:pStyle w:val="BodyText"/>
            </w:pPr>
            <w:r w:rsidRPr="007C3992">
              <w:t>Where simulation is considered a suitable strategy for assessment, conditions must be authentic and as far as possible reproduce and replicate the workplace and be consistent with the approved industry simulation policy.</w:t>
            </w:r>
          </w:p>
          <w:p w:rsidR="00000000" w:rsidRPr="007C3992" w:rsidP="007C3992">
            <w:pPr>
              <w:pStyle w:val="BodyText"/>
            </w:pPr>
          </w:p>
          <w:p w:rsidR="00000000" w:rsidRPr="007C3992" w:rsidP="007C3992">
            <w:pPr>
              <w:pStyle w:val="BodyText"/>
            </w:pPr>
            <w:r w:rsidRPr="007C3992">
              <w:t xml:space="preserve">The resources used for assessment </w:t>
            </w:r>
            <w:r w:rsidRPr="007C3992">
              <w:t>should reflect current industry practices in relation to locating, proving and protecting utility assets.</w:t>
            </w:r>
          </w:p>
        </w:tc>
      </w:tr>
    </w:tbl>
    <w:p w:rsidR="00000000" w:rsidRPr="007C3992" w:rsidP="007C3992">
      <w:pPr>
        <w:pStyle w:val="BodyText"/>
      </w:pPr>
    </w:p>
    <w:tbl>
      <w:tblPr>
        <w:tblW w:w="0" w:type="auto"/>
        <w:tblLayout w:type="fixed"/>
        <w:tblCellMar>
          <w:left w:w="62" w:type="dxa"/>
          <w:right w:w="62" w:type="dxa"/>
        </w:tblCellMar>
        <w:tblLook w:val="0000"/>
      </w:tblPr>
      <w:tblGrid>
        <w:gridCol w:w="1828"/>
        <w:gridCol w:w="6570"/>
      </w:tblGrid>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8.4)</w:t>
            </w:r>
          </w:p>
        </w:tc>
      </w:tr>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This Competency Standard Unit shall be assessed by methods given in Volume 1, Part 3 ‘Assessment Guidelines’.</w:t>
            </w:r>
          </w:p>
        </w:tc>
      </w:tr>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t>Note: Co</w:t>
            </w:r>
            <w:r w:rsidRPr="007C3992">
              <w:t>mpetent performance with inherent safe working practices is expected in the Industry to which this Competency Standard Unit applies. This requires that the specified required   Skills and Knowledge are assessed in a structured environment which is primaril</w:t>
            </w:r>
            <w:r w:rsidRPr="007C3992">
              <w:t>y intended for learning/assessment and incorporates all necessary equipment and facilities for learners to develop and demonstrate the required skills and knowledge described in this unit.</w:t>
            </w:r>
          </w:p>
        </w:tc>
      </w:tr>
    </w:tbl>
    <w:p w:rsidR="00000000" w:rsidRPr="007C3992" w:rsidP="007C3992">
      <w:pPr>
        <w:pStyle w:val="BodyText"/>
      </w:pPr>
    </w:p>
    <w:tbl>
      <w:tblPr>
        <w:tblW w:w="0" w:type="auto"/>
        <w:tblLayout w:type="fixed"/>
        <w:tblCellMar>
          <w:left w:w="62" w:type="dxa"/>
          <w:right w:w="62" w:type="dxa"/>
        </w:tblCellMar>
        <w:tblLook w:val="0000"/>
      </w:tblPr>
      <w:tblGrid>
        <w:gridCol w:w="1828"/>
        <w:gridCol w:w="1858"/>
        <w:gridCol w:w="4950"/>
      </w:tblGrid>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 xml:space="preserve">Concurrent assessment and relationship with </w:t>
            </w:r>
            <w:r w:rsidRPr="007C3992">
              <w:rPr>
                <w:rStyle w:val="SpecialBold"/>
              </w:rPr>
              <w:t>other units</w:t>
            </w:r>
          </w:p>
        </w:tc>
        <w:tc>
          <w:tcPr>
            <w:tcW w:w="6808" w:type="dxa"/>
            <w:gridSpan w:val="2"/>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8.5)</w:t>
            </w:r>
          </w:p>
        </w:tc>
      </w:tr>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8" w:type="dxa"/>
            <w:gridSpan w:val="2"/>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There are no recommended concurrent assessments with this unit, however in some cases efficiencies may be gained in terms of learning and assessment effort being concurrently managed with allied Competency Standard Units where listed.</w:t>
            </w:r>
          </w:p>
        </w:tc>
      </w:tr>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UEGNSG132A</w:t>
            </w:r>
          </w:p>
        </w:tc>
        <w:tc>
          <w:tcPr>
            <w:tcW w:w="495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Carry o</w:t>
            </w:r>
            <w:r w:rsidRPr="007C3992">
              <w:t>ut work basic activities in a gas industry work environment</w:t>
            </w:r>
          </w:p>
        </w:tc>
      </w:tr>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UEGNSG141A</w:t>
            </w:r>
          </w:p>
        </w:tc>
        <w:tc>
          <w:tcPr>
            <w:tcW w:w="495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Apply Workplace Health and Safety regulations codes and practices in the gas industry</w:t>
            </w:r>
          </w:p>
        </w:tc>
      </w:tr>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UEGNSG140A</w:t>
            </w:r>
          </w:p>
        </w:tc>
        <w:tc>
          <w:tcPr>
            <w:tcW w:w="495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Apply environmental policies and procedures in the utilities industry</w:t>
            </w:r>
          </w:p>
        </w:tc>
      </w:tr>
      <w:tr w:rsidTr="007C399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UEGNSG134A</w:t>
            </w:r>
          </w:p>
        </w:tc>
        <w:tc>
          <w:tcPr>
            <w:tcW w:w="4950"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t>Establish a utilities infrastructure work site</w:t>
            </w:r>
          </w:p>
        </w:tc>
      </w:tr>
    </w:tbl>
    <w:p w:rsidR="00211C35" w:rsidP="007C3992">
      <w:pPr>
        <w:pStyle w:val="BodyText"/>
      </w:pPr>
    </w:p>
    <w:p w:rsidR="00211C35" w:rsidP="007C3992">
      <w:pPr>
        <w:pStyle w:val="BodyText"/>
      </w:pPr>
    </w:p>
    <w:p w:rsidR="00000000" w:rsidRPr="007C3992" w:rsidP="007C3992">
      <w:pPr>
        <w:pStyle w:val="Heading1"/>
      </w:pPr>
      <w:bookmarkStart w:id="11" w:name="O_593746"/>
      <w:bookmarkEnd w:id="11"/>
      <w:r w:rsidRPr="007C3992">
        <w:t>Range Statement</w:t>
      </w:r>
    </w:p>
    <w:tbl>
      <w:tblPr>
        <w:tblW w:w="0" w:type="auto"/>
        <w:tblLayout w:type="fixed"/>
        <w:tblCellMar>
          <w:left w:w="62" w:type="dxa"/>
          <w:right w:w="62" w:type="dxa"/>
        </w:tblCellMar>
        <w:tblLook w:val="0000"/>
      </w:tblPr>
      <w:tblGrid>
        <w:gridCol w:w="8398"/>
      </w:tblGrid>
      <w:tr w:rsidTr="007C3992">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RANGE STATEMENT</w:t>
            </w:r>
          </w:p>
        </w:tc>
      </w:tr>
      <w:tr w:rsidTr="007C399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9)</w:t>
            </w:r>
            <w:r w:rsidRPr="007C3992">
              <w:t xml:space="preserve"> </w:t>
            </w:r>
            <w:r w:rsidRPr="007C3992">
              <w:rPr>
                <w:rStyle w:val="Emphasis"/>
              </w:rPr>
              <w:t>This relates to the competency standard unit as a whole providing the range of contexts and conditions to which the Performance Criteria apply. It allows</w:t>
            </w:r>
            <w:r w:rsidRPr="007C3992">
              <w:rPr>
                <w:rStyle w:val="Emphasis"/>
              </w:rPr>
              <w:t xml:space="preserve"> for different work environments and situations that will affect performance.</w:t>
            </w:r>
          </w:p>
        </w:tc>
      </w:tr>
      <w:tr w:rsidTr="007C399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This unit shall be demonstrated in relation to loading, unloading, transporting, exchanging and connecting LPG cylinders to an approved gas installation</w:t>
            </w:r>
          </w:p>
        </w:tc>
      </w:tr>
      <w:tr w:rsidTr="007C399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t>The following constants and variables included in the element/Performance Criteria in this unit are fully described in the Definitions Section of this volume and form an integral part of the Range Statement of this unit:</w:t>
            </w:r>
          </w:p>
        </w:tc>
      </w:tr>
      <w:tr w:rsidTr="007C399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C3992">
            <w:pPr>
              <w:pStyle w:val="ListBullet"/>
              <w:rPr>
                <w:lang w:val="en-NZ"/>
              </w:rPr>
            </w:pPr>
            <w:r w:rsidRPr="007C3992">
              <w:t xml:space="preserve">Appropriate Persons </w:t>
            </w:r>
          </w:p>
        </w:tc>
      </w:tr>
      <w:tr w:rsidTr="007C399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C3992">
            <w:pPr>
              <w:pStyle w:val="ListBullet"/>
              <w:rPr>
                <w:lang w:val="en-NZ"/>
              </w:rPr>
            </w:pPr>
            <w:r w:rsidRPr="007C3992">
              <w:t>Tools, Equ</w:t>
            </w:r>
            <w:r w:rsidRPr="007C3992">
              <w:t>ipment and Materials</w:t>
            </w:r>
          </w:p>
        </w:tc>
      </w:tr>
      <w:tr w:rsidTr="007C399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C3992">
            <w:pPr>
              <w:pStyle w:val="ListBullet"/>
              <w:rPr>
                <w:lang w:val="en-NZ"/>
              </w:rPr>
            </w:pPr>
            <w:r w:rsidRPr="007C3992">
              <w:t>Records/Documentation</w:t>
            </w:r>
          </w:p>
        </w:tc>
      </w:tr>
      <w:tr w:rsidTr="007C399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C3992">
            <w:pPr>
              <w:pStyle w:val="ListBullet"/>
              <w:rPr>
                <w:lang w:val="en-NZ"/>
              </w:rPr>
            </w:pPr>
            <w:r w:rsidRPr="007C3992">
              <w:t>Delivery Area</w:t>
            </w:r>
          </w:p>
        </w:tc>
      </w:tr>
      <w:tr w:rsidTr="007C399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7C3992" w:rsidP="007C3992">
            <w:pPr>
              <w:pStyle w:val="ListBullet"/>
            </w:pPr>
            <w:r w:rsidRPr="007C3992">
              <w:t>Loading and Unloading of Cylinders</w:t>
            </w:r>
          </w:p>
        </w:tc>
      </w:tr>
    </w:tbl>
    <w:p w:rsidR="00211C35" w:rsidP="007C3992">
      <w:pPr>
        <w:pStyle w:val="BodyText"/>
      </w:pPr>
    </w:p>
    <w:p w:rsidR="00211C35" w:rsidP="007C3992">
      <w:pPr>
        <w:pStyle w:val="BodyText"/>
      </w:pPr>
    </w:p>
    <w:p w:rsidR="00000000" w:rsidRPr="007C3992" w:rsidP="007C3992">
      <w:pPr>
        <w:pStyle w:val="Heading1"/>
      </w:pPr>
      <w:bookmarkStart w:id="12" w:name="O_593747"/>
      <w:bookmarkEnd w:id="12"/>
      <w:r w:rsidRPr="007C3992">
        <w:t>Unit Sector(s)</w:t>
      </w:r>
    </w:p>
    <w:p w:rsidR="00000000" w:rsidRPr="007C3992" w:rsidP="007C3992">
      <w:pPr>
        <w:pStyle w:val="BodyText"/>
      </w:pPr>
      <w:r w:rsidRPr="007C3992">
        <w:t>Not applicable.</w:t>
      </w:r>
    </w:p>
    <w:p w:rsidR="00000000" w:rsidRPr="007C3992" w:rsidP="007C3992">
      <w:pPr>
        <w:pStyle w:val="AllowPageBreak"/>
      </w:pPr>
    </w:p>
    <w:p w:rsidR="00000000" w:rsidRPr="007C3992" w:rsidP="007C3992">
      <w:pPr>
        <w:pStyle w:val="Heading1"/>
      </w:pPr>
      <w:bookmarkStart w:id="13" w:name="O_593748"/>
      <w:bookmarkEnd w:id="13"/>
      <w:r w:rsidRPr="007C3992">
        <w:t>Competency Field</w:t>
      </w:r>
    </w:p>
    <w:tbl>
      <w:tblPr>
        <w:tblW w:w="0" w:type="auto"/>
        <w:tblLayout w:type="fixed"/>
        <w:tblCellMar>
          <w:left w:w="62" w:type="dxa"/>
          <w:right w:w="62" w:type="dxa"/>
        </w:tblCellMar>
        <w:tblLook w:val="0000"/>
      </w:tblPr>
      <w:tblGrid>
        <w:gridCol w:w="2638"/>
        <w:gridCol w:w="5760"/>
      </w:tblGrid>
      <w:tr w:rsidTr="007C399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C3992">
            <w:pPr>
              <w:pStyle w:val="BodyText"/>
              <w:rPr>
                <w:lang w:val="en-NZ"/>
              </w:rPr>
            </w:pPr>
            <w:r w:rsidRPr="007C3992">
              <w:rPr>
                <w:rStyle w:val="SpecialBold"/>
              </w:rPr>
              <w:t xml:space="preserve">11) </w:t>
            </w:r>
          </w:p>
        </w:tc>
      </w:tr>
      <w:tr w:rsidTr="007C399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C3992" w:rsidP="007C3992">
            <w:pPr>
              <w:pStyle w:val="BodyText"/>
            </w:pPr>
            <w:r w:rsidRPr="007C3992">
              <w:t>LPG.</w:t>
            </w:r>
          </w:p>
        </w:tc>
      </w:tr>
    </w:tbl>
    <w:p w:rsidR="00211C35" w:rsidP="007C3992">
      <w:pPr>
        <w:pStyle w:val="BodyText"/>
      </w:pPr>
    </w:p>
    <w:p w:rsidR="00211C35" w:rsidP="007C3992">
      <w:pPr>
        <w:pStyle w:val="BodyText"/>
      </w:pPr>
    </w:p>
    <w:p w:rsidR="00000000" w:rsidRPr="007C3992" w:rsidP="007C3992"/>
    <w:sectPr w:rsidSect="007C39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92" w:rsidRPr="00211C35" w:rsidP="00211C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C35" w:rsidP="007C39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11C35" w:rsidP="007C399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211C35" w:rsidP="007C39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92" w:rsidRPr="00211C35" w:rsidP="00211C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C35" w:rsidRPr="002D2AF8" w:rsidP="007C3992">
    <w:pPr>
      <w:pStyle w:val="Header"/>
      <w:framePr w:wrap="around"/>
    </w:pPr>
    <w:r>
      <w:fldChar w:fldCharType="begin"/>
    </w:r>
    <w:r>
      <w:instrText xml:space="preserve"> TITLE   \* MERGEFORMAT </w:instrText>
    </w:r>
    <w:r>
      <w:fldChar w:fldCharType="separate"/>
    </w:r>
    <w:r>
      <w:t>UEGNSG614A Load, unload, exchange and connect LPG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211C35" w:rsidP="007C39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F0A6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D669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EE98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9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992"/>
    <w:pPr>
      <w:spacing w:before="360" w:after="60"/>
      <w:outlineLvl w:val="0"/>
    </w:pPr>
    <w:rPr>
      <w:sz w:val="32"/>
    </w:rPr>
  </w:style>
  <w:style w:type="paragraph" w:styleId="Heading2">
    <w:name w:val="heading 2"/>
    <w:basedOn w:val="HeadingBase"/>
    <w:next w:val="BodyText"/>
    <w:link w:val="Heading2Char"/>
    <w:qFormat/>
    <w:rsid w:val="007C3992"/>
    <w:pPr>
      <w:keepLines/>
      <w:spacing w:before="240" w:after="120"/>
      <w:outlineLvl w:val="1"/>
    </w:pPr>
    <w:rPr>
      <w:sz w:val="28"/>
      <w:szCs w:val="40"/>
    </w:rPr>
  </w:style>
  <w:style w:type="paragraph" w:styleId="Heading3">
    <w:name w:val="heading 3"/>
    <w:basedOn w:val="HeadingBase"/>
    <w:next w:val="BodyText"/>
    <w:link w:val="Heading3Char"/>
    <w:qFormat/>
    <w:rsid w:val="007C3992"/>
    <w:pPr>
      <w:spacing w:before="180" w:after="120"/>
      <w:outlineLvl w:val="2"/>
    </w:pPr>
    <w:rPr>
      <w:spacing w:val="-10"/>
      <w:kern w:val="32"/>
    </w:rPr>
  </w:style>
  <w:style w:type="paragraph" w:styleId="Heading4">
    <w:name w:val="heading 4"/>
    <w:basedOn w:val="HeadingBase"/>
    <w:next w:val="BodyText"/>
    <w:link w:val="Heading4Char"/>
    <w:qFormat/>
    <w:rsid w:val="007C3992"/>
    <w:pPr>
      <w:spacing w:before="160" w:after="120"/>
      <w:outlineLvl w:val="3"/>
    </w:pPr>
    <w:rPr>
      <w:sz w:val="22"/>
    </w:rPr>
  </w:style>
  <w:style w:type="paragraph" w:styleId="Heading5">
    <w:name w:val="heading 5"/>
    <w:basedOn w:val="HeadingBase"/>
    <w:next w:val="Normal"/>
    <w:link w:val="Heading5Char"/>
    <w:qFormat/>
    <w:rsid w:val="007C3992"/>
    <w:pPr>
      <w:spacing w:before="80"/>
      <w:outlineLvl w:val="4"/>
    </w:pPr>
    <w:rPr>
      <w:color w:val="918585"/>
      <w:sz w:val="20"/>
    </w:rPr>
  </w:style>
  <w:style w:type="paragraph" w:styleId="Heading6">
    <w:name w:val="heading 6"/>
    <w:basedOn w:val="HeadingBase"/>
    <w:next w:val="Normal"/>
    <w:link w:val="Heading6Char"/>
    <w:qFormat/>
    <w:rsid w:val="007C3992"/>
    <w:pPr>
      <w:spacing w:before="60"/>
      <w:outlineLvl w:val="5"/>
    </w:pPr>
    <w:rPr>
      <w:color w:val="918585"/>
      <w:sz w:val="20"/>
    </w:rPr>
  </w:style>
  <w:style w:type="paragraph" w:styleId="Heading7">
    <w:name w:val="heading 7"/>
    <w:basedOn w:val="Normal"/>
    <w:next w:val="Normal"/>
    <w:link w:val="Heading7Char"/>
    <w:qFormat/>
    <w:rsid w:val="007C3992"/>
    <w:pPr>
      <w:ind w:left="720"/>
      <w:outlineLvl w:val="6"/>
    </w:pPr>
    <w:rPr>
      <w:i/>
    </w:rPr>
  </w:style>
  <w:style w:type="paragraph" w:styleId="Heading8">
    <w:name w:val="heading 8"/>
    <w:basedOn w:val="Normal"/>
    <w:next w:val="Normal"/>
    <w:link w:val="Heading8Char"/>
    <w:qFormat/>
    <w:rsid w:val="007C3992"/>
    <w:pPr>
      <w:ind w:left="720"/>
      <w:outlineLvl w:val="7"/>
    </w:pPr>
    <w:rPr>
      <w:i/>
    </w:rPr>
  </w:style>
  <w:style w:type="paragraph" w:styleId="Heading9">
    <w:name w:val="heading 9"/>
    <w:basedOn w:val="Normal"/>
    <w:next w:val="Normal"/>
    <w:link w:val="Heading9Char"/>
    <w:qFormat/>
    <w:rsid w:val="007C3992"/>
    <w:pPr>
      <w:ind w:left="720"/>
      <w:outlineLvl w:val="8"/>
    </w:pPr>
    <w:rPr>
      <w:i/>
    </w:rPr>
  </w:style>
  <w:style w:type="character" w:default="1" w:styleId="DefaultParagraphFont">
    <w:name w:val="Default Paragraph Font"/>
    <w:uiPriority w:val="1"/>
    <w:unhideWhenUsed/>
    <w:rsid w:val="007C39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992"/>
  </w:style>
  <w:style w:type="character" w:customStyle="1" w:styleId="Heading1Char">
    <w:name w:val="Heading 1 Char"/>
    <w:basedOn w:val="DefaultParagraphFont"/>
    <w:link w:val="Heading1"/>
    <w:rsid w:val="007C3992"/>
    <w:rPr>
      <w:rFonts w:ascii="Times New Roman" w:eastAsia="Times New Roman" w:hAnsi="Times New Roman" w:cs="Times New Roman"/>
      <w:b/>
      <w:sz w:val="32"/>
      <w:szCs w:val="20"/>
      <w:lang w:eastAsia="en-US"/>
    </w:rPr>
  </w:style>
  <w:style w:type="paragraph" w:styleId="BodyText">
    <w:name w:val="Body Text"/>
    <w:basedOn w:val="Normal"/>
    <w:link w:val="BodyTextChar"/>
    <w:rsid w:val="007C39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3992"/>
    <w:rPr>
      <w:rFonts w:ascii="Times New Roman" w:eastAsia="Times New Roman" w:hAnsi="Times New Roman" w:cs="Times New Roman"/>
      <w:sz w:val="24"/>
      <w:lang w:eastAsia="en-US"/>
    </w:rPr>
  </w:style>
  <w:style w:type="paragraph" w:styleId="ListBullet">
    <w:name w:val="List Bullet"/>
    <w:basedOn w:val="List"/>
    <w:rsid w:val="007C3992"/>
    <w:pPr>
      <w:numPr>
        <w:numId w:val="13"/>
      </w:numPr>
      <w:tabs>
        <w:tab w:val="clear" w:pos="340"/>
      </w:tabs>
      <w:spacing w:before="40" w:after="40"/>
    </w:pPr>
  </w:style>
  <w:style w:type="character" w:customStyle="1" w:styleId="SpecialBold">
    <w:name w:val="Special Bold"/>
    <w:basedOn w:val="DefaultParagraphFont"/>
    <w:rsid w:val="007C3992"/>
    <w:rPr>
      <w:b/>
      <w:spacing w:val="0"/>
    </w:rPr>
  </w:style>
  <w:style w:type="paragraph" w:styleId="ListBullet2">
    <w:name w:val="List Bullet 2"/>
    <w:basedOn w:val="List2"/>
    <w:rsid w:val="007C3992"/>
    <w:pPr>
      <w:numPr>
        <w:numId w:val="14"/>
      </w:numPr>
      <w:tabs>
        <w:tab w:val="clear" w:pos="680"/>
      </w:tabs>
    </w:pPr>
  </w:style>
  <w:style w:type="character" w:styleId="Emphasis">
    <w:name w:val="Emphasis"/>
    <w:basedOn w:val="DefaultParagraphFont"/>
    <w:qFormat/>
    <w:rsid w:val="007C3992"/>
    <w:rPr>
      <w:i/>
    </w:rPr>
  </w:style>
  <w:style w:type="paragraph" w:customStyle="1" w:styleId="SuperHeading">
    <w:name w:val="SuperHeading"/>
    <w:basedOn w:val="Normal"/>
    <w:rsid w:val="007C3992"/>
    <w:pPr>
      <w:spacing w:before="240" w:after="120"/>
      <w:outlineLvl w:val="0"/>
    </w:pPr>
    <w:rPr>
      <w:rFonts w:ascii="Times New Roman" w:hAnsi="Times New Roman"/>
      <w:b/>
      <w:sz w:val="32"/>
    </w:rPr>
  </w:style>
  <w:style w:type="paragraph" w:customStyle="1" w:styleId="AllowPageBreak">
    <w:name w:val="AllowPageBreak"/>
    <w:rsid w:val="007C39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39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9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9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9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9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9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9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992"/>
    <w:rPr>
      <w:rFonts w:ascii="Courier New" w:eastAsia="Times New Roman" w:hAnsi="Courier New" w:cs="Times New Roman"/>
      <w:i/>
      <w:szCs w:val="20"/>
      <w:lang w:eastAsia="en-US"/>
    </w:rPr>
  </w:style>
  <w:style w:type="paragraph" w:customStyle="1" w:styleId="HeadingBase">
    <w:name w:val="Heading Base"/>
    <w:rsid w:val="007C39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992"/>
    <w:pPr>
      <w:tabs>
        <w:tab w:val="right" w:leader="dot" w:pos="9072"/>
      </w:tabs>
      <w:ind w:left="567"/>
    </w:pPr>
    <w:rPr>
      <w:szCs w:val="22"/>
    </w:rPr>
  </w:style>
  <w:style w:type="paragraph" w:customStyle="1" w:styleId="TOCBase">
    <w:name w:val="TOC Base"/>
    <w:rsid w:val="007C39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992"/>
    <w:pPr>
      <w:tabs>
        <w:tab w:val="right" w:leader="dot" w:pos="9072"/>
      </w:tabs>
      <w:spacing w:before="40" w:after="40"/>
      <w:ind w:left="284"/>
    </w:pPr>
    <w:rPr>
      <w:rFonts w:ascii="Times New Roman" w:hAnsi="Times New Roman"/>
    </w:rPr>
  </w:style>
  <w:style w:type="paragraph" w:styleId="TOC1">
    <w:name w:val="toc 1"/>
    <w:basedOn w:val="TOCBase"/>
    <w:next w:val="Normal"/>
    <w:rsid w:val="007C39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9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992"/>
    <w:rPr>
      <w:rFonts w:ascii="Times New Roman" w:eastAsia="Times New Roman" w:hAnsi="Times New Roman" w:cs="Times New Roman"/>
      <w:sz w:val="16"/>
      <w:lang w:eastAsia="en-US"/>
    </w:rPr>
  </w:style>
  <w:style w:type="paragraph" w:styleId="Title">
    <w:name w:val="Title"/>
    <w:basedOn w:val="HeadingBase"/>
    <w:link w:val="TitleChar"/>
    <w:qFormat/>
    <w:rsid w:val="007C3992"/>
    <w:pPr>
      <w:spacing w:before="5040"/>
      <w:jc w:val="center"/>
    </w:pPr>
    <w:rPr>
      <w:sz w:val="48"/>
      <w:szCs w:val="72"/>
      <w:lang w:val="en-US"/>
    </w:rPr>
  </w:style>
  <w:style w:type="character" w:customStyle="1" w:styleId="TitleChar">
    <w:name w:val="Title Char"/>
    <w:basedOn w:val="DefaultParagraphFont"/>
    <w:link w:val="Title"/>
    <w:rsid w:val="007C39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992"/>
    <w:pPr>
      <w:tabs>
        <w:tab w:val="left" w:pos="3600"/>
        <w:tab w:val="left" w:pos="3958"/>
      </w:tabs>
    </w:pPr>
  </w:style>
  <w:style w:type="paragraph" w:styleId="List">
    <w:name w:val="List"/>
    <w:basedOn w:val="BodyText"/>
    <w:next w:val="BodyText"/>
    <w:rsid w:val="007C3992"/>
    <w:pPr>
      <w:tabs>
        <w:tab w:val="left" w:pos="340"/>
      </w:tabs>
      <w:spacing w:before="60" w:after="60"/>
      <w:ind w:left="340" w:hanging="340"/>
    </w:pPr>
  </w:style>
  <w:style w:type="paragraph" w:customStyle="1" w:styleId="Note">
    <w:name w:val="Note"/>
    <w:basedOn w:val="BodyText"/>
    <w:rsid w:val="007C39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992"/>
    <w:pPr>
      <w:framePr w:wrap="auto" w:hAnchor="text" w:y="6049"/>
    </w:pPr>
    <w:rPr>
      <w:color w:val="000000"/>
      <w:sz w:val="40"/>
    </w:rPr>
  </w:style>
  <w:style w:type="paragraph" w:customStyle="1" w:styleId="TOCTitle">
    <w:name w:val="TOCTitle"/>
    <w:basedOn w:val="Heading1"/>
    <w:rsid w:val="007C3992"/>
    <w:pPr>
      <w:spacing w:after="240"/>
      <w:jc w:val="center"/>
      <w:outlineLvl w:val="9"/>
    </w:pPr>
    <w:rPr>
      <w:caps/>
    </w:rPr>
  </w:style>
  <w:style w:type="paragraph" w:customStyle="1" w:styleId="Version">
    <w:name w:val="Version"/>
    <w:rsid w:val="007C39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992"/>
    <w:pPr>
      <w:keepNext w:val="0"/>
      <w:tabs>
        <w:tab w:val="right" w:pos="4176"/>
      </w:tabs>
      <w:ind w:left="198" w:hanging="198"/>
    </w:pPr>
    <w:rPr>
      <w:rFonts w:ascii="Garamond" w:hAnsi="Garamond"/>
    </w:rPr>
  </w:style>
  <w:style w:type="paragraph" w:styleId="IndexHeading">
    <w:name w:val="index heading"/>
    <w:basedOn w:val="Normal"/>
    <w:next w:val="Index1"/>
    <w:semiHidden/>
    <w:rsid w:val="007C3992"/>
    <w:pPr>
      <w:spacing w:before="120" w:after="120"/>
    </w:pPr>
    <w:rPr>
      <w:rFonts w:ascii="Arial" w:hAnsi="Arial"/>
      <w:b/>
      <w:color w:val="918585"/>
      <w:sz w:val="24"/>
    </w:rPr>
  </w:style>
  <w:style w:type="paragraph" w:styleId="Header">
    <w:name w:val="header"/>
    <w:basedOn w:val="Normal"/>
    <w:link w:val="HeaderChar"/>
    <w:rsid w:val="007C39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992"/>
    <w:rPr>
      <w:rFonts w:ascii="Times New Roman" w:eastAsia="Times New Roman" w:hAnsi="Times New Roman" w:cs="Times New Roman"/>
      <w:sz w:val="16"/>
      <w:szCs w:val="20"/>
      <w:lang w:val="en-GB" w:eastAsia="en-US"/>
    </w:rPr>
  </w:style>
  <w:style w:type="paragraph" w:customStyle="1" w:styleId="Chapter">
    <w:name w:val="Chapter"/>
    <w:basedOn w:val="Normal"/>
    <w:rsid w:val="007C3992"/>
    <w:pPr>
      <w:spacing w:before="240"/>
    </w:pPr>
    <w:rPr>
      <w:rFonts w:ascii="Times New Roman" w:hAnsi="Times New Roman"/>
      <w:smallCaps/>
      <w:spacing w:val="80"/>
      <w:sz w:val="28"/>
    </w:rPr>
  </w:style>
  <w:style w:type="paragraph" w:customStyle="1" w:styleId="InChapter">
    <w:name w:val="InChapter"/>
    <w:basedOn w:val="Heading3"/>
    <w:rsid w:val="007C3992"/>
    <w:pPr>
      <w:spacing w:after="240"/>
      <w:outlineLvl w:val="9"/>
    </w:pPr>
    <w:rPr>
      <w:noProof/>
    </w:rPr>
  </w:style>
  <w:style w:type="paragraph" w:styleId="Index2">
    <w:name w:val="index 2"/>
    <w:basedOn w:val="Normal"/>
    <w:next w:val="Normal"/>
    <w:semiHidden/>
    <w:rsid w:val="007C3992"/>
    <w:pPr>
      <w:tabs>
        <w:tab w:val="right" w:pos="4176"/>
      </w:tabs>
      <w:ind w:left="568" w:hanging="284"/>
    </w:pPr>
    <w:rPr>
      <w:rFonts w:ascii="Garamond" w:hAnsi="Garamond"/>
    </w:rPr>
  </w:style>
  <w:style w:type="paragraph" w:customStyle="1" w:styleId="Byline">
    <w:name w:val="Byline"/>
    <w:rsid w:val="007C39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992"/>
    <w:pPr>
      <w:tabs>
        <w:tab w:val="clear" w:pos="3600"/>
        <w:tab w:val="clear" w:pos="3958"/>
      </w:tabs>
      <w:jc w:val="right"/>
    </w:pPr>
  </w:style>
  <w:style w:type="paragraph" w:styleId="Caption">
    <w:name w:val="caption"/>
    <w:basedOn w:val="BodyText"/>
    <w:next w:val="Normal"/>
    <w:qFormat/>
    <w:rsid w:val="007C3992"/>
    <w:pPr>
      <w:framePr w:w="2268" w:hSpace="181" w:vSpace="181" w:wrap="around" w:vAnchor="text" w:hAnchor="page" w:x="1135" w:y="285" w:anchorLock="1"/>
    </w:pPr>
    <w:rPr>
      <w:i/>
    </w:rPr>
  </w:style>
  <w:style w:type="paragraph" w:customStyle="1" w:styleId="MiniTOCTitle">
    <w:name w:val="MiniTOCTitle"/>
    <w:basedOn w:val="Heading4"/>
    <w:rsid w:val="007C3992"/>
    <w:pPr>
      <w:spacing w:before="240"/>
      <w:outlineLvl w:val="9"/>
    </w:pPr>
    <w:rPr>
      <w:noProof/>
      <w:sz w:val="24"/>
    </w:rPr>
  </w:style>
  <w:style w:type="paragraph" w:customStyle="1" w:styleId="MiniTOCItem">
    <w:name w:val="MiniTOCItem"/>
    <w:basedOn w:val="ListBullet"/>
    <w:rsid w:val="007C3992"/>
    <w:pPr>
      <w:numPr>
        <w:numId w:val="0"/>
      </w:numPr>
      <w:tabs>
        <w:tab w:val="right" w:leader="dot" w:pos="6521"/>
      </w:tabs>
      <w:spacing w:before="0" w:after="0"/>
    </w:pPr>
  </w:style>
  <w:style w:type="paragraph" w:customStyle="1" w:styleId="TOFTitle">
    <w:name w:val="TOFTitle"/>
    <w:basedOn w:val="TOCTitle"/>
    <w:rsid w:val="007C3992"/>
  </w:style>
  <w:style w:type="paragraph" w:styleId="TableofFigures">
    <w:name w:val="table of figures"/>
    <w:basedOn w:val="Normal"/>
    <w:next w:val="Normal"/>
    <w:semiHidden/>
    <w:rsid w:val="007C3992"/>
    <w:pPr>
      <w:tabs>
        <w:tab w:val="right" w:leader="dot" w:pos="9072"/>
      </w:tabs>
      <w:ind w:left="970" w:hanging="403"/>
    </w:pPr>
    <w:rPr>
      <w:rFonts w:ascii="Times New Roman" w:hAnsi="Times New Roman"/>
      <w:b/>
    </w:rPr>
  </w:style>
  <w:style w:type="paragraph" w:styleId="ListNumber">
    <w:name w:val="List Number"/>
    <w:basedOn w:val="List"/>
    <w:rsid w:val="007C3992"/>
    <w:pPr>
      <w:numPr>
        <w:numId w:val="11"/>
      </w:numPr>
    </w:pPr>
  </w:style>
  <w:style w:type="character" w:customStyle="1" w:styleId="WingdingSymbols">
    <w:name w:val="Wingding Symbols"/>
    <w:rsid w:val="007C3992"/>
    <w:rPr>
      <w:rFonts w:ascii="Wingdings" w:hAnsi="Wingdings"/>
    </w:rPr>
  </w:style>
  <w:style w:type="paragraph" w:customStyle="1" w:styleId="TableHeading">
    <w:name w:val="Table Heading"/>
    <w:basedOn w:val="HeadingBase"/>
    <w:rsid w:val="007C3992"/>
    <w:pPr>
      <w:keepLines/>
      <w:pBdr>
        <w:bottom w:val="single" w:sz="6" w:space="1" w:color="918585"/>
      </w:pBdr>
      <w:spacing w:before="240"/>
    </w:pPr>
  </w:style>
  <w:style w:type="character" w:customStyle="1" w:styleId="HotSpot">
    <w:name w:val="HotSpot"/>
    <w:rsid w:val="007C3992"/>
    <w:rPr>
      <w:color w:val="0033CC"/>
      <w:u w:val="none"/>
    </w:rPr>
  </w:style>
  <w:style w:type="paragraph" w:customStyle="1" w:styleId="BodyTextRight">
    <w:name w:val="Body Text Right"/>
    <w:basedOn w:val="BodyText"/>
    <w:rsid w:val="007C3992"/>
    <w:pPr>
      <w:spacing w:before="0" w:after="0"/>
      <w:jc w:val="right"/>
    </w:pPr>
  </w:style>
  <w:style w:type="paragraph" w:styleId="Index3">
    <w:name w:val="index 3"/>
    <w:basedOn w:val="ListNumber2"/>
    <w:next w:val="Normal"/>
    <w:semiHidden/>
    <w:rsid w:val="007C3992"/>
    <w:pPr>
      <w:numPr>
        <w:numId w:val="0"/>
      </w:numPr>
      <w:tabs>
        <w:tab w:val="right" w:leader="dot" w:pos="4176"/>
      </w:tabs>
    </w:pPr>
  </w:style>
  <w:style w:type="paragraph" w:styleId="ListNumber2">
    <w:name w:val="List Number 2"/>
    <w:basedOn w:val="List2"/>
    <w:rsid w:val="007C3992"/>
    <w:pPr>
      <w:numPr>
        <w:numId w:val="10"/>
      </w:numPr>
      <w:tabs>
        <w:tab w:val="clear" w:pos="1060"/>
      </w:tabs>
    </w:pPr>
  </w:style>
  <w:style w:type="paragraph" w:customStyle="1" w:styleId="MarginNote">
    <w:name w:val="Margin Note"/>
    <w:basedOn w:val="BodyText"/>
    <w:rsid w:val="007C39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9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9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992"/>
    <w:rPr>
      <w:sz w:val="32"/>
    </w:rPr>
  </w:style>
  <w:style w:type="paragraph" w:customStyle="1" w:styleId="HeadingProcedure">
    <w:name w:val="Heading Procedure"/>
    <w:basedOn w:val="HeadingBase"/>
    <w:next w:val="Normal"/>
    <w:rsid w:val="007C3992"/>
    <w:pPr>
      <w:tabs>
        <w:tab w:val="left" w:pos="0"/>
      </w:tabs>
      <w:spacing w:before="120" w:after="60"/>
    </w:pPr>
    <w:rPr>
      <w:i/>
      <w:color w:val="918585"/>
      <w:sz w:val="22"/>
    </w:rPr>
  </w:style>
  <w:style w:type="paragraph" w:customStyle="1" w:styleId="TableBodyText">
    <w:name w:val="Table Body Text"/>
    <w:basedOn w:val="BodyText"/>
    <w:rsid w:val="007C3992"/>
    <w:pPr>
      <w:spacing w:before="60" w:after="60"/>
    </w:pPr>
  </w:style>
  <w:style w:type="paragraph" w:styleId="ListContinue">
    <w:name w:val="List Continue"/>
    <w:basedOn w:val="List"/>
    <w:rsid w:val="007C3992"/>
    <w:pPr>
      <w:ind w:firstLine="0"/>
    </w:pPr>
  </w:style>
  <w:style w:type="paragraph" w:customStyle="1" w:styleId="ListNote">
    <w:name w:val="List Note"/>
    <w:basedOn w:val="List"/>
    <w:rsid w:val="007C3992"/>
    <w:pPr>
      <w:pBdr>
        <w:top w:val="single" w:sz="6" w:space="2" w:color="918585"/>
        <w:bottom w:val="single" w:sz="6" w:space="2" w:color="918585"/>
      </w:pBdr>
      <w:tabs>
        <w:tab w:val="left" w:pos="1021"/>
      </w:tabs>
      <w:ind w:firstLine="0"/>
    </w:pPr>
  </w:style>
  <w:style w:type="paragraph" w:customStyle="1" w:styleId="Warning">
    <w:name w:val="Warning"/>
    <w:basedOn w:val="BodyText"/>
    <w:rsid w:val="007C3992"/>
    <w:pPr>
      <w:shd w:val="clear" w:color="auto" w:fill="D9D9D9"/>
      <w:tabs>
        <w:tab w:val="left" w:pos="992"/>
      </w:tabs>
      <w:ind w:left="119" w:right="119"/>
    </w:pPr>
    <w:rPr>
      <w:sz w:val="20"/>
    </w:rPr>
  </w:style>
  <w:style w:type="paragraph" w:customStyle="1" w:styleId="MarginIcons">
    <w:name w:val="Margin Icons"/>
    <w:basedOn w:val="BodyText"/>
    <w:rsid w:val="007C39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992"/>
    <w:rPr>
      <w:rFonts w:ascii="Courier New" w:hAnsi="Courier New"/>
    </w:rPr>
  </w:style>
  <w:style w:type="paragraph" w:customStyle="1" w:styleId="NoteBullet">
    <w:name w:val="Note Bullet"/>
    <w:basedOn w:val="Note"/>
    <w:rsid w:val="007C3992"/>
    <w:pPr>
      <w:tabs>
        <w:tab w:val="clear" w:pos="680"/>
      </w:tabs>
      <w:spacing w:before="60" w:after="60"/>
    </w:pPr>
  </w:style>
  <w:style w:type="paragraph" w:customStyle="1" w:styleId="SubHeading2">
    <w:name w:val="SubHeading2"/>
    <w:basedOn w:val="HeadingBase"/>
    <w:rsid w:val="007C3992"/>
    <w:pPr>
      <w:spacing w:before="240" w:after="60"/>
    </w:pPr>
    <w:rPr>
      <w:sz w:val="20"/>
    </w:rPr>
  </w:style>
  <w:style w:type="paragraph" w:customStyle="1" w:styleId="SubHeading1">
    <w:name w:val="SubHeading1"/>
    <w:basedOn w:val="HeadingBase"/>
    <w:rsid w:val="007C3992"/>
    <w:pPr>
      <w:spacing w:before="240" w:after="60"/>
    </w:pPr>
    <w:rPr>
      <w:color w:val="918585"/>
      <w:sz w:val="22"/>
    </w:rPr>
  </w:style>
  <w:style w:type="paragraph" w:customStyle="1" w:styleId="SideHeading">
    <w:name w:val="Side Heading"/>
    <w:basedOn w:val="HeadingBase"/>
    <w:rsid w:val="007C39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992"/>
    <w:pPr>
      <w:numPr>
        <w:numId w:val="12"/>
      </w:numPr>
    </w:pPr>
  </w:style>
  <w:style w:type="paragraph" w:styleId="PlainText">
    <w:name w:val="Plain Text"/>
    <w:basedOn w:val="Normal"/>
    <w:link w:val="PlainTextChar"/>
    <w:rsid w:val="007C3992"/>
    <w:rPr>
      <w:sz w:val="20"/>
    </w:rPr>
  </w:style>
  <w:style w:type="character" w:customStyle="1" w:styleId="PlainTextChar">
    <w:name w:val="Plain Text Char"/>
    <w:basedOn w:val="DefaultParagraphFont"/>
    <w:link w:val="PlainText"/>
    <w:rsid w:val="007C3992"/>
    <w:rPr>
      <w:rFonts w:ascii="Courier New" w:eastAsia="Times New Roman" w:hAnsi="Courier New" w:cs="Times New Roman"/>
      <w:sz w:val="20"/>
      <w:szCs w:val="20"/>
      <w:lang w:eastAsia="en-US"/>
    </w:rPr>
  </w:style>
  <w:style w:type="character" w:customStyle="1" w:styleId="MenuOption">
    <w:name w:val="Menu Option"/>
    <w:basedOn w:val="DefaultParagraphFont"/>
    <w:rsid w:val="007C3992"/>
    <w:rPr>
      <w:b/>
      <w:smallCaps/>
    </w:rPr>
  </w:style>
  <w:style w:type="paragraph" w:customStyle="1" w:styleId="TableListNumber">
    <w:name w:val="Table List Number"/>
    <w:basedOn w:val="ListNumber"/>
    <w:rsid w:val="007C3992"/>
    <w:pPr>
      <w:numPr>
        <w:numId w:val="0"/>
      </w:numPr>
    </w:pPr>
  </w:style>
  <w:style w:type="paragraph" w:styleId="TOC4">
    <w:name w:val="toc 4"/>
    <w:basedOn w:val="TOCBase"/>
    <w:next w:val="Normal"/>
    <w:semiHidden/>
    <w:rsid w:val="007C3992"/>
    <w:pPr>
      <w:tabs>
        <w:tab w:val="right" w:leader="dot" w:pos="9071"/>
      </w:tabs>
      <w:ind w:left="1701"/>
    </w:pPr>
  </w:style>
  <w:style w:type="paragraph" w:customStyle="1" w:styleId="ListAlpha">
    <w:name w:val="List Alpha"/>
    <w:basedOn w:val="List"/>
    <w:rsid w:val="007C3992"/>
    <w:pPr>
      <w:numPr>
        <w:numId w:val="9"/>
      </w:numPr>
    </w:pPr>
  </w:style>
  <w:style w:type="paragraph" w:customStyle="1" w:styleId="ListAlpha2">
    <w:name w:val="List Alpha 2"/>
    <w:basedOn w:val="List2"/>
    <w:rsid w:val="007C3992"/>
    <w:pPr>
      <w:numPr>
        <w:numId w:val="8"/>
      </w:numPr>
    </w:pPr>
  </w:style>
  <w:style w:type="paragraph" w:styleId="List2">
    <w:name w:val="List 2"/>
    <w:basedOn w:val="BodyText"/>
    <w:rsid w:val="007C3992"/>
    <w:pPr>
      <w:tabs>
        <w:tab w:val="left" w:pos="680"/>
      </w:tabs>
      <w:spacing w:before="60" w:after="60"/>
      <w:ind w:left="680" w:hanging="340"/>
    </w:pPr>
  </w:style>
  <w:style w:type="paragraph" w:styleId="List3">
    <w:name w:val="List 3"/>
    <w:basedOn w:val="BodyText"/>
    <w:rsid w:val="007C3992"/>
    <w:pPr>
      <w:tabs>
        <w:tab w:val="left" w:pos="1021"/>
      </w:tabs>
      <w:spacing w:before="60" w:after="60"/>
      <w:ind w:left="1020" w:hanging="340"/>
    </w:pPr>
  </w:style>
  <w:style w:type="paragraph" w:styleId="List4">
    <w:name w:val="List 4"/>
    <w:basedOn w:val="BodyText"/>
    <w:rsid w:val="007C3992"/>
    <w:pPr>
      <w:tabs>
        <w:tab w:val="left" w:pos="1361"/>
      </w:tabs>
      <w:spacing w:before="60" w:after="60"/>
      <w:ind w:left="1361" w:hanging="340"/>
    </w:pPr>
  </w:style>
  <w:style w:type="paragraph" w:styleId="List5">
    <w:name w:val="List 5"/>
    <w:basedOn w:val="BodyText"/>
    <w:rsid w:val="007C3992"/>
    <w:pPr>
      <w:tabs>
        <w:tab w:val="left" w:pos="1701"/>
      </w:tabs>
      <w:spacing w:before="60" w:after="60"/>
      <w:ind w:left="1701" w:hanging="340"/>
    </w:pPr>
  </w:style>
  <w:style w:type="paragraph" w:styleId="ListBullet3">
    <w:name w:val="List Bullet 3"/>
    <w:basedOn w:val="List3"/>
    <w:rsid w:val="007C3992"/>
    <w:pPr>
      <w:numPr>
        <w:numId w:val="15"/>
      </w:numPr>
      <w:tabs>
        <w:tab w:val="clear" w:pos="1021"/>
      </w:tabs>
      <w:ind w:left="1037" w:hanging="357"/>
    </w:pPr>
  </w:style>
  <w:style w:type="paragraph" w:styleId="ListBullet4">
    <w:name w:val="List Bullet 4"/>
    <w:basedOn w:val="List4"/>
    <w:rsid w:val="007C3992"/>
    <w:pPr>
      <w:numPr>
        <w:numId w:val="3"/>
      </w:numPr>
    </w:pPr>
  </w:style>
  <w:style w:type="paragraph" w:styleId="ListBullet5">
    <w:name w:val="List Bullet 5"/>
    <w:basedOn w:val="List5"/>
    <w:rsid w:val="007C3992"/>
    <w:pPr>
      <w:numPr>
        <w:numId w:val="4"/>
      </w:numPr>
    </w:pPr>
  </w:style>
  <w:style w:type="paragraph" w:styleId="ListContinue2">
    <w:name w:val="List Continue 2"/>
    <w:basedOn w:val="List2"/>
    <w:rsid w:val="007C3992"/>
    <w:pPr>
      <w:ind w:firstLine="0"/>
    </w:pPr>
  </w:style>
  <w:style w:type="paragraph" w:styleId="ListContinue3">
    <w:name w:val="List Continue 3"/>
    <w:basedOn w:val="List3"/>
    <w:rsid w:val="007C3992"/>
    <w:pPr>
      <w:ind w:left="1021" w:firstLine="0"/>
    </w:pPr>
  </w:style>
  <w:style w:type="paragraph" w:styleId="ListContinue4">
    <w:name w:val="List Continue 4"/>
    <w:basedOn w:val="List4"/>
    <w:rsid w:val="007C3992"/>
    <w:pPr>
      <w:ind w:firstLine="0"/>
    </w:pPr>
  </w:style>
  <w:style w:type="paragraph" w:styleId="ListContinue5">
    <w:name w:val="List Continue 5"/>
    <w:basedOn w:val="List5"/>
    <w:rsid w:val="007C3992"/>
    <w:pPr>
      <w:ind w:firstLine="0"/>
    </w:pPr>
  </w:style>
  <w:style w:type="paragraph" w:styleId="ListNumber3">
    <w:name w:val="List Number 3"/>
    <w:basedOn w:val="List3"/>
    <w:rsid w:val="007C3992"/>
    <w:pPr>
      <w:numPr>
        <w:numId w:val="5"/>
      </w:numPr>
    </w:pPr>
  </w:style>
  <w:style w:type="paragraph" w:styleId="ListNumber4">
    <w:name w:val="List Number 4"/>
    <w:basedOn w:val="List4"/>
    <w:rsid w:val="007C3992"/>
    <w:pPr>
      <w:numPr>
        <w:numId w:val="6"/>
      </w:numPr>
    </w:pPr>
  </w:style>
  <w:style w:type="paragraph" w:styleId="ListNumber5">
    <w:name w:val="List Number 5"/>
    <w:basedOn w:val="List5"/>
    <w:rsid w:val="007C3992"/>
    <w:pPr>
      <w:numPr>
        <w:numId w:val="7"/>
      </w:numPr>
    </w:pPr>
  </w:style>
  <w:style w:type="paragraph" w:styleId="BlockText">
    <w:name w:val="Block Text"/>
    <w:basedOn w:val="Normal"/>
    <w:rsid w:val="007C3992"/>
    <w:pPr>
      <w:spacing w:after="120"/>
      <w:ind w:left="1440" w:right="1440"/>
    </w:pPr>
  </w:style>
  <w:style w:type="character" w:customStyle="1" w:styleId="Subscript">
    <w:name w:val="Subscript"/>
    <w:basedOn w:val="DefaultParagraphFont"/>
    <w:rsid w:val="007C3992"/>
    <w:rPr>
      <w:sz w:val="16"/>
      <w:vertAlign w:val="subscript"/>
    </w:rPr>
  </w:style>
  <w:style w:type="character" w:customStyle="1" w:styleId="Superscript">
    <w:name w:val="Superscript"/>
    <w:basedOn w:val="DefaultParagraphFont"/>
    <w:rsid w:val="007C3992"/>
    <w:rPr>
      <w:sz w:val="16"/>
      <w:vertAlign w:val="superscript"/>
    </w:rPr>
  </w:style>
  <w:style w:type="character" w:customStyle="1" w:styleId="Symbols">
    <w:name w:val="Symbols"/>
    <w:basedOn w:val="DefaultParagraphFont"/>
    <w:rsid w:val="007C3992"/>
    <w:rPr>
      <w:rFonts w:ascii="Symbol" w:hAnsi="Symbol"/>
    </w:rPr>
  </w:style>
  <w:style w:type="character" w:customStyle="1" w:styleId="MenuOptions">
    <w:name w:val="Menu Options"/>
    <w:basedOn w:val="DefaultParagraphFont"/>
    <w:rsid w:val="007C3992"/>
    <w:rPr>
      <w:rFonts w:ascii="Arial Narrow" w:hAnsi="Arial Narrow"/>
      <w:smallCaps/>
    </w:rPr>
  </w:style>
  <w:style w:type="character" w:customStyle="1" w:styleId="Buttons">
    <w:name w:val="Buttons"/>
    <w:basedOn w:val="DefaultParagraphFont"/>
    <w:rsid w:val="007C3992"/>
    <w:rPr>
      <w:b/>
    </w:rPr>
  </w:style>
  <w:style w:type="character" w:customStyle="1" w:styleId="Underlined">
    <w:name w:val="Underlined"/>
    <w:basedOn w:val="DefaultParagraphFont"/>
    <w:rsid w:val="007C3992"/>
    <w:rPr>
      <w:u w:val="single"/>
    </w:rPr>
  </w:style>
  <w:style w:type="paragraph" w:customStyle="1" w:styleId="TableBodyTextRight">
    <w:name w:val="Table Body Text Right"/>
    <w:basedOn w:val="TableBodyText"/>
    <w:rsid w:val="007C3992"/>
    <w:pPr>
      <w:widowControl w:val="0"/>
      <w:autoSpaceDE w:val="0"/>
      <w:autoSpaceDN w:val="0"/>
      <w:adjustRightInd w:val="0"/>
      <w:jc w:val="right"/>
    </w:pPr>
    <w:rPr>
      <w:rFonts w:cs="Arial"/>
      <w:szCs w:val="18"/>
    </w:rPr>
  </w:style>
  <w:style w:type="paragraph" w:customStyle="1" w:styleId="CopyrightText">
    <w:name w:val="Copyright Text"/>
    <w:basedOn w:val="BodyText"/>
    <w:rsid w:val="007C3992"/>
    <w:rPr>
      <w:sz w:val="18"/>
    </w:rPr>
  </w:style>
  <w:style w:type="paragraph" w:customStyle="1" w:styleId="BodySmallRight">
    <w:name w:val="Body Small Right"/>
    <w:basedOn w:val="BodyTextRight"/>
    <w:rsid w:val="007C3992"/>
    <w:rPr>
      <w:sz w:val="18"/>
      <w:szCs w:val="18"/>
    </w:rPr>
  </w:style>
  <w:style w:type="paragraph" w:customStyle="1" w:styleId="MarginEdition">
    <w:name w:val="Margin Edition"/>
    <w:basedOn w:val="MarginNote"/>
    <w:rsid w:val="007C3992"/>
    <w:pPr>
      <w:spacing w:before="0" w:after="0"/>
    </w:pPr>
    <w:rPr>
      <w:rFonts w:ascii="Times New Roman" w:hAnsi="Times New Roman"/>
      <w:color w:val="999999"/>
    </w:rPr>
  </w:style>
  <w:style w:type="paragraph" w:customStyle="1" w:styleId="Spacer">
    <w:name w:val="Spacer"/>
    <w:basedOn w:val="Normal"/>
    <w:rsid w:val="007C3992"/>
    <w:rPr>
      <w:sz w:val="2"/>
      <w:szCs w:val="2"/>
    </w:rPr>
  </w:style>
  <w:style w:type="character" w:customStyle="1" w:styleId="Small">
    <w:name w:val="Small"/>
    <w:basedOn w:val="DefaultParagraphFont"/>
    <w:rsid w:val="007C3992"/>
    <w:rPr>
      <w:sz w:val="16"/>
    </w:rPr>
  </w:style>
  <w:style w:type="paragraph" w:customStyle="1" w:styleId="WideTable">
    <w:name w:val="Wide Table"/>
    <w:basedOn w:val="Normal"/>
    <w:rsid w:val="007C3992"/>
    <w:pPr>
      <w:ind w:left="-1418"/>
    </w:pPr>
    <w:rPr>
      <w:sz w:val="2"/>
      <w:szCs w:val="2"/>
    </w:rPr>
  </w:style>
  <w:style w:type="character" w:styleId="PageNumber">
    <w:name w:val="page number"/>
    <w:basedOn w:val="DefaultParagraphFont"/>
    <w:rsid w:val="007C3992"/>
  </w:style>
  <w:style w:type="paragraph" w:styleId="Quote">
    <w:name w:val="Quote"/>
    <w:basedOn w:val="Heading1"/>
    <w:link w:val="QuoteChar"/>
    <w:qFormat/>
    <w:rsid w:val="007C3992"/>
    <w:rPr>
      <w:b w:val="0"/>
      <w:sz w:val="72"/>
      <w:szCs w:val="72"/>
      <w:lang w:val="en-NZ"/>
    </w:rPr>
  </w:style>
  <w:style w:type="character" w:customStyle="1" w:styleId="QuoteChar">
    <w:name w:val="Quote Char"/>
    <w:basedOn w:val="DefaultParagraphFont"/>
    <w:link w:val="Quote"/>
    <w:rsid w:val="007C39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992"/>
    <w:pPr>
      <w:pageBreakBefore/>
    </w:pPr>
  </w:style>
  <w:style w:type="paragraph" w:customStyle="1" w:styleId="Border">
    <w:name w:val="Border"/>
    <w:basedOn w:val="Normal"/>
    <w:qFormat/>
    <w:rsid w:val="007C39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992"/>
    <w:rPr>
      <w:b/>
      <w:bCs/>
      <w:i/>
      <w:iCs/>
      <w:color w:val="auto"/>
    </w:rPr>
  </w:style>
  <w:style w:type="paragraph" w:styleId="IntenseQuote">
    <w:name w:val="Intense Quote"/>
    <w:basedOn w:val="Normal"/>
    <w:next w:val="Normal"/>
    <w:link w:val="IntenseQuoteChar"/>
    <w:uiPriority w:val="30"/>
    <w:qFormat/>
    <w:rsid w:val="007C39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9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992"/>
    <w:rPr>
      <w:smallCaps/>
      <w:color w:val="auto"/>
      <w:u w:val="single"/>
    </w:rPr>
  </w:style>
  <w:style w:type="character" w:styleId="IntenseReference">
    <w:name w:val="Intense Reference"/>
    <w:basedOn w:val="DefaultParagraphFont"/>
    <w:uiPriority w:val="32"/>
    <w:qFormat/>
    <w:rsid w:val="007C3992"/>
    <w:rPr>
      <w:b/>
      <w:bCs/>
      <w:smallCaps/>
      <w:color w:val="auto"/>
      <w:spacing w:val="5"/>
      <w:u w:val="single"/>
    </w:rPr>
  </w:style>
  <w:style w:type="paragraph" w:customStyle="1" w:styleId="2ColumnHeading">
    <w:name w:val="2Column Heading"/>
    <w:basedOn w:val="BodyText"/>
    <w:qFormat/>
    <w:rsid w:val="007C3992"/>
    <w:pPr>
      <w:spacing w:after="60"/>
      <w:ind w:left="-2268"/>
    </w:pPr>
    <w:rPr>
      <w:b/>
    </w:rPr>
  </w:style>
  <w:style w:type="paragraph" w:customStyle="1" w:styleId="Heading1TOC">
    <w:name w:val="Heading1 TOC"/>
    <w:basedOn w:val="Normal"/>
    <w:qFormat/>
    <w:rsid w:val="007C3992"/>
    <w:pPr>
      <w:spacing w:before="240" w:after="120"/>
    </w:pPr>
    <w:rPr>
      <w:rFonts w:ascii="Times New Roman" w:hAnsi="Times New Roman"/>
      <w:b/>
      <w:sz w:val="32"/>
    </w:rPr>
  </w:style>
  <w:style w:type="paragraph" w:customStyle="1" w:styleId="Heading2TOC">
    <w:name w:val="Heading2 TOC"/>
    <w:basedOn w:val="Normal"/>
    <w:qFormat/>
    <w:rsid w:val="007C3992"/>
    <w:pPr>
      <w:spacing w:before="240" w:after="60"/>
    </w:pPr>
    <w:rPr>
      <w:rFonts w:ascii="Times New Roman" w:hAnsi="Times New Roman"/>
      <w:b/>
      <w:sz w:val="28"/>
    </w:rPr>
  </w:style>
  <w:style w:type="character" w:customStyle="1" w:styleId="Underline">
    <w:name w:val="Underline"/>
    <w:basedOn w:val="DefaultParagraphFont"/>
    <w:qFormat/>
    <w:rsid w:val="007C3992"/>
    <w:rPr>
      <w:u w:val="single"/>
    </w:rPr>
  </w:style>
  <w:style w:type="character" w:customStyle="1" w:styleId="BoldandItalics">
    <w:name w:val="Bold and Italics"/>
    <w:qFormat/>
    <w:rsid w:val="007C3992"/>
    <w:rPr>
      <w:b/>
      <w:i/>
      <w:u w:val="none"/>
    </w:rPr>
  </w:style>
  <w:style w:type="paragraph" w:styleId="BalloonText">
    <w:name w:val="Balloon Text"/>
    <w:basedOn w:val="Normal"/>
    <w:link w:val="BalloonTextChar"/>
    <w:rsid w:val="007C3992"/>
    <w:rPr>
      <w:rFonts w:ascii="Tahoma" w:hAnsi="Tahoma" w:cs="Tahoma"/>
      <w:sz w:val="16"/>
      <w:szCs w:val="16"/>
    </w:rPr>
  </w:style>
  <w:style w:type="character" w:customStyle="1" w:styleId="BalloonTextChar">
    <w:name w:val="Balloon Text Char"/>
    <w:basedOn w:val="DefaultParagraphFont"/>
    <w:link w:val="BalloonText"/>
    <w:rsid w:val="007C39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9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39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992"/>
    <w:rPr>
      <w:b/>
      <w:color w:val="660033"/>
      <w:spacing w:val="0"/>
    </w:rPr>
  </w:style>
  <w:style w:type="paragraph" w:customStyle="1" w:styleId="Nameditemlist">
    <w:name w:val="Named item list"/>
    <w:basedOn w:val="BodyText"/>
    <w:qFormat/>
    <w:rsid w:val="007C39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2434</Words>
  <Characters>14922</Characters>
  <Application>Microsoft Office Word</Application>
  <DocSecurity>0</DocSecurity>
  <Lines>616</Lines>
  <Paragraphs>232</Paragraphs>
  <ScaleCrop>false</ScaleCrop>
  <Company>Author-it Software Corporation Ltd.</Company>
  <LinksUpToDate>false</LinksUpToDate>
  <CharactersWithSpaces>17208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UEGNSG614A Load, unload, exchange and connect LPG cylinders</dc:title>
  <dc:subject>Approved</dc:subject>
  <dc:creator>E-Oz Training Standards</dc:creator>
  <cp:keywords>Release 1</cp:keywords>
  <dc:description>Review Date: 12 April 2008</dc:description>
  <cp:lastModifiedBy>TPCMS</cp:lastModifiedBy>
  <cp:revision>3</cp:revision>
  <dcterms:created xsi:type="dcterms:W3CDTF">2014-03-13T15:19:50Z</dcterms:created>
  <dcterms:modified xsi:type="dcterms:W3CDTF">2014-03-13T03:46:00Z</dcterms:modified>
</cp:coreProperties>
</file>