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9BD" w:rsidP="00E809BD">
      <w:pPr>
        <w:pStyle w:val="Title"/>
      </w:pPr>
      <w:r>
        <w:fldChar w:fldCharType="begin"/>
      </w:r>
      <w:r>
        <w:instrText xml:space="preserve"> TITLE   \* MERGEFORMAT </w:instrText>
      </w:r>
      <w:r>
        <w:fldChar w:fldCharType="separate"/>
      </w:r>
      <w:r>
        <w:t>UEGNSG609B Coordinate repair of faults in gas processing/storage facilities and equipment</w:t>
      </w:r>
      <w:r>
        <w:fldChar w:fldCharType="end"/>
      </w:r>
    </w:p>
    <w:p w:rsidR="00E809BD" w:rsidP="00E809BD">
      <w:pPr>
        <w:pStyle w:val="Version"/>
        <w:sectPr w:rsidSect="00F94C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CC0" w:rsidP="00F94CC0">
      <w:pPr>
        <w:pStyle w:val="SuperHeading"/>
      </w:pPr>
      <w:r w:rsidRPr="00F94CC0">
        <w:t>UEGNSG609B Coordinate repair of faults in gas processing/storage facilities and equipment</w:t>
      </w:r>
    </w:p>
    <w:p w:rsidR="00000000" w:rsidRPr="00F94CC0" w:rsidP="00F94CC0">
      <w:pPr>
        <w:pStyle w:val="Heading1"/>
      </w:pPr>
      <w:bookmarkStart w:id="1" w:name="O_403837"/>
      <w:bookmarkEnd w:id="1"/>
      <w:r w:rsidRPr="00F94CC0">
        <w:t>Modification History</w:t>
      </w:r>
    </w:p>
    <w:p w:rsidR="00000000" w:rsidRPr="00F94CC0" w:rsidP="00F94CC0">
      <w:pPr>
        <w:pStyle w:val="BodyText"/>
      </w:pPr>
      <w:r w:rsidRPr="00F94CC0">
        <w:t>Not applicable.</w:t>
      </w:r>
    </w:p>
    <w:p w:rsidR="00000000" w:rsidRPr="00F94CC0" w:rsidP="00F94CC0">
      <w:pPr>
        <w:pStyle w:val="AllowPageBreak"/>
      </w:pPr>
    </w:p>
    <w:p w:rsidR="00000000" w:rsidRPr="00F94CC0" w:rsidP="00F94CC0">
      <w:pPr>
        <w:pStyle w:val="Heading1"/>
      </w:pPr>
      <w:bookmarkStart w:id="2" w:name="O_403835"/>
      <w:bookmarkEnd w:id="2"/>
      <w:r w:rsidRPr="00F94CC0">
        <w:t>Unit Descriptor</w:t>
      </w:r>
    </w:p>
    <w:tbl>
      <w:tblPr>
        <w:tblW w:w="0" w:type="auto"/>
        <w:tblLayout w:type="fixed"/>
        <w:tblCellMar>
          <w:left w:w="62" w:type="dxa"/>
          <w:right w:w="62" w:type="dxa"/>
        </w:tblCellMar>
        <w:tblLook w:val="0000"/>
      </w:tblPr>
      <w:tblGrid>
        <w:gridCol w:w="2700"/>
        <w:gridCol w:w="5760"/>
      </w:tblGrid>
      <w:tr w:rsidTr="00E809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rPr>
                <w:rStyle w:val="SpecialBold"/>
              </w:rPr>
              <w:t>1)</w:t>
            </w:r>
            <w:r w:rsidRPr="00F94CC0">
              <w:t xml:space="preserve"> </w:t>
            </w:r>
          </w:p>
        </w:tc>
      </w:tr>
      <w:tr w:rsidTr="00E809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4CC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rPr>
                <w:rStyle w:val="SpecialBold"/>
              </w:rPr>
              <w:t>1.1) Descriptor</w:t>
            </w:r>
          </w:p>
        </w:tc>
      </w:tr>
      <w:tr w:rsidTr="00E809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t>This Competency Standard Unit covers the coordinating the repair of faults, which may occur during the processing, and storing of liquefied petroleum gas. The competency standard also refers to liaising with the appropriate persons; utilising the necessary</w:t>
            </w:r>
            <w:r w:rsidRPr="00F94CC0">
              <w:t xml:space="preserve"> materials; identifying the types of faults and providing the relevant documentation.</w:t>
            </w:r>
          </w:p>
        </w:tc>
      </w:tr>
    </w:tbl>
    <w:p w:rsidR="00000000" w:rsidRPr="00F94CC0" w:rsidP="00F94CC0">
      <w:pPr>
        <w:pStyle w:val="BodyText"/>
      </w:pPr>
    </w:p>
    <w:p w:rsidR="00000000" w:rsidRPr="00F94CC0" w:rsidP="00F94CC0">
      <w:pPr>
        <w:pStyle w:val="AllowPageBreak"/>
      </w:pPr>
    </w:p>
    <w:p w:rsidR="00000000" w:rsidRPr="00F94CC0" w:rsidP="00F94CC0">
      <w:pPr>
        <w:pStyle w:val="Heading1"/>
      </w:pPr>
      <w:bookmarkStart w:id="3" w:name="O_403824"/>
      <w:bookmarkEnd w:id="3"/>
      <w:r w:rsidRPr="00F94CC0">
        <w:t>Application of the Unit</w:t>
      </w:r>
    </w:p>
    <w:tbl>
      <w:tblPr>
        <w:tblW w:w="0" w:type="auto"/>
        <w:tblLayout w:type="fixed"/>
        <w:tblCellMar>
          <w:left w:w="62" w:type="dxa"/>
          <w:right w:w="62" w:type="dxa"/>
        </w:tblCellMar>
        <w:tblLook w:val="0000"/>
      </w:tblPr>
      <w:tblGrid>
        <w:gridCol w:w="2672"/>
        <w:gridCol w:w="5699"/>
      </w:tblGrid>
      <w:tr w:rsidTr="00E809B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rPr>
                <w:rStyle w:val="SpecialBold"/>
              </w:rPr>
              <w:t>2)</w:t>
            </w:r>
          </w:p>
        </w:tc>
      </w:tr>
      <w:tr w:rsidTr="00E809B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t>This competency standard shall apply to work sites where liquefied petroleum gas is transported.</w:t>
            </w:r>
          </w:p>
        </w:tc>
      </w:tr>
    </w:tbl>
    <w:p w:rsidR="00000000" w:rsidRPr="00F94CC0" w:rsidP="00F94CC0">
      <w:pPr>
        <w:pStyle w:val="BodyText"/>
      </w:pPr>
    </w:p>
    <w:p w:rsidR="00000000" w:rsidRPr="00F94CC0" w:rsidP="00F94CC0">
      <w:pPr>
        <w:pStyle w:val="AllowPageBreak"/>
      </w:pPr>
    </w:p>
    <w:p w:rsidR="00000000" w:rsidRPr="00F94CC0" w:rsidP="00F94CC0">
      <w:pPr>
        <w:pStyle w:val="Heading1"/>
      </w:pPr>
      <w:bookmarkStart w:id="4" w:name="O_403831"/>
      <w:bookmarkEnd w:id="4"/>
      <w:r w:rsidRPr="00F94CC0">
        <w:t>Licensing/Regulatory Information</w:t>
      </w:r>
    </w:p>
    <w:tbl>
      <w:tblPr>
        <w:tblW w:w="0" w:type="auto"/>
        <w:tblLayout w:type="fixed"/>
        <w:tblCellMar>
          <w:left w:w="62" w:type="dxa"/>
          <w:right w:w="62" w:type="dxa"/>
        </w:tblCellMar>
        <w:tblLook w:val="0000"/>
      </w:tblPr>
      <w:tblGrid>
        <w:gridCol w:w="2700"/>
        <w:gridCol w:w="5760"/>
      </w:tblGrid>
      <w:tr w:rsidTr="00E809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rPr>
                <w:rStyle w:val="SpecialBold"/>
              </w:rPr>
              <w:t xml:space="preserve">3) </w:t>
            </w:r>
          </w:p>
        </w:tc>
      </w:tr>
      <w:tr w:rsidTr="00E809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t>The skills and knowledge described in this unit are not subject to licence regulation other than those directly related to Occupational Health and Safety, gas/electricity/water in</w:t>
            </w:r>
            <w:r w:rsidRPr="00F94CC0">
              <w:t xml:space="preserve">dustry safety and compliance, industrial relations, environmental protection, telecommunications, anti discrimination and training. Commonwealth, State/Territory or Local Government legislation and regulations may exist that limits the age of </w:t>
            </w:r>
            <w:r w:rsidRPr="00F94CC0">
              <w:t>operating cer</w:t>
            </w:r>
            <w:r w:rsidRPr="00F94CC0">
              <w:t>tain equipment.</w:t>
            </w:r>
          </w:p>
        </w:tc>
      </w:tr>
    </w:tbl>
    <w:p w:rsidR="00000000" w:rsidRPr="00F94CC0" w:rsidP="00F94CC0">
      <w:pPr>
        <w:pStyle w:val="BodyText"/>
      </w:pPr>
    </w:p>
    <w:p w:rsidR="00000000" w:rsidRPr="00F94CC0" w:rsidP="00F94CC0">
      <w:pPr>
        <w:pStyle w:val="AllowPageBreak"/>
      </w:pPr>
    </w:p>
    <w:p w:rsidR="00000000" w:rsidRPr="00F94CC0" w:rsidP="00F94CC0">
      <w:pPr>
        <w:pStyle w:val="Heading1"/>
      </w:pPr>
      <w:bookmarkStart w:id="5" w:name="O_403832"/>
      <w:bookmarkEnd w:id="5"/>
      <w:r w:rsidRPr="00F94CC0">
        <w:t>Pre-Requisites</w:t>
      </w:r>
    </w:p>
    <w:tbl>
      <w:tblPr>
        <w:tblW w:w="0" w:type="auto"/>
        <w:tblLayout w:type="fixed"/>
        <w:tblCellMar>
          <w:left w:w="62" w:type="dxa"/>
          <w:right w:w="62" w:type="dxa"/>
        </w:tblCellMar>
        <w:tblLook w:val="0000"/>
      </w:tblPr>
      <w:tblGrid>
        <w:gridCol w:w="2700"/>
        <w:gridCol w:w="1800"/>
        <w:gridCol w:w="3960"/>
      </w:tblGrid>
      <w:tr w:rsidTr="00E809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rPr>
                <w:rStyle w:val="SpecialBold"/>
              </w:rPr>
              <w:t xml:space="preserve">4) </w:t>
            </w:r>
          </w:p>
        </w:tc>
      </w:tr>
      <w:tr w:rsidTr="00E809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rPr>
                <w:rStyle w:val="SpecialBold"/>
              </w:rPr>
              <w:t>4.1)</w:t>
            </w:r>
          </w:p>
        </w:tc>
      </w:tr>
      <w:tr w:rsidTr="00E809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Granting of competency in this unit shall be made only after competency in the following unit(s) has/have been confirmed:</w:t>
            </w:r>
          </w:p>
        </w:tc>
      </w:tr>
      <w:tr w:rsidTr="00E809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Nil</w:t>
            </w:r>
          </w:p>
        </w:tc>
        <w:tc>
          <w:tcPr>
            <w:tcW w:w="3960" w:type="dxa"/>
            <w:tcBorders>
              <w:top w:val="nil"/>
              <w:left w:val="nil"/>
              <w:bottom w:val="nil"/>
              <w:right w:val="nil"/>
            </w:tcBorders>
            <w:tcMar>
              <w:top w:w="0" w:type="dxa"/>
              <w:left w:w="62" w:type="dxa"/>
              <w:bottom w:w="0" w:type="dxa"/>
              <w:right w:w="62" w:type="dxa"/>
            </w:tcMar>
          </w:tcPr>
          <w:p w:rsidR="00000000" w:rsidRPr="00F94CC0" w:rsidP="00F94CC0">
            <w:pPr>
              <w:pStyle w:val="BodyText"/>
            </w:pPr>
          </w:p>
        </w:tc>
      </w:tr>
    </w:tbl>
    <w:p w:rsidR="00000000" w:rsidRPr="00F94CC0" w:rsidP="00F94CC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809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rPr>
                <w:rStyle w:val="SpecialBold"/>
              </w:rPr>
              <w:t xml:space="preserve">4.2) </w:t>
            </w:r>
          </w:p>
          <w:p w:rsidR="00000000" w:rsidP="00F94CC0">
            <w:pPr>
              <w:pStyle w:val="BodyText"/>
              <w:rPr>
                <w:lang w:val="en-NZ"/>
              </w:rPr>
            </w:pPr>
            <w:r w:rsidRPr="00F94CC0">
              <w:t>Participants are best equipped to achieve this unit if they have reading, writing and numeracy skills indicated by the following scales. Description of each scale is given in Volume 2, Part 3 ‘Literacy and Numeracy’</w:t>
            </w:r>
          </w:p>
        </w:tc>
      </w:tr>
      <w:tr w:rsidTr="00E809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Reading</w:t>
            </w:r>
          </w:p>
        </w:tc>
        <w:tc>
          <w:tcPr>
            <w:tcW w:w="81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3</w:t>
            </w:r>
          </w:p>
        </w:tc>
        <w:tc>
          <w:tcPr>
            <w:tcW w:w="99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Writing</w:t>
            </w: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3</w:t>
            </w:r>
          </w:p>
        </w:tc>
        <w:tc>
          <w:tcPr>
            <w:tcW w:w="12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Numeracy</w:t>
            </w:r>
          </w:p>
        </w:tc>
        <w:tc>
          <w:tcPr>
            <w:tcW w:w="72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t>3</w:t>
            </w:r>
          </w:p>
        </w:tc>
      </w:tr>
    </w:tbl>
    <w:p w:rsidR="00000000" w:rsidRPr="00F94CC0" w:rsidP="00F94CC0">
      <w:pPr>
        <w:pStyle w:val="BodyText"/>
      </w:pPr>
    </w:p>
    <w:p w:rsidR="00000000" w:rsidRPr="00F94CC0" w:rsidP="00F94CC0">
      <w:pPr>
        <w:pStyle w:val="AllowPageBreak"/>
      </w:pPr>
    </w:p>
    <w:p w:rsidR="00000000" w:rsidRPr="00F94CC0" w:rsidP="00F94CC0">
      <w:pPr>
        <w:pStyle w:val="Heading1"/>
      </w:pPr>
      <w:bookmarkStart w:id="6" w:name="O_403828"/>
      <w:bookmarkEnd w:id="6"/>
      <w:r w:rsidRPr="00F94CC0">
        <w:t>Employability Skills Information</w:t>
      </w:r>
    </w:p>
    <w:tbl>
      <w:tblPr>
        <w:tblW w:w="0" w:type="auto"/>
        <w:tblLayout w:type="fixed"/>
        <w:tblCellMar>
          <w:left w:w="62" w:type="dxa"/>
          <w:right w:w="62" w:type="dxa"/>
        </w:tblCellMar>
        <w:tblLook w:val="0000"/>
      </w:tblPr>
      <w:tblGrid>
        <w:gridCol w:w="2700"/>
        <w:gridCol w:w="5760"/>
      </w:tblGrid>
      <w:tr w:rsidTr="00E809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rPr>
                <w:rStyle w:val="SpecialBold"/>
              </w:rPr>
              <w:t xml:space="preserve">5) </w:t>
            </w:r>
          </w:p>
        </w:tc>
      </w:tr>
      <w:tr w:rsidTr="00E809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This unit contains Employability Skills</w:t>
            </w:r>
          </w:p>
        </w:tc>
      </w:tr>
      <w:tr w:rsidTr="00E809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94CC0">
              <w:t>requirements.</w:t>
            </w:r>
          </w:p>
        </w:tc>
      </w:tr>
    </w:tbl>
    <w:p w:rsidR="00000000" w:rsidRPr="00F94CC0" w:rsidP="00F94CC0">
      <w:pPr>
        <w:pStyle w:val="BodyText"/>
      </w:pPr>
    </w:p>
    <w:p w:rsidR="00000000" w:rsidRPr="00F94CC0" w:rsidP="00F94CC0">
      <w:pPr>
        <w:pStyle w:val="AllowPageBreak"/>
      </w:pPr>
    </w:p>
    <w:p w:rsidR="00000000" w:rsidRPr="00F94CC0" w:rsidP="00F94CC0">
      <w:pPr>
        <w:pStyle w:val="Heading1"/>
      </w:pPr>
      <w:bookmarkStart w:id="7" w:name="O_403827"/>
      <w:bookmarkEnd w:id="7"/>
      <w:r w:rsidRPr="00F94CC0">
        <w:t>Elements and Performance Criteria Pre-Content</w:t>
      </w:r>
    </w:p>
    <w:tbl>
      <w:tblPr>
        <w:tblW w:w="0" w:type="auto"/>
        <w:tblLayout w:type="fixed"/>
        <w:tblCellMar>
          <w:left w:w="62" w:type="dxa"/>
          <w:right w:w="62" w:type="dxa"/>
        </w:tblCellMar>
        <w:tblLook w:val="0000"/>
      </w:tblPr>
      <w:tblGrid>
        <w:gridCol w:w="2700"/>
        <w:gridCol w:w="5760"/>
      </w:tblGrid>
      <w:tr w:rsidTr="00E809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rPr>
                <w:rStyle w:val="SpecialBold"/>
              </w:rPr>
              <w:t>6)</w:t>
            </w:r>
            <w:r w:rsidRPr="00F94CC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t>Performance Criteria describe the required performance needed to demonstrate achievement of the element</w:t>
            </w:r>
            <w:r w:rsidRPr="00F94CC0">
              <w:t>. Assessment of performance is to be consistent with the Evidence Guide.</w:t>
            </w:r>
          </w:p>
        </w:tc>
      </w:tr>
    </w:tbl>
    <w:p w:rsidR="00000000" w:rsidRPr="00F94CC0" w:rsidP="00F94CC0">
      <w:pPr>
        <w:pStyle w:val="BodyText"/>
      </w:pPr>
    </w:p>
    <w:p w:rsidR="00000000" w:rsidRPr="00F94CC0" w:rsidP="00F94CC0">
      <w:pPr>
        <w:pStyle w:val="AllowPageBreak"/>
      </w:pPr>
    </w:p>
    <w:p w:rsidR="00000000" w:rsidRPr="00F94CC0" w:rsidP="00F94CC0">
      <w:pPr>
        <w:pStyle w:val="Heading1"/>
      </w:pPr>
      <w:bookmarkStart w:id="8" w:name="O_403826"/>
      <w:bookmarkEnd w:id="8"/>
      <w:r w:rsidRPr="00F94CC0">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E809B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rPr>
                <w:rStyle w:val="SpecialBold"/>
              </w:rPr>
              <w:t>PERFORMANCE CRITERIA</w:t>
            </w:r>
          </w:p>
        </w:tc>
      </w:tr>
      <w:tr w:rsidTr="00E809B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1</w:t>
            </w:r>
          </w:p>
        </w:tc>
        <w:tc>
          <w:tcPr>
            <w:tcW w:w="234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Plan and prepare to coordinate repairs</w:t>
            </w: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1.1</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Appropriate persons are consulted to ensure the work is coordinated effectively with others involved in the worksite against work schedule(s), including drawings, plans and established procedures</w:t>
            </w:r>
          </w:p>
        </w:tc>
      </w:tr>
      <w:tr w:rsidTr="00E809B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1.2</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Relevant requirements and established procedures for the work are communicated to all persons and identified for all work sites</w:t>
            </w:r>
          </w:p>
        </w:tc>
      </w:tr>
      <w:tr w:rsidTr="00E809B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1.3</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OHS, environmental and sustainable energy policies and procedures, related to coordinating the repair of faults in gas pr</w:t>
            </w:r>
            <w:r w:rsidRPr="00F94CC0">
              <w:t xml:space="preserve">ocessing/storage facilities and equipment, are obtained and confirmed for the purposes of the work performed and communicated </w:t>
            </w:r>
          </w:p>
        </w:tc>
      </w:tr>
      <w:tr w:rsidTr="00E809BD">
        <w:tblPrEx>
          <w:tblW w:w="0" w:type="auto"/>
          <w:tblLayout w:type="fixed"/>
          <w:tblCellMar>
            <w:left w:w="62" w:type="dxa"/>
            <w:right w:w="62" w:type="dxa"/>
          </w:tblCellMar>
          <w:tblLook w:val="0000"/>
        </w:tblPrEx>
        <w:trPr>
          <w:trHeight w:val="361"/>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1.4</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Work is prioritised and sequenced following consultation with others for completion within acceptable timeframes and in ac</w:t>
            </w:r>
            <w:r w:rsidRPr="00F94CC0">
              <w:t>cordance with established procedures</w:t>
            </w:r>
          </w:p>
        </w:tc>
      </w:tr>
      <w:tr w:rsidTr="00E809B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1.5</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Risk control measures for identified hazards are prioritised, implemented and monitored against the work schedule</w:t>
            </w:r>
          </w:p>
        </w:tc>
      </w:tr>
      <w:tr w:rsidTr="00E809B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1.6</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Relevant work permits are obtained to access, isolate/de-energise systems and perform work according to requirements and established procedures</w:t>
            </w:r>
          </w:p>
        </w:tc>
      </w:tr>
      <w:tr w:rsidTr="00E809B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1.7</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Resources including appropriately licensed persons, equipment, tools and personal protective equipment re</w:t>
            </w:r>
            <w:r w:rsidRPr="00F94CC0">
              <w:t>quired for the job are identified, scheduled and obtained and confirmed in working order</w:t>
            </w:r>
          </w:p>
        </w:tc>
      </w:tr>
      <w:tr w:rsidTr="00E809B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1.8</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Relevant persons at worksite are confirmed to be current in First Aid and other related work procedures according to requirements</w:t>
            </w:r>
          </w:p>
        </w:tc>
      </w:tr>
      <w:tr w:rsidTr="00E809B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1.9</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Liaison and communication issues with authorised persons, authorities, clients and land owners are resolved and activities coordinated to carry out work</w:t>
            </w:r>
          </w:p>
        </w:tc>
      </w:tr>
      <w:tr w:rsidTr="00E809B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1.10</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Site is prepared according to the work schedule and to minimise risk and damage to property, co</w:t>
            </w:r>
            <w:r w:rsidRPr="00F94CC0">
              <w:t>mmerce and individuals in accordance with established procedures</w:t>
            </w:r>
          </w:p>
        </w:tc>
      </w:tr>
      <w:tr w:rsidTr="00E809B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1.11</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Persons participating in the work, including plant operators and contractors are fully briefed and respective responsibilities confirmed where applicable in accordance with establishe</w:t>
            </w:r>
            <w:r w:rsidRPr="00F94CC0">
              <w:t xml:space="preserve">d procedures </w:t>
            </w:r>
          </w:p>
        </w:tc>
      </w:tr>
      <w:tr w:rsidTr="00E809B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2</w:t>
            </w:r>
          </w:p>
        </w:tc>
        <w:tc>
          <w:tcPr>
            <w:tcW w:w="234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Coordinate repair of faults in gas processing/storage facilities and equipment</w:t>
            </w: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2.1</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OHS policies and procedures and safe work practices are followed to eliminate or minimise incidents and hazards</w:t>
            </w:r>
          </w:p>
        </w:tc>
      </w:tr>
      <w:tr w:rsidTr="00E809B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2.2</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Lifting, climbing, working in confined spaces or aloft, and use of power tools, techniques and practices are safely followed and currency according to requirements confirmed</w:t>
            </w:r>
          </w:p>
        </w:tc>
      </w:tr>
      <w:tr w:rsidTr="00E809BD">
        <w:tblPrEx>
          <w:tblW w:w="0" w:type="auto"/>
          <w:tblLayout w:type="fixed"/>
          <w:tblCellMar>
            <w:left w:w="62" w:type="dxa"/>
            <w:right w:w="62" w:type="dxa"/>
          </w:tblCellMar>
          <w:tblLook w:val="0000"/>
        </w:tblPrEx>
        <w:trPr>
          <w:trHeight w:val="1325"/>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2.3</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Essential Knowledge and Associated Skills to coordinate repair of faults in</w:t>
            </w:r>
            <w:r w:rsidRPr="00F94CC0">
              <w:t xml:space="preserve"> gas processing/storage facilities and equipment to is applied  ensure completion in an agreed timeframe and to quality standards with a minimum of waste according to requirements</w:t>
            </w:r>
          </w:p>
        </w:tc>
      </w:tr>
      <w:tr w:rsidTr="00E809B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2.4</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Repair work and the replac</w:t>
            </w:r>
            <w:r w:rsidRPr="00F94CC0">
              <w:t xml:space="preserve">ement of faulty work equipment is monitored to ensure activities are carried out to standard operating procedures, permit to work, and minimal impact occurs on existing operations and environment </w:t>
            </w:r>
          </w:p>
        </w:tc>
      </w:tr>
      <w:tr w:rsidTr="00E809B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2.5</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 xml:space="preserve">Hazard warnings and safety signs are recognised and </w:t>
            </w:r>
            <w:r w:rsidRPr="00F94CC0">
              <w:t>hazards and assessed OHS risks are reported to the immediate authorised persons for directions according to established procedures</w:t>
            </w:r>
          </w:p>
        </w:tc>
      </w:tr>
      <w:tr w:rsidTr="00E809BD">
        <w:tblPrEx>
          <w:tblW w:w="0" w:type="auto"/>
          <w:tblLayout w:type="fixed"/>
          <w:tblCellMar>
            <w:left w:w="62" w:type="dxa"/>
            <w:right w:w="62" w:type="dxa"/>
          </w:tblCellMar>
          <w:tblLook w:val="0000"/>
        </w:tblPrEx>
        <w:trPr>
          <w:trHeight w:val="843"/>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2.6</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Unplanned events in the coordination and repair of faults in gas processing/storage facilities and equipment are under</w:t>
            </w:r>
            <w:r w:rsidRPr="00F94CC0">
              <w:t xml:space="preserve">taken with the scope of established procedures </w:t>
            </w:r>
          </w:p>
        </w:tc>
      </w:tr>
      <w:tr w:rsidTr="00E809B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2.7</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Known solutions to a variety of problems are applied using Essential Knowledge and Associated Skills</w:t>
            </w:r>
          </w:p>
        </w:tc>
      </w:tr>
      <w:tr w:rsidTr="00E809B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2.8</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Ongoing checks of q</w:t>
            </w:r>
            <w:r w:rsidRPr="00F94CC0">
              <w:t>uality of the work are undertaken in accordance with given instructions and established procedures</w:t>
            </w:r>
          </w:p>
        </w:tc>
      </w:tr>
      <w:tr w:rsidTr="00E809B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3</w:t>
            </w:r>
          </w:p>
        </w:tc>
        <w:tc>
          <w:tcPr>
            <w:tcW w:w="234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 xml:space="preserve">Recommission systems and equipment </w:t>
            </w: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3.1</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 xml:space="preserve">Systems are monitored or activated to ensure they are operating both safely and effectively and permit to work is </w:t>
            </w:r>
            <w:r w:rsidRPr="00F94CC0">
              <w:t>closed out and the system is restored to normal operation</w:t>
            </w:r>
          </w:p>
        </w:tc>
      </w:tr>
      <w:tr w:rsidTr="00E809BD">
        <w:tblPrEx>
          <w:tblW w:w="0" w:type="auto"/>
          <w:tblLayout w:type="fixed"/>
          <w:tblCellMar>
            <w:left w:w="62" w:type="dxa"/>
            <w:right w:w="62" w:type="dxa"/>
          </w:tblCellMar>
          <w:tblLook w:val="0000"/>
        </w:tblPrEx>
        <w:trPr>
          <w:trHeight w:val="602"/>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3.2</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Accidents and injuries are reported in accordance with established procedures where applicable</w:t>
            </w:r>
          </w:p>
        </w:tc>
      </w:tr>
      <w:tr w:rsidTr="00E809B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3.3</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Work site is rehabilitated, cleaned up and made safe in accordance with given instructions and established procedures</w:t>
            </w:r>
          </w:p>
        </w:tc>
      </w:tr>
      <w:tr w:rsidTr="00E809B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3.4</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Tools, equipment and any surplus resources and materials are, where appropriate, cleaned, checked and returned to storage in accord</w:t>
            </w:r>
            <w:r w:rsidRPr="00F94CC0">
              <w:t>ance with established procedures</w:t>
            </w:r>
          </w:p>
        </w:tc>
      </w:tr>
      <w:tr w:rsidTr="00E809B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3.5</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Relevant work permit(s) are signed off and equipment is returned to service in accordance with requirements</w:t>
            </w:r>
          </w:p>
        </w:tc>
      </w:tr>
      <w:tr w:rsidTr="00E809B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3.6</w:t>
            </w:r>
          </w:p>
        </w:tc>
        <w:tc>
          <w:tcPr>
            <w:tcW w:w="48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Repaired and installed equipment is brought back on line in accordance with standard operating procedures</w:t>
            </w:r>
          </w:p>
        </w:tc>
      </w:tr>
      <w:tr w:rsidTr="00E809B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3.7</w:t>
            </w:r>
          </w:p>
        </w:tc>
        <w:tc>
          <w:tcPr>
            <w:tcW w:w="486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t>Work completion records, reports as installed and modified, drawings and documentation and information are finalised and processed and appropri</w:t>
            </w:r>
            <w:r w:rsidRPr="00F94CC0">
              <w:t>ate persons notified</w:t>
            </w:r>
          </w:p>
        </w:tc>
      </w:tr>
    </w:tbl>
    <w:p w:rsidR="00000000" w:rsidRPr="00F94CC0" w:rsidP="00F94CC0">
      <w:pPr>
        <w:pStyle w:val="BodyText"/>
      </w:pPr>
    </w:p>
    <w:p w:rsidR="00000000" w:rsidRPr="00F94CC0" w:rsidP="00F94CC0">
      <w:pPr>
        <w:pStyle w:val="AllowPageBreak"/>
      </w:pPr>
    </w:p>
    <w:p w:rsidR="00000000" w:rsidRPr="00F94CC0" w:rsidP="00F94CC0">
      <w:pPr>
        <w:pStyle w:val="Heading1"/>
      </w:pPr>
      <w:bookmarkStart w:id="9" w:name="O_403834"/>
      <w:bookmarkEnd w:id="9"/>
      <w:r w:rsidRPr="00F94CC0">
        <w:t>Required Skills and Knowledge</w:t>
      </w:r>
    </w:p>
    <w:tbl>
      <w:tblPr>
        <w:tblW w:w="0" w:type="auto"/>
        <w:tblLayout w:type="fixed"/>
        <w:tblCellMar>
          <w:left w:w="62" w:type="dxa"/>
          <w:right w:w="62" w:type="dxa"/>
        </w:tblCellMar>
        <w:tblLook w:val="0000"/>
      </w:tblPr>
      <w:tblGrid>
        <w:gridCol w:w="8460"/>
      </w:tblGrid>
      <w:tr w:rsidTr="00E809B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rPr>
                <w:rStyle w:val="SpecialBold"/>
              </w:rPr>
              <w:t>REQUIRED SKILLS AND KNOWLEDGE</w:t>
            </w:r>
          </w:p>
        </w:tc>
      </w:tr>
      <w:tr w:rsidTr="00E809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rPr>
                <w:rStyle w:val="SpecialBold"/>
              </w:rPr>
              <w:t>8)</w:t>
            </w:r>
            <w:r w:rsidRPr="00F94CC0">
              <w:t xml:space="preserve"> This describes the essential skills and knowledge and their level, required for this unit.</w:t>
            </w:r>
          </w:p>
        </w:tc>
      </w:tr>
      <w:tr w:rsidTr="00E809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Evidence shall show that knowledge has been acquired of safe working practices for coordinating the repair of faults in gas processing/storage facilities and equipment.</w:t>
            </w:r>
          </w:p>
        </w:tc>
      </w:tr>
      <w:tr w:rsidTr="00E809BD">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t>All knowledge and skills detailed in this unit should be contextualised to current ind</w:t>
            </w:r>
            <w:r w:rsidRPr="00F94CC0">
              <w:t>ustry practices and technologies.</w:t>
            </w:r>
          </w:p>
        </w:tc>
      </w:tr>
    </w:tbl>
    <w:p w:rsidR="00000000" w:rsidRPr="00F94CC0" w:rsidP="00F94CC0">
      <w:pPr>
        <w:pStyle w:val="BodyText"/>
      </w:pPr>
    </w:p>
    <w:tbl>
      <w:tblPr>
        <w:tblW w:w="0" w:type="auto"/>
        <w:tblLayout w:type="fixed"/>
        <w:tblCellMar>
          <w:left w:w="62" w:type="dxa"/>
          <w:right w:w="62" w:type="dxa"/>
        </w:tblCellMar>
        <w:tblLook w:val="0000"/>
      </w:tblPr>
      <w:tblGrid>
        <w:gridCol w:w="1440"/>
        <w:gridCol w:w="990"/>
        <w:gridCol w:w="6030"/>
      </w:tblGrid>
      <w:tr w:rsidTr="00E809BD">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rPr>
                <w:rStyle w:val="SpecialBold"/>
              </w:rPr>
              <w:t>KS01-G609B</w:t>
            </w:r>
          </w:p>
        </w:tc>
        <w:tc>
          <w:tcPr>
            <w:tcW w:w="7020" w:type="dxa"/>
            <w:gridSpan w:val="2"/>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rPr>
                <w:rStyle w:val="SpecialBold"/>
              </w:rPr>
              <w:t>Storage facility and equipment repair</w:t>
            </w:r>
          </w:p>
        </w:tc>
      </w:tr>
      <w:tr w:rsidTr="00E809B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G 3.6.1</w:t>
            </w:r>
          </w:p>
        </w:tc>
        <w:tc>
          <w:tcPr>
            <w:tcW w:w="603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t>Working safely in an LPG environment</w:t>
            </w:r>
          </w:p>
          <w:p w:rsidR="00000000" w:rsidRPr="00F94CC0" w:rsidP="00F94CC0">
            <w:pPr>
              <w:pStyle w:val="BodyText"/>
            </w:pPr>
            <w:r w:rsidRPr="00F94CC0">
              <w:t>Evidence shall show an understanding of the requirements to work safely in an LPG environment, indicated by the following:</w:t>
            </w:r>
          </w:p>
          <w:p w:rsidR="00000000" w:rsidRPr="00F94CC0" w:rsidP="00F94CC0">
            <w:pPr>
              <w:pStyle w:val="ListBullet"/>
            </w:pPr>
            <w:r w:rsidRPr="00F94CC0">
              <w:t>working safely in accordance with procedures, OHS, emergency and environmental requirements</w:t>
            </w:r>
          </w:p>
          <w:p w:rsidR="00000000" w:rsidRPr="00F94CC0" w:rsidP="00F94CC0">
            <w:pPr>
              <w:pStyle w:val="ListBullet"/>
            </w:pPr>
            <w:r w:rsidRPr="00F94CC0">
              <w:t>awareness of the properties of LPG</w:t>
            </w:r>
          </w:p>
          <w:p w:rsidR="00000000" w:rsidP="00F94CC0">
            <w:pPr>
              <w:pStyle w:val="ListBullet"/>
              <w:rPr>
                <w:lang w:val="en-NZ"/>
              </w:rPr>
            </w:pPr>
            <w:r w:rsidRPr="00F94CC0">
              <w:t>identifying variations and irregularities.</w:t>
            </w:r>
          </w:p>
        </w:tc>
      </w:tr>
      <w:tr w:rsidTr="00E809B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G 3.6.2</w:t>
            </w:r>
          </w:p>
        </w:tc>
        <w:tc>
          <w:tcPr>
            <w:tcW w:w="603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t>Understanding the correct use of plant and equipment in an LPG environment</w:t>
            </w:r>
          </w:p>
          <w:p w:rsidR="00000000" w:rsidRPr="00F94CC0" w:rsidP="00F94CC0">
            <w:pPr>
              <w:pStyle w:val="BodyText"/>
            </w:pPr>
            <w:r w:rsidRPr="00F94CC0">
              <w:t>Evidence shall show an understanding of the requirements to correctly use plant and equipment in an LPG environment, indicated by the following:</w:t>
            </w:r>
          </w:p>
          <w:p w:rsidR="00000000" w:rsidRPr="00F94CC0" w:rsidP="00F94CC0">
            <w:pPr>
              <w:pStyle w:val="ListBullet"/>
            </w:pPr>
            <w:r w:rsidRPr="00F94CC0">
              <w:t>operate transfer equipment including compressors or pumps</w:t>
            </w:r>
          </w:p>
          <w:p w:rsidR="00000000" w:rsidRPr="00F94CC0" w:rsidP="00F94CC0">
            <w:pPr>
              <w:pStyle w:val="ListBullet"/>
            </w:pPr>
            <w:r w:rsidRPr="00F94CC0">
              <w:t>transfer methods for pipes and hoses</w:t>
            </w:r>
          </w:p>
          <w:p w:rsidR="00000000" w:rsidRPr="00F94CC0" w:rsidP="00F94CC0">
            <w:pPr>
              <w:pStyle w:val="ListBullet"/>
            </w:pPr>
            <w:r w:rsidRPr="00F94CC0">
              <w:t>selection, test</w:t>
            </w:r>
            <w:r w:rsidRPr="00F94CC0">
              <w:t>ing and set up processes for transfer equipment</w:t>
            </w:r>
          </w:p>
          <w:p w:rsidR="00000000" w:rsidRPr="00F94CC0" w:rsidP="00F94CC0">
            <w:pPr>
              <w:pStyle w:val="ListBullet"/>
            </w:pPr>
            <w:r w:rsidRPr="00F94CC0">
              <w:t>making analytical judgements for appropriate adjustments to plant and equipment</w:t>
            </w:r>
          </w:p>
          <w:p w:rsidR="00000000" w:rsidRPr="00F94CC0" w:rsidP="00F94CC0">
            <w:pPr>
              <w:pStyle w:val="ListBullet"/>
            </w:pPr>
            <w:r w:rsidRPr="00F94CC0">
              <w:t>awareness of test equipment and its uses</w:t>
            </w:r>
          </w:p>
          <w:p w:rsidR="00000000" w:rsidRPr="00F94CC0" w:rsidP="00F94CC0">
            <w:pPr>
              <w:pStyle w:val="ListBullet"/>
            </w:pPr>
            <w:r w:rsidRPr="00F94CC0">
              <w:t>operation, testing and inspecting equipment that includes pressure vessels and associat</w:t>
            </w:r>
            <w:r w:rsidRPr="00F94CC0">
              <w:t>ed fitting</w:t>
            </w:r>
          </w:p>
          <w:p w:rsidR="00000000" w:rsidRPr="00F94CC0" w:rsidP="00F94CC0">
            <w:pPr>
              <w:pStyle w:val="ListBullet"/>
            </w:pPr>
            <w:r w:rsidRPr="00F94CC0">
              <w:t>understanding manufacturer's specifications to make adjustments to parts where appropriate</w:t>
            </w:r>
          </w:p>
          <w:p w:rsidR="00000000" w:rsidRPr="00F94CC0" w:rsidP="00F94CC0">
            <w:pPr>
              <w:pStyle w:val="ListBullet"/>
            </w:pPr>
            <w:r w:rsidRPr="00F94CC0">
              <w:t>understanding of how to select appropriate equipment for tasks associated with LPG</w:t>
            </w:r>
          </w:p>
          <w:p w:rsidR="00000000" w:rsidRPr="00F94CC0" w:rsidP="00F94CC0">
            <w:pPr>
              <w:pStyle w:val="ListBullet"/>
            </w:pPr>
            <w:r w:rsidRPr="00F94CC0">
              <w:t>operating correctly gas analysis equipment</w:t>
            </w:r>
          </w:p>
          <w:p w:rsidR="00000000" w:rsidP="00F94CC0">
            <w:pPr>
              <w:pStyle w:val="ListBullet"/>
              <w:rPr>
                <w:lang w:val="en-NZ"/>
              </w:rPr>
            </w:pPr>
            <w:r w:rsidRPr="00F94CC0">
              <w:t>operating correctly gas alar</w:t>
            </w:r>
            <w:r w:rsidRPr="00F94CC0">
              <w:t>m and communication equipment.</w:t>
            </w:r>
          </w:p>
        </w:tc>
      </w:tr>
      <w:tr w:rsidTr="00E809B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G 3.6.4</w:t>
            </w:r>
          </w:p>
        </w:tc>
        <w:tc>
          <w:tcPr>
            <w:tcW w:w="603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t>LPG communication including the recording of LPG information</w:t>
            </w:r>
          </w:p>
          <w:p w:rsidR="00000000" w:rsidRPr="00F94CC0" w:rsidP="00F94CC0">
            <w:pPr>
              <w:pStyle w:val="BodyText"/>
            </w:pPr>
            <w:r w:rsidRPr="00F94CC0">
              <w:t>Evidence shall show an understanding of the requirements to communicate and record information in an LPG environment, indicated by the following:</w:t>
            </w:r>
          </w:p>
          <w:p w:rsidR="00000000" w:rsidRPr="00F94CC0" w:rsidP="00F94CC0">
            <w:pPr>
              <w:pStyle w:val="ListBullet"/>
            </w:pPr>
            <w:r w:rsidRPr="00F94CC0">
              <w:t>accurately recording LPG information</w:t>
            </w:r>
          </w:p>
          <w:p w:rsidR="00000000" w:rsidRPr="00F94CC0" w:rsidP="00F94CC0">
            <w:pPr>
              <w:pStyle w:val="ListBullet"/>
            </w:pPr>
            <w:r w:rsidRPr="00F94CC0">
              <w:t>recording and reporting corrective actions in an LPG environment</w:t>
            </w:r>
          </w:p>
          <w:p w:rsidR="00000000" w:rsidRPr="00F94CC0" w:rsidP="00F94CC0">
            <w:pPr>
              <w:pStyle w:val="ListBullet"/>
            </w:pPr>
            <w:r w:rsidRPr="00F94CC0">
              <w:t>identifying and reporting any problems associated with transfer processes and procedures</w:t>
            </w:r>
          </w:p>
          <w:p w:rsidR="00000000" w:rsidRPr="00F94CC0" w:rsidP="00F94CC0">
            <w:pPr>
              <w:pStyle w:val="ListBullet"/>
            </w:pPr>
            <w:r w:rsidRPr="00F94CC0">
              <w:t>communicating in an LPG environment</w:t>
            </w:r>
          </w:p>
          <w:p w:rsidR="00000000" w:rsidRPr="00F94CC0" w:rsidP="00F94CC0">
            <w:pPr>
              <w:pStyle w:val="ListBullet"/>
            </w:pPr>
            <w:r w:rsidRPr="00F94CC0">
              <w:t>understanding of permit to wo</w:t>
            </w:r>
            <w:r w:rsidRPr="00F94CC0">
              <w:t>rk systems for an LPG environment.</w:t>
            </w:r>
          </w:p>
        </w:tc>
      </w:tr>
    </w:tbl>
    <w:p w:rsidR="00E809BD" w:rsidP="00F94CC0">
      <w:pPr>
        <w:pStyle w:val="BodyText"/>
      </w:pPr>
    </w:p>
    <w:p w:rsidR="00E809BD" w:rsidP="00F94CC0">
      <w:pPr>
        <w:pStyle w:val="BodyText"/>
      </w:pPr>
    </w:p>
    <w:p w:rsidR="00000000" w:rsidRPr="00F94CC0" w:rsidP="00F94CC0">
      <w:pPr>
        <w:pStyle w:val="Heading1"/>
      </w:pPr>
      <w:bookmarkStart w:id="10" w:name="O_403829"/>
      <w:bookmarkEnd w:id="10"/>
      <w:r w:rsidRPr="00F94CC0">
        <w:t>Evidence Guide</w:t>
      </w:r>
    </w:p>
    <w:tbl>
      <w:tblPr>
        <w:tblW w:w="0" w:type="auto"/>
        <w:tblLayout w:type="fixed"/>
        <w:tblCellMar>
          <w:left w:w="62" w:type="dxa"/>
          <w:right w:w="62" w:type="dxa"/>
        </w:tblCellMar>
        <w:tblLook w:val="0000"/>
      </w:tblPr>
      <w:tblGrid>
        <w:gridCol w:w="8460"/>
      </w:tblGrid>
      <w:tr w:rsidTr="00E809B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rPr>
                <w:rStyle w:val="SpecialBold"/>
              </w:rPr>
              <w:t>EVIDENCE GUIDE</w:t>
            </w:r>
          </w:p>
        </w:tc>
      </w:tr>
      <w:tr w:rsidTr="00E809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rPr>
                <w:rStyle w:val="SpecialBold"/>
              </w:rPr>
              <w:t>9)</w:t>
            </w:r>
            <w:r w:rsidRPr="00F94CC0">
              <w:t xml:space="preserve"> The Evidence Guide forms an integral part of this Competency Standard Unit and shall be used in conjunction </w:t>
            </w:r>
            <w:r w:rsidRPr="00F94CC0">
              <w:t>with all components parts of this unit and performed in accordance with the Assessment Guidelines of this Training Package.</w:t>
            </w:r>
          </w:p>
        </w:tc>
      </w:tr>
    </w:tbl>
    <w:p w:rsidR="00000000" w:rsidRPr="00F94CC0" w:rsidP="00F94CC0">
      <w:pPr>
        <w:pStyle w:val="BodyText"/>
      </w:pPr>
    </w:p>
    <w:tbl>
      <w:tblPr>
        <w:tblW w:w="0" w:type="auto"/>
        <w:tblLayout w:type="fixed"/>
        <w:tblCellMar>
          <w:left w:w="62" w:type="dxa"/>
          <w:right w:w="62" w:type="dxa"/>
        </w:tblCellMar>
        <w:tblLook w:val="0000"/>
      </w:tblPr>
      <w:tblGrid>
        <w:gridCol w:w="1890"/>
        <w:gridCol w:w="6570"/>
      </w:tblGrid>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rPr>
                <w:rStyle w:val="SpecialBold"/>
              </w:rPr>
              <w:t>9.1)</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Longitudinal competency development approaches to assessment, such as Profiling, require data to be reliably gathered in a form that can be consistently interpreted over time. This approach is best utilised in Apprenticeship programs and reduces assessment</w:t>
            </w:r>
            <w:r w:rsidRPr="00F94CC0">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94CC0">
              <w:t>tency in a realistically simulated work environment. It is recognised that, in some circumstances, assessment in part or full can occur outside the workplace. However, it must be in accord with Industry and Regulatory policy in this regard.</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Methods chose</w:t>
            </w:r>
            <w:r w:rsidRPr="00F94CC0">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F94CC0">
              <w:t>required and the critical nature of the competencies being assessed.</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The critical safety nature of working with electricity, electrical equipment, gas or any other hazardous substance/material carries risk in deeming a person competent. Hence, sources of</w:t>
            </w:r>
            <w:r w:rsidRPr="00F94CC0">
              <w:t xml:space="preserve"> evidence need to be ‘rich’ in nature so as to minimise error in judgment.</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t>Activities associated with normal every day work have a bearing on the decision as to how much and how detailed the data gathered will contribute to its ‘richness’. Some skills ar</w:t>
            </w:r>
            <w:r w:rsidRPr="00F94CC0">
              <w:t>e more critical to safety and operational requirements while the same skills may be more or less frequently practiced. These points are raised for the assessors to consider when choosing an assessment method and developing assessment instruments. Sample as</w:t>
            </w:r>
            <w:r w:rsidRPr="00F94CC0">
              <w:t>sessment instruments are included for Assessors in the Assessment Guidelines of this Training Package.</w:t>
            </w:r>
          </w:p>
        </w:tc>
      </w:tr>
    </w:tbl>
    <w:p w:rsidR="00000000" w:rsidRPr="00F94CC0" w:rsidP="00F94CC0">
      <w:pPr>
        <w:pStyle w:val="BodyText"/>
      </w:pPr>
    </w:p>
    <w:tbl>
      <w:tblPr>
        <w:tblW w:w="0" w:type="auto"/>
        <w:tblLayout w:type="fixed"/>
        <w:tblCellMar>
          <w:left w:w="62" w:type="dxa"/>
          <w:right w:w="62" w:type="dxa"/>
        </w:tblCellMar>
        <w:tblLook w:val="0000"/>
      </w:tblPr>
      <w:tblGrid>
        <w:gridCol w:w="1890"/>
        <w:gridCol w:w="6570"/>
      </w:tblGrid>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rPr>
                <w:rStyle w:val="SpecialBold"/>
              </w:rPr>
              <w:t>9.2)</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Before the critical aspects of evidence are considered all prerequi</w:t>
            </w:r>
            <w:r w:rsidRPr="00F94CC0">
              <w:t>sites shall be met.</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Evidence for competence in this unit shall be considered holistically. Each element and associated Performance Criteria shall be demonstrated on at least two occasions in accordance with the ‘Assessment Guidelines — UEG11’. Evidence s</w:t>
            </w:r>
            <w:r w:rsidRPr="00F94CC0">
              <w:t>hall also comprise:</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94CC0">
            <w:pPr>
              <w:pStyle w:val="ListBullet"/>
              <w:rPr>
                <w:lang w:val="en-NZ"/>
              </w:rPr>
            </w:pPr>
            <w:r w:rsidRPr="00F94CC0">
              <w:t>A representative body of work performance demonstrated within the timeframes typically expected of the discipline, work function and industrial environment. In particular t</w:t>
            </w:r>
            <w:r w:rsidRPr="00F94CC0">
              <w:t>his shall incorporate evidence that shows a candidate is able to:</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94CC0">
            <w:pPr>
              <w:pStyle w:val="ListBullet2"/>
              <w:rPr>
                <w:lang w:val="en-NZ"/>
              </w:rPr>
            </w:pPr>
            <w:r w:rsidRPr="00F94CC0">
              <w:t>Implement Occupational Health and Safety workplace procedures and practices including the use of risk control measures as specified in the Performance Criteria and range</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94CC0">
            <w:pPr>
              <w:pStyle w:val="ListBullet2"/>
              <w:rPr>
                <w:lang w:val="en-NZ"/>
              </w:rPr>
            </w:pPr>
            <w:r w:rsidRPr="00F94CC0">
              <w:t>Apply sustainable energy principles and practices as specified in the Performance Criteria and range</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94CC0">
            <w:pPr>
              <w:pStyle w:val="ListBullet2"/>
              <w:rPr>
                <w:lang w:val="en-NZ"/>
              </w:rPr>
            </w:pPr>
            <w:r w:rsidRPr="00F94CC0">
              <w:t>Demonstrate an understanding of the essential knowledge and associated skills as described in this unit to such an extent that the learner’s performance</w:t>
            </w:r>
            <w:r w:rsidRPr="00F94CC0">
              <w:t xml:space="preserve"> outcome is reported in accordance with the preferred approach; namely a percentile graded result, where required by the regulated environment</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94CC0">
            <w:pPr>
              <w:pStyle w:val="ListBullet2"/>
              <w:rPr>
                <w:lang w:val="en-NZ"/>
              </w:rPr>
            </w:pPr>
            <w:r w:rsidRPr="00F94CC0">
              <w:t>Demonstrate an appropriate level of employability skills</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94CC0">
            <w:pPr>
              <w:pStyle w:val="ListBullet2"/>
              <w:rPr>
                <w:lang w:val="en-NZ"/>
              </w:rPr>
            </w:pPr>
            <w:r w:rsidRPr="00F94CC0">
              <w:t>Conduct work observing the relevant Anti discrimin</w:t>
            </w:r>
            <w:r w:rsidRPr="00F94CC0">
              <w:t>ation legislation, regulations, polices and workplace procedures</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F94CC0" w:rsidP="00F94CC0">
            <w:pPr>
              <w:pStyle w:val="ListBullet"/>
            </w:pPr>
            <w:r w:rsidRPr="00F94CC0">
              <w:t>Demonstrate performance across a representative range of contexts from the prescribed items below.</w:t>
            </w:r>
          </w:p>
        </w:tc>
      </w:tr>
    </w:tbl>
    <w:p w:rsidR="00000000" w:rsidRPr="00F94CC0" w:rsidP="00F94CC0">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E809BD">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F94CC0">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CC0">
            <w:pPr>
              <w:pStyle w:val="BodyText"/>
              <w:rPr>
                <w:lang w:val="en-NZ"/>
              </w:rPr>
            </w:pPr>
            <w:r w:rsidRPr="00F94CC0">
              <w:rPr>
                <w:rStyle w:val="SpecialBold"/>
              </w:rPr>
              <w:t>Range of tools/equipment/procedures/workplace</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F94CC0">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CC0" w:rsidP="00F94CC0">
            <w:pPr>
              <w:pStyle w:val="BodyText"/>
            </w:pPr>
            <w:r w:rsidRPr="00F94CC0">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CC0" w:rsidP="00F94CC0">
            <w:pPr>
              <w:pStyle w:val="BodyText"/>
            </w:pPr>
            <w:r w:rsidRPr="00F94CC0">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CC0">
            <w:pPr>
              <w:pStyle w:val="BodyText"/>
              <w:rPr>
                <w:lang w:val="en-NZ"/>
              </w:rPr>
            </w:pPr>
            <w:r w:rsidRPr="00F94CC0">
              <w:rPr>
                <w:rStyle w:val="SpecialBold"/>
              </w:rPr>
              <w:t>Item List</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CC0">
            <w:pPr>
              <w:pStyle w:val="BodyText"/>
              <w:rPr>
                <w:lang w:val="en-NZ"/>
              </w:rPr>
            </w:pPr>
            <w:r w:rsidRPr="00F94CC0">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CC0">
            <w:pPr>
              <w:pStyle w:val="BodyText"/>
              <w:rPr>
                <w:lang w:val="en-NZ"/>
              </w:rPr>
            </w:pPr>
            <w:r w:rsidRPr="00F94CC0">
              <w:t>At least 7</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CC0" w:rsidP="00F94CC0">
            <w:pPr>
              <w:pStyle w:val="BodyText"/>
            </w:pPr>
            <w:r w:rsidRPr="00F94CC0">
              <w:t>Gas detectors</w:t>
            </w:r>
          </w:p>
          <w:p w:rsidR="00000000" w:rsidRPr="00F94CC0" w:rsidP="00F94CC0">
            <w:pPr>
              <w:pStyle w:val="BodyText"/>
            </w:pPr>
            <w:r w:rsidRPr="00F94CC0">
              <w:t>Purging gas</w:t>
            </w:r>
          </w:p>
          <w:p w:rsidR="00000000" w:rsidRPr="00F94CC0" w:rsidP="00F94CC0">
            <w:pPr>
              <w:pStyle w:val="BodyText"/>
            </w:pPr>
            <w:r w:rsidRPr="00F94CC0">
              <w:t>Hand tools</w:t>
            </w:r>
          </w:p>
          <w:p w:rsidR="00000000" w:rsidRPr="00F94CC0" w:rsidP="00F94CC0">
            <w:pPr>
              <w:pStyle w:val="BodyText"/>
            </w:pPr>
            <w:r w:rsidRPr="00F94CC0">
              <w:t>LPG hoses</w:t>
            </w:r>
          </w:p>
          <w:p w:rsidR="00000000" w:rsidRPr="00F94CC0" w:rsidP="00F94CC0">
            <w:pPr>
              <w:pStyle w:val="BodyText"/>
            </w:pPr>
            <w:r w:rsidRPr="00F94CC0">
              <w:t>Flare</w:t>
            </w:r>
          </w:p>
          <w:p w:rsidR="00000000" w:rsidRPr="00F94CC0" w:rsidP="00F94CC0">
            <w:pPr>
              <w:pStyle w:val="BodyText"/>
            </w:pPr>
            <w:r w:rsidRPr="00F94CC0">
              <w:t>Valves</w:t>
            </w:r>
          </w:p>
          <w:p w:rsidR="00000000" w:rsidRPr="00F94CC0" w:rsidP="00F94CC0">
            <w:pPr>
              <w:pStyle w:val="BodyText"/>
            </w:pPr>
            <w:r w:rsidRPr="00F94CC0">
              <w:t>Compressor</w:t>
            </w:r>
          </w:p>
          <w:p w:rsidR="00000000" w:rsidRPr="00F94CC0" w:rsidP="00F94CC0">
            <w:pPr>
              <w:pStyle w:val="BodyText"/>
            </w:pPr>
            <w:r w:rsidRPr="00F94CC0">
              <w:t>Vessels</w:t>
            </w:r>
          </w:p>
          <w:p w:rsidR="00000000" w:rsidRPr="00F94CC0" w:rsidP="00F94CC0">
            <w:pPr>
              <w:pStyle w:val="BodyText"/>
            </w:pPr>
            <w:r w:rsidRPr="00F94CC0">
              <w:t>Pump</w:t>
            </w:r>
          </w:p>
          <w:p w:rsidR="00000000" w:rsidRPr="00F94CC0" w:rsidP="00F94CC0">
            <w:pPr>
              <w:pStyle w:val="BodyText"/>
            </w:pPr>
            <w:r w:rsidRPr="00F94CC0">
              <w:t>Road tanker</w:t>
            </w:r>
          </w:p>
          <w:p w:rsidR="00000000" w:rsidP="00F94CC0">
            <w:pPr>
              <w:pStyle w:val="BodyText"/>
              <w:rPr>
                <w:lang w:val="en-NZ"/>
              </w:rPr>
            </w:pPr>
            <w:r w:rsidRPr="00F94CC0">
              <w:t>Control and instrumentation equipment</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CC0">
            <w:pPr>
              <w:pStyle w:val="BodyText"/>
              <w:rPr>
                <w:lang w:val="en-NZ"/>
              </w:rPr>
            </w:pPr>
            <w:r w:rsidRPr="00F94CC0">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CC0">
            <w:pPr>
              <w:pStyle w:val="BodyText"/>
              <w:rPr>
                <w:lang w:val="en-NZ"/>
              </w:rPr>
            </w:pPr>
            <w:r w:rsidRPr="00F94CC0">
              <w:t>At least 7</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CC0" w:rsidP="00F94CC0">
            <w:pPr>
              <w:pStyle w:val="BodyText"/>
            </w:pPr>
            <w:r w:rsidRPr="00F94CC0">
              <w:t>Faults:</w:t>
            </w:r>
          </w:p>
          <w:p w:rsidR="00000000" w:rsidRPr="00F94CC0" w:rsidP="00F94CC0">
            <w:pPr>
              <w:pStyle w:val="BodyText"/>
            </w:pPr>
            <w:r w:rsidRPr="00F94CC0">
              <w:t>Gas leak</w:t>
            </w:r>
          </w:p>
          <w:p w:rsidR="00000000" w:rsidRPr="00F94CC0" w:rsidP="00F94CC0">
            <w:pPr>
              <w:pStyle w:val="BodyText"/>
            </w:pPr>
            <w:r w:rsidRPr="00F94CC0">
              <w:t>Electrical problems</w:t>
            </w:r>
          </w:p>
          <w:p w:rsidR="00000000" w:rsidRPr="00F94CC0" w:rsidP="00F94CC0">
            <w:pPr>
              <w:pStyle w:val="BodyText"/>
            </w:pPr>
            <w:r w:rsidRPr="00F94CC0">
              <w:t>Over filled vessel</w:t>
            </w:r>
          </w:p>
          <w:p w:rsidR="00000000" w:rsidRPr="00F94CC0" w:rsidP="00F94CC0">
            <w:pPr>
              <w:pStyle w:val="BodyText"/>
            </w:pPr>
            <w:r w:rsidRPr="00F94CC0">
              <w:t>Compressor failure</w:t>
            </w:r>
          </w:p>
          <w:p w:rsidR="00000000" w:rsidRPr="00F94CC0" w:rsidP="00F94CC0">
            <w:pPr>
              <w:pStyle w:val="BodyText"/>
            </w:pPr>
            <w:r w:rsidRPr="00F94CC0">
              <w:t>Pump failure</w:t>
            </w:r>
          </w:p>
          <w:p w:rsidR="00000000" w:rsidRPr="00F94CC0" w:rsidP="00F94CC0">
            <w:pPr>
              <w:pStyle w:val="BodyText"/>
            </w:pPr>
            <w:r w:rsidRPr="00F94CC0">
              <w:t>Out of current inspection status</w:t>
            </w:r>
          </w:p>
          <w:p w:rsidR="00000000" w:rsidRPr="00F94CC0" w:rsidP="00F94CC0">
            <w:pPr>
              <w:pStyle w:val="BodyText"/>
            </w:pPr>
            <w:r w:rsidRPr="00F94CC0">
              <w:t>Gauge failure</w:t>
            </w:r>
          </w:p>
          <w:p w:rsidR="00000000" w:rsidRPr="00F94CC0" w:rsidP="00F94CC0">
            <w:pPr>
              <w:pStyle w:val="BodyText"/>
            </w:pPr>
            <w:r w:rsidRPr="00F94CC0">
              <w:t>Hose rupture/leaks</w:t>
            </w:r>
          </w:p>
          <w:p w:rsidR="00000000" w:rsidRPr="00F94CC0" w:rsidP="00F94CC0">
            <w:pPr>
              <w:pStyle w:val="BodyText"/>
            </w:pPr>
            <w:r w:rsidRPr="00F94CC0">
              <w:t>Instruments out of calibration</w:t>
            </w:r>
          </w:p>
          <w:p w:rsidR="00000000" w:rsidRPr="00F94CC0" w:rsidP="00F94CC0">
            <w:pPr>
              <w:pStyle w:val="BodyText"/>
            </w:pPr>
            <w:r w:rsidRPr="00F94CC0">
              <w:t>Non-flow of LPG</w:t>
            </w:r>
          </w:p>
          <w:p w:rsidR="00000000" w:rsidRPr="00F94CC0" w:rsidP="00F94CC0">
            <w:pPr>
              <w:pStyle w:val="BodyText"/>
            </w:pPr>
            <w:r w:rsidRPr="00F94CC0">
              <w:t>Cylinder scales out of calibration</w:t>
            </w:r>
          </w:p>
          <w:p w:rsidR="00000000" w:rsidP="00F94CC0">
            <w:pPr>
              <w:pStyle w:val="BodyText"/>
              <w:rPr>
                <w:lang w:val="en-NZ"/>
              </w:rPr>
            </w:pPr>
            <w:r w:rsidRPr="00F94CC0">
              <w:t>Meter out of calibration</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CC0">
            <w:pPr>
              <w:pStyle w:val="BodyText"/>
              <w:rPr>
                <w:lang w:val="en-NZ"/>
              </w:rPr>
            </w:pPr>
            <w:r w:rsidRPr="00F94CC0">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CC0">
            <w:pPr>
              <w:pStyle w:val="BodyText"/>
              <w:rPr>
                <w:lang w:val="en-NZ"/>
              </w:rPr>
            </w:pPr>
            <w:r w:rsidRPr="00F94CC0">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CC0" w:rsidP="00F94CC0">
            <w:pPr>
              <w:pStyle w:val="BodyText"/>
            </w:pPr>
            <w:r w:rsidRPr="00F94CC0">
              <w:t>Documentation:</w:t>
            </w:r>
          </w:p>
          <w:p w:rsidR="00000000" w:rsidRPr="00F94CC0" w:rsidP="00F94CC0">
            <w:pPr>
              <w:pStyle w:val="BodyText"/>
            </w:pPr>
            <w:r w:rsidRPr="00F94CC0">
              <w:t>Item maintenance record</w:t>
            </w:r>
          </w:p>
          <w:p w:rsidR="00000000" w:rsidRPr="00F94CC0" w:rsidP="00F94CC0">
            <w:pPr>
              <w:pStyle w:val="BodyText"/>
            </w:pPr>
            <w:r w:rsidRPr="00F94CC0">
              <w:t>Work permit</w:t>
            </w:r>
          </w:p>
          <w:p w:rsidR="00000000" w:rsidRPr="00F94CC0" w:rsidP="00F94CC0">
            <w:pPr>
              <w:pStyle w:val="BodyText"/>
            </w:pPr>
            <w:r w:rsidRPr="00F94CC0">
              <w:t>Job card documentation to inform relevant authorities, company persons or manufacturer</w:t>
            </w:r>
          </w:p>
          <w:p w:rsidR="00000000" w:rsidP="00F94CC0">
            <w:pPr>
              <w:pStyle w:val="BodyText"/>
              <w:rPr>
                <w:lang w:val="en-NZ"/>
              </w:rPr>
            </w:pPr>
            <w:r w:rsidRPr="00F94CC0">
              <w:t>OHS, environmental and associated requirement documentation</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CC0">
            <w:pPr>
              <w:pStyle w:val="BodyText"/>
              <w:rPr>
                <w:lang w:val="en-NZ"/>
              </w:rPr>
            </w:pPr>
            <w:r w:rsidRPr="00F94CC0">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CC0">
            <w:pPr>
              <w:pStyle w:val="BodyText"/>
              <w:rPr>
                <w:lang w:val="en-NZ"/>
              </w:rPr>
            </w:pPr>
            <w:r w:rsidRPr="00F94CC0">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CC0" w:rsidP="00F94CC0">
            <w:pPr>
              <w:pStyle w:val="BodyText"/>
            </w:pPr>
            <w:r w:rsidRPr="00F94CC0">
              <w:t xml:space="preserve">Deal with an unplanned event by drawing on essential knowledge and associated skills to provide appropriate solutions incorporated in the holistic assessment with the above listed items </w:t>
            </w:r>
          </w:p>
        </w:tc>
      </w:tr>
    </w:tbl>
    <w:p w:rsidR="00000000" w:rsidRPr="00F94CC0" w:rsidP="00F94CC0">
      <w:pPr>
        <w:pStyle w:val="BodyText"/>
      </w:pPr>
    </w:p>
    <w:tbl>
      <w:tblPr>
        <w:tblW w:w="0" w:type="auto"/>
        <w:tblLayout w:type="fixed"/>
        <w:tblCellMar>
          <w:left w:w="62" w:type="dxa"/>
          <w:right w:w="62" w:type="dxa"/>
        </w:tblCellMar>
        <w:tblLook w:val="0000"/>
      </w:tblPr>
      <w:tblGrid>
        <w:gridCol w:w="1890"/>
        <w:gridCol w:w="6570"/>
      </w:tblGrid>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rPr>
                <w:rStyle w:val="SpecialBold"/>
              </w:rPr>
              <w:t>9.3)</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This unit should be assessed as it relates to normal work practice using procedures, information and resources typical of a workplace. This should include:</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94CC0">
            <w:pPr>
              <w:pStyle w:val="ListBullet"/>
              <w:rPr>
                <w:lang w:val="en-NZ"/>
              </w:rPr>
            </w:pPr>
            <w:r w:rsidRPr="00F94CC0">
              <w:t>OHS policy and work procedures and instructions.</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94CC0">
            <w:pPr>
              <w:pStyle w:val="ListBullet"/>
              <w:rPr>
                <w:lang w:val="en-NZ"/>
              </w:rPr>
            </w:pPr>
            <w:r w:rsidRPr="00F94CC0">
              <w:t>Suitable work environment, facilities, equipm</w:t>
            </w:r>
            <w:r w:rsidRPr="00F94CC0">
              <w:t>ent and materials to undertake actual work as prescribed by this Competency Standard Unit.</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94CC0">
            <w:pPr>
              <w:pStyle w:val="ListBullet"/>
              <w:rPr>
                <w:lang w:val="en-NZ"/>
              </w:rPr>
            </w:pPr>
            <w:r w:rsidRPr="00F94CC0">
              <w:t>Appropriate environmental regulation and work practices.</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94CC0">
            <w:pPr>
              <w:pStyle w:val="ListBullet"/>
              <w:rPr>
                <w:lang w:val="en-NZ"/>
              </w:rPr>
            </w:pPr>
            <w:r w:rsidRPr="00F94CC0">
              <w:t>Appropriate organisational requirements.</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94CC0">
            <w:pPr>
              <w:pStyle w:val="ListBullet"/>
              <w:rPr>
                <w:lang w:val="en-NZ"/>
              </w:rPr>
            </w:pPr>
            <w:r w:rsidRPr="00F94CC0">
              <w:t>Appropriate work environment, equipment and tools.</w:t>
            </w:r>
          </w:p>
        </w:tc>
      </w:tr>
      <w:tr w:rsidTr="00E809BD">
        <w:tblPrEx>
          <w:tblW w:w="0" w:type="auto"/>
          <w:tblLayout w:type="fixed"/>
          <w:tblCellMar>
            <w:left w:w="62" w:type="dxa"/>
            <w:right w:w="62" w:type="dxa"/>
          </w:tblCellMar>
          <w:tblLook w:val="0000"/>
        </w:tblPrEx>
        <w:trPr>
          <w:trHeight w:val="84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In addition to the resources listed above, in Context of and specific resources for assessment, evidence should show demonstrated competency in coordinating repair of faults in gas processing/storage facilities and equipment.</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t>Assessment of this competenc</w:t>
            </w:r>
            <w:r w:rsidRPr="00F94CC0">
              <w:t>y must also be undertaken in either an actual workplace or under a simulated work environment. Assessment must also integrate the employability skills in section 6.7 of this competency standard.</w:t>
            </w:r>
          </w:p>
        </w:tc>
      </w:tr>
    </w:tbl>
    <w:p w:rsidR="00000000" w:rsidRPr="00F94CC0" w:rsidP="00F94CC0">
      <w:pPr>
        <w:pStyle w:val="BodyText"/>
      </w:pPr>
    </w:p>
    <w:tbl>
      <w:tblPr>
        <w:tblW w:w="0" w:type="auto"/>
        <w:tblLayout w:type="fixed"/>
        <w:tblCellMar>
          <w:left w:w="62" w:type="dxa"/>
          <w:right w:w="62" w:type="dxa"/>
        </w:tblCellMar>
        <w:tblLook w:val="0000"/>
      </w:tblPr>
      <w:tblGrid>
        <w:gridCol w:w="1890"/>
        <w:gridCol w:w="6570"/>
      </w:tblGrid>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rPr>
                <w:rStyle w:val="SpecialBold"/>
              </w:rPr>
              <w:t>9.4)</w:t>
            </w:r>
          </w:p>
        </w:tc>
      </w:tr>
      <w:tr w:rsidTr="00E809BD">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This Competency Standard Unit shall be assessed by methods given in Volume 1, Part 3 ‘Assessment Guidelines’.</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t>Note: Competent performance with inherent safe working practices is expected in the Industry to which this Competency Standard Unit applies. Thi</w:t>
            </w:r>
            <w:r w:rsidRPr="00F94CC0">
              <w:t>s requires that the specified Essential Knowledge and Associated Skills are assessed in a structured environment which is primarily intended for learning/assessment and incorporates all necessary equipment and facilities for learners to develop and demonst</w:t>
            </w:r>
            <w:r w:rsidRPr="00F94CC0">
              <w:t>rate the essential knowledge and associated skills described in this unit.</w:t>
            </w:r>
          </w:p>
        </w:tc>
      </w:tr>
    </w:tbl>
    <w:p w:rsidR="00000000" w:rsidRPr="00F94CC0" w:rsidP="00F94CC0">
      <w:pPr>
        <w:pStyle w:val="BodyText"/>
      </w:pPr>
    </w:p>
    <w:tbl>
      <w:tblPr>
        <w:tblW w:w="0" w:type="auto"/>
        <w:tblLayout w:type="fixed"/>
        <w:tblCellMar>
          <w:left w:w="62" w:type="dxa"/>
          <w:right w:w="62" w:type="dxa"/>
        </w:tblCellMar>
        <w:tblLook w:val="0000"/>
      </w:tblPr>
      <w:tblGrid>
        <w:gridCol w:w="1890"/>
        <w:gridCol w:w="1620"/>
        <w:gridCol w:w="4950"/>
      </w:tblGrid>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rPr>
                <w:rStyle w:val="SpecialBold"/>
              </w:rPr>
              <w:t>9.5)</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There are no recommended concurrent assessments with this unit, however in some cases efficiencies may be gained in terms of learning and assessment effort being concurrently managed with allied Competency Standard Units where listed.</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UEGNSG102B</w:t>
            </w:r>
          </w:p>
        </w:tc>
        <w:tc>
          <w:tcPr>
            <w:tcW w:w="495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Carry o</w:t>
            </w:r>
            <w:r w:rsidRPr="00F94CC0">
              <w:t>ut work activities in a utilities industry work environment</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UEENEEE101A</w:t>
            </w:r>
          </w:p>
        </w:tc>
        <w:tc>
          <w:tcPr>
            <w:tcW w:w="495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Apply Occupational Health Safety regulations, codes and practices in the workplace</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UEGNSG104B</w:t>
            </w:r>
          </w:p>
        </w:tc>
        <w:tc>
          <w:tcPr>
            <w:tcW w:w="495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Comply with environmental policies and procedures</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UEGNSG105B</w:t>
            </w:r>
          </w:p>
        </w:tc>
        <w:tc>
          <w:tcPr>
            <w:tcW w:w="495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Establish the work site</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BSBFLM312B</w:t>
            </w:r>
          </w:p>
        </w:tc>
        <w:tc>
          <w:tcPr>
            <w:tcW w:w="495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Contribute to team effectiveness</w:t>
            </w:r>
          </w:p>
        </w:tc>
      </w:tr>
      <w:tr w:rsidTr="00E809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BSBFLM303C</w:t>
            </w:r>
          </w:p>
        </w:tc>
        <w:tc>
          <w:tcPr>
            <w:tcW w:w="495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t>Contribute to effective workplace relationships</w:t>
            </w:r>
          </w:p>
        </w:tc>
      </w:tr>
    </w:tbl>
    <w:p w:rsidR="00E809BD" w:rsidP="00F94CC0">
      <w:pPr>
        <w:pStyle w:val="BodyText"/>
      </w:pPr>
    </w:p>
    <w:p w:rsidR="00E809BD" w:rsidP="00F94CC0">
      <w:pPr>
        <w:pStyle w:val="BodyText"/>
      </w:pPr>
    </w:p>
    <w:p w:rsidR="00000000" w:rsidRPr="00F94CC0" w:rsidP="00F94CC0">
      <w:pPr>
        <w:pStyle w:val="Heading1"/>
      </w:pPr>
      <w:bookmarkStart w:id="11" w:name="O_403833"/>
      <w:bookmarkEnd w:id="11"/>
      <w:r w:rsidRPr="00F94CC0">
        <w:t>Range Statement</w:t>
      </w:r>
    </w:p>
    <w:tbl>
      <w:tblPr>
        <w:tblW w:w="0" w:type="auto"/>
        <w:tblLayout w:type="fixed"/>
        <w:tblCellMar>
          <w:left w:w="62" w:type="dxa"/>
          <w:right w:w="62" w:type="dxa"/>
        </w:tblCellMar>
        <w:tblLook w:val="0000"/>
      </w:tblPr>
      <w:tblGrid>
        <w:gridCol w:w="8460"/>
      </w:tblGrid>
      <w:tr w:rsidTr="00E809B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rPr>
                <w:rStyle w:val="SpecialBold"/>
              </w:rPr>
              <w:t>RANGE STATEMENT</w:t>
            </w:r>
          </w:p>
        </w:tc>
      </w:tr>
      <w:tr w:rsidTr="00E809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rPr>
                <w:rStyle w:val="SpecialBold"/>
              </w:rPr>
              <w:t>10)</w:t>
            </w:r>
            <w:r w:rsidRPr="00F94CC0">
              <w:t xml:space="preserve"> This relates to the competency standard unit as a whole providing the range of contexts and conditions to which the Performance Criteria apply. It allows for different work environments and situations that will affect performance.</w:t>
            </w:r>
          </w:p>
        </w:tc>
      </w:tr>
      <w:tr w:rsidTr="00E809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This Competency Standar</w:t>
            </w:r>
            <w:r w:rsidRPr="00F94CC0">
              <w:t>d Unit shall be demonstrated in relation to coordinating the repair of faults in gas processing/storage facilities and equipment.</w:t>
            </w:r>
          </w:p>
        </w:tc>
      </w:tr>
      <w:tr w:rsidTr="00E809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The following constants and variables included in the element/Performance Criteria in this unit are fully described in the De</w:t>
            </w:r>
            <w:r w:rsidRPr="00F94CC0">
              <w:t>finitions Section of this volume and form an integral part of the Range Statement of this unit:</w:t>
            </w:r>
          </w:p>
        </w:tc>
      </w:tr>
      <w:tr w:rsidTr="00E809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Appropriate persons (3)Necessary materials</w:t>
            </w:r>
          </w:p>
        </w:tc>
      </w:tr>
      <w:tr w:rsidTr="00E809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t>Types of faults</w:t>
            </w:r>
          </w:p>
        </w:tc>
      </w:tr>
      <w:tr w:rsidTr="00E809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t>Documentation (3)</w:t>
            </w:r>
          </w:p>
        </w:tc>
      </w:tr>
    </w:tbl>
    <w:p w:rsidR="00000000" w:rsidRPr="00F94CC0" w:rsidP="00F94CC0">
      <w:pPr>
        <w:pStyle w:val="BodyText"/>
      </w:pPr>
    </w:p>
    <w:p w:rsidR="00000000" w:rsidRPr="00F94CC0" w:rsidP="00F94CC0">
      <w:pPr>
        <w:pStyle w:val="AllowPageBreak"/>
      </w:pPr>
    </w:p>
    <w:p w:rsidR="00000000" w:rsidRPr="00F94CC0" w:rsidP="00F94CC0">
      <w:pPr>
        <w:pStyle w:val="Heading1"/>
      </w:pPr>
      <w:bookmarkStart w:id="12" w:name="O_403836"/>
      <w:bookmarkEnd w:id="12"/>
      <w:r w:rsidRPr="00F94CC0">
        <w:t>Unit Sector(s)</w:t>
      </w:r>
    </w:p>
    <w:p w:rsidR="00000000" w:rsidRPr="00F94CC0" w:rsidP="00F94CC0">
      <w:pPr>
        <w:pStyle w:val="BodyText"/>
      </w:pPr>
      <w:r w:rsidRPr="00F94CC0">
        <w:t>Not applicable.</w:t>
      </w:r>
    </w:p>
    <w:p w:rsidR="00000000" w:rsidRPr="00F94CC0" w:rsidP="00F94CC0">
      <w:pPr>
        <w:pStyle w:val="AllowPageBreak"/>
      </w:pPr>
    </w:p>
    <w:p w:rsidR="00000000" w:rsidRPr="00F94CC0" w:rsidP="00F94CC0">
      <w:pPr>
        <w:pStyle w:val="Heading1"/>
      </w:pPr>
      <w:bookmarkStart w:id="13" w:name="O_403825"/>
      <w:bookmarkEnd w:id="13"/>
      <w:r w:rsidRPr="00F94CC0">
        <w:t>Competency Field</w:t>
      </w:r>
    </w:p>
    <w:tbl>
      <w:tblPr>
        <w:tblW w:w="0" w:type="auto"/>
        <w:tblLayout w:type="fixed"/>
        <w:tblCellMar>
          <w:left w:w="62" w:type="dxa"/>
          <w:right w:w="62" w:type="dxa"/>
        </w:tblCellMar>
        <w:tblLook w:val="0000"/>
      </w:tblPr>
      <w:tblGrid>
        <w:gridCol w:w="2700"/>
        <w:gridCol w:w="5760"/>
      </w:tblGrid>
      <w:tr w:rsidTr="00E809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94CC0">
            <w:pPr>
              <w:pStyle w:val="BodyText"/>
              <w:rPr>
                <w:lang w:val="en-NZ"/>
              </w:rPr>
            </w:pPr>
            <w:r w:rsidRPr="00F94CC0">
              <w:rPr>
                <w:rStyle w:val="SpecialBold"/>
              </w:rPr>
              <w:t xml:space="preserve">11) </w:t>
            </w:r>
          </w:p>
        </w:tc>
      </w:tr>
      <w:tr w:rsidTr="00E809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4CC0" w:rsidP="00F94CC0">
            <w:pPr>
              <w:pStyle w:val="BodyText"/>
            </w:pPr>
            <w:r w:rsidRPr="00F94CC0">
              <w:t>LPG.</w:t>
            </w:r>
          </w:p>
        </w:tc>
      </w:tr>
    </w:tbl>
    <w:p w:rsidR="00000000" w:rsidRPr="00F94CC0" w:rsidP="00F94CC0">
      <w:pPr>
        <w:pStyle w:val="BodyText"/>
      </w:pPr>
    </w:p>
    <w:p w:rsidR="00000000" w:rsidRPr="00F94CC0" w:rsidP="00F94CC0"/>
    <w:sectPr w:rsidSect="00F94C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C0" w:rsidRPr="00E809BD" w:rsidP="00E809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9BD" w:rsidP="00F94C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809BD" w:rsidP="00F94CC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809BD" w:rsidP="00F94C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C0" w:rsidRPr="00E809BD" w:rsidP="00E809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9BD" w:rsidRPr="002D2AF8" w:rsidP="00F94CC0">
    <w:pPr>
      <w:pStyle w:val="Header"/>
      <w:framePr w:wrap="around"/>
    </w:pPr>
    <w:r>
      <w:fldChar w:fldCharType="begin"/>
    </w:r>
    <w:r>
      <w:instrText xml:space="preserve"> TITLE   \* MERGEFORMAT </w:instrText>
    </w:r>
    <w:r>
      <w:fldChar w:fldCharType="separate"/>
    </w:r>
    <w:r>
      <w:t>UEGNSG609B Coordinate repair of faults in gas processing/storage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E809BD" w:rsidP="00F94C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1EB5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5AAA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C0CC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C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CC0"/>
    <w:pPr>
      <w:spacing w:before="360" w:after="60"/>
      <w:outlineLvl w:val="0"/>
    </w:pPr>
    <w:rPr>
      <w:sz w:val="32"/>
    </w:rPr>
  </w:style>
  <w:style w:type="paragraph" w:styleId="Heading2">
    <w:name w:val="heading 2"/>
    <w:basedOn w:val="HeadingBase"/>
    <w:next w:val="BodyText"/>
    <w:link w:val="Heading2Char"/>
    <w:qFormat/>
    <w:rsid w:val="00F94CC0"/>
    <w:pPr>
      <w:keepLines/>
      <w:spacing w:before="240" w:after="120"/>
      <w:outlineLvl w:val="1"/>
    </w:pPr>
    <w:rPr>
      <w:sz w:val="28"/>
      <w:szCs w:val="40"/>
    </w:rPr>
  </w:style>
  <w:style w:type="paragraph" w:styleId="Heading3">
    <w:name w:val="heading 3"/>
    <w:basedOn w:val="HeadingBase"/>
    <w:next w:val="BodyText"/>
    <w:link w:val="Heading3Char"/>
    <w:qFormat/>
    <w:rsid w:val="00F94CC0"/>
    <w:pPr>
      <w:spacing w:before="180" w:after="120"/>
      <w:outlineLvl w:val="2"/>
    </w:pPr>
    <w:rPr>
      <w:spacing w:val="-10"/>
      <w:kern w:val="32"/>
    </w:rPr>
  </w:style>
  <w:style w:type="paragraph" w:styleId="Heading4">
    <w:name w:val="heading 4"/>
    <w:basedOn w:val="HeadingBase"/>
    <w:next w:val="BodyText"/>
    <w:link w:val="Heading4Char"/>
    <w:qFormat/>
    <w:rsid w:val="00F94CC0"/>
    <w:pPr>
      <w:spacing w:before="160" w:after="120"/>
      <w:outlineLvl w:val="3"/>
    </w:pPr>
    <w:rPr>
      <w:sz w:val="22"/>
    </w:rPr>
  </w:style>
  <w:style w:type="paragraph" w:styleId="Heading5">
    <w:name w:val="heading 5"/>
    <w:basedOn w:val="HeadingBase"/>
    <w:next w:val="Normal"/>
    <w:link w:val="Heading5Char"/>
    <w:qFormat/>
    <w:rsid w:val="00F94CC0"/>
    <w:pPr>
      <w:spacing w:before="80"/>
      <w:outlineLvl w:val="4"/>
    </w:pPr>
    <w:rPr>
      <w:color w:val="918585"/>
      <w:sz w:val="20"/>
    </w:rPr>
  </w:style>
  <w:style w:type="paragraph" w:styleId="Heading6">
    <w:name w:val="heading 6"/>
    <w:basedOn w:val="HeadingBase"/>
    <w:next w:val="Normal"/>
    <w:link w:val="Heading6Char"/>
    <w:qFormat/>
    <w:rsid w:val="00F94CC0"/>
    <w:pPr>
      <w:spacing w:before="60"/>
      <w:outlineLvl w:val="5"/>
    </w:pPr>
    <w:rPr>
      <w:color w:val="918585"/>
      <w:sz w:val="20"/>
    </w:rPr>
  </w:style>
  <w:style w:type="paragraph" w:styleId="Heading7">
    <w:name w:val="heading 7"/>
    <w:basedOn w:val="Normal"/>
    <w:next w:val="Normal"/>
    <w:link w:val="Heading7Char"/>
    <w:qFormat/>
    <w:rsid w:val="00F94CC0"/>
    <w:pPr>
      <w:ind w:left="720"/>
      <w:outlineLvl w:val="6"/>
    </w:pPr>
    <w:rPr>
      <w:i/>
    </w:rPr>
  </w:style>
  <w:style w:type="paragraph" w:styleId="Heading8">
    <w:name w:val="heading 8"/>
    <w:basedOn w:val="Normal"/>
    <w:next w:val="Normal"/>
    <w:link w:val="Heading8Char"/>
    <w:qFormat/>
    <w:rsid w:val="00F94CC0"/>
    <w:pPr>
      <w:ind w:left="720"/>
      <w:outlineLvl w:val="7"/>
    </w:pPr>
    <w:rPr>
      <w:i/>
    </w:rPr>
  </w:style>
  <w:style w:type="paragraph" w:styleId="Heading9">
    <w:name w:val="heading 9"/>
    <w:basedOn w:val="Normal"/>
    <w:next w:val="Normal"/>
    <w:link w:val="Heading9Char"/>
    <w:qFormat/>
    <w:rsid w:val="00F94CC0"/>
    <w:pPr>
      <w:ind w:left="720"/>
      <w:outlineLvl w:val="8"/>
    </w:pPr>
    <w:rPr>
      <w:i/>
    </w:rPr>
  </w:style>
  <w:style w:type="character" w:default="1" w:styleId="DefaultParagraphFont">
    <w:name w:val="Default Paragraph Font"/>
    <w:uiPriority w:val="1"/>
    <w:unhideWhenUsed/>
    <w:rsid w:val="00F94C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CC0"/>
  </w:style>
  <w:style w:type="character" w:customStyle="1" w:styleId="Heading1Char">
    <w:name w:val="Heading 1 Char"/>
    <w:basedOn w:val="DefaultParagraphFont"/>
    <w:link w:val="Heading1"/>
    <w:rsid w:val="00F94CC0"/>
    <w:rPr>
      <w:rFonts w:ascii="Times New Roman" w:eastAsia="Times New Roman" w:hAnsi="Times New Roman" w:cs="Times New Roman"/>
      <w:b/>
      <w:sz w:val="32"/>
      <w:szCs w:val="20"/>
      <w:lang w:eastAsia="en-US"/>
    </w:rPr>
  </w:style>
  <w:style w:type="paragraph" w:styleId="BodyText">
    <w:name w:val="Body Text"/>
    <w:basedOn w:val="Normal"/>
    <w:link w:val="BodyTextChar"/>
    <w:rsid w:val="00F94C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4CC0"/>
    <w:rPr>
      <w:rFonts w:ascii="Times New Roman" w:eastAsia="Times New Roman" w:hAnsi="Times New Roman" w:cs="Times New Roman"/>
      <w:sz w:val="24"/>
      <w:lang w:eastAsia="en-US"/>
    </w:rPr>
  </w:style>
  <w:style w:type="paragraph" w:styleId="ListBullet">
    <w:name w:val="List Bullet"/>
    <w:basedOn w:val="List"/>
    <w:rsid w:val="00F94CC0"/>
    <w:pPr>
      <w:numPr>
        <w:numId w:val="13"/>
      </w:numPr>
      <w:tabs>
        <w:tab w:val="clear" w:pos="340"/>
      </w:tabs>
      <w:spacing w:before="40" w:after="40"/>
    </w:pPr>
  </w:style>
  <w:style w:type="character" w:customStyle="1" w:styleId="SpecialBold">
    <w:name w:val="Special Bold"/>
    <w:basedOn w:val="DefaultParagraphFont"/>
    <w:rsid w:val="00F94CC0"/>
    <w:rPr>
      <w:b/>
      <w:spacing w:val="0"/>
    </w:rPr>
  </w:style>
  <w:style w:type="paragraph" w:styleId="ListBullet2">
    <w:name w:val="List Bullet 2"/>
    <w:basedOn w:val="List2"/>
    <w:rsid w:val="00F94CC0"/>
    <w:pPr>
      <w:numPr>
        <w:numId w:val="14"/>
      </w:numPr>
      <w:tabs>
        <w:tab w:val="clear" w:pos="680"/>
      </w:tabs>
    </w:pPr>
  </w:style>
  <w:style w:type="paragraph" w:customStyle="1" w:styleId="SuperHeading">
    <w:name w:val="SuperHeading"/>
    <w:basedOn w:val="Normal"/>
    <w:rsid w:val="00F94CC0"/>
    <w:pPr>
      <w:spacing w:before="240" w:after="120"/>
      <w:outlineLvl w:val="0"/>
    </w:pPr>
    <w:rPr>
      <w:rFonts w:ascii="Times New Roman" w:hAnsi="Times New Roman"/>
      <w:b/>
      <w:sz w:val="32"/>
    </w:rPr>
  </w:style>
  <w:style w:type="paragraph" w:customStyle="1" w:styleId="AllowPageBreak">
    <w:name w:val="AllowPageBreak"/>
    <w:rsid w:val="00F94C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4C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C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C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C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C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C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C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CC0"/>
    <w:rPr>
      <w:rFonts w:ascii="Courier New" w:eastAsia="Times New Roman" w:hAnsi="Courier New" w:cs="Times New Roman"/>
      <w:i/>
      <w:szCs w:val="20"/>
      <w:lang w:eastAsia="en-US"/>
    </w:rPr>
  </w:style>
  <w:style w:type="paragraph" w:customStyle="1" w:styleId="HeadingBase">
    <w:name w:val="Heading Base"/>
    <w:rsid w:val="00F94C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CC0"/>
    <w:pPr>
      <w:tabs>
        <w:tab w:val="right" w:leader="dot" w:pos="9072"/>
      </w:tabs>
      <w:ind w:left="567"/>
    </w:pPr>
    <w:rPr>
      <w:szCs w:val="22"/>
    </w:rPr>
  </w:style>
  <w:style w:type="paragraph" w:customStyle="1" w:styleId="TOCBase">
    <w:name w:val="TOC Base"/>
    <w:rsid w:val="00F94C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CC0"/>
    <w:pPr>
      <w:tabs>
        <w:tab w:val="right" w:leader="dot" w:pos="9072"/>
      </w:tabs>
      <w:spacing w:before="40" w:after="40"/>
      <w:ind w:left="284"/>
    </w:pPr>
    <w:rPr>
      <w:rFonts w:ascii="Times New Roman" w:hAnsi="Times New Roman"/>
    </w:rPr>
  </w:style>
  <w:style w:type="paragraph" w:styleId="TOC1">
    <w:name w:val="toc 1"/>
    <w:basedOn w:val="TOCBase"/>
    <w:next w:val="Normal"/>
    <w:rsid w:val="00F94C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C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CC0"/>
    <w:rPr>
      <w:rFonts w:ascii="Times New Roman" w:eastAsia="Times New Roman" w:hAnsi="Times New Roman" w:cs="Times New Roman"/>
      <w:sz w:val="16"/>
      <w:lang w:eastAsia="en-US"/>
    </w:rPr>
  </w:style>
  <w:style w:type="paragraph" w:styleId="Title">
    <w:name w:val="Title"/>
    <w:basedOn w:val="HeadingBase"/>
    <w:link w:val="TitleChar"/>
    <w:qFormat/>
    <w:rsid w:val="00F94CC0"/>
    <w:pPr>
      <w:spacing w:before="5040"/>
      <w:jc w:val="center"/>
    </w:pPr>
    <w:rPr>
      <w:sz w:val="48"/>
      <w:szCs w:val="72"/>
      <w:lang w:val="en-US"/>
    </w:rPr>
  </w:style>
  <w:style w:type="character" w:customStyle="1" w:styleId="TitleChar">
    <w:name w:val="Title Char"/>
    <w:basedOn w:val="DefaultParagraphFont"/>
    <w:link w:val="Title"/>
    <w:rsid w:val="00F94C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CC0"/>
    <w:pPr>
      <w:tabs>
        <w:tab w:val="left" w:pos="3600"/>
        <w:tab w:val="left" w:pos="3958"/>
      </w:tabs>
    </w:pPr>
  </w:style>
  <w:style w:type="paragraph" w:styleId="List">
    <w:name w:val="List"/>
    <w:basedOn w:val="BodyText"/>
    <w:next w:val="BodyText"/>
    <w:rsid w:val="00F94CC0"/>
    <w:pPr>
      <w:tabs>
        <w:tab w:val="left" w:pos="340"/>
      </w:tabs>
      <w:spacing w:before="60" w:after="60"/>
      <w:ind w:left="340" w:hanging="340"/>
    </w:pPr>
  </w:style>
  <w:style w:type="paragraph" w:customStyle="1" w:styleId="Note">
    <w:name w:val="Note"/>
    <w:basedOn w:val="BodyText"/>
    <w:rsid w:val="00F94C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CC0"/>
    <w:pPr>
      <w:framePr w:wrap="auto" w:hAnchor="text" w:y="6049"/>
    </w:pPr>
    <w:rPr>
      <w:color w:val="000000"/>
      <w:sz w:val="40"/>
    </w:rPr>
  </w:style>
  <w:style w:type="paragraph" w:customStyle="1" w:styleId="TOCTitle">
    <w:name w:val="TOCTitle"/>
    <w:basedOn w:val="Heading1"/>
    <w:rsid w:val="00F94CC0"/>
    <w:pPr>
      <w:spacing w:after="240"/>
      <w:jc w:val="center"/>
      <w:outlineLvl w:val="9"/>
    </w:pPr>
    <w:rPr>
      <w:caps/>
    </w:rPr>
  </w:style>
  <w:style w:type="paragraph" w:customStyle="1" w:styleId="Version">
    <w:name w:val="Version"/>
    <w:rsid w:val="00F94C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CC0"/>
    <w:pPr>
      <w:keepNext w:val="0"/>
      <w:tabs>
        <w:tab w:val="right" w:pos="4176"/>
      </w:tabs>
      <w:ind w:left="198" w:hanging="198"/>
    </w:pPr>
    <w:rPr>
      <w:rFonts w:ascii="Garamond" w:hAnsi="Garamond"/>
    </w:rPr>
  </w:style>
  <w:style w:type="paragraph" w:styleId="IndexHeading">
    <w:name w:val="index heading"/>
    <w:basedOn w:val="Normal"/>
    <w:next w:val="Index1"/>
    <w:semiHidden/>
    <w:rsid w:val="00F94CC0"/>
    <w:pPr>
      <w:spacing w:before="120" w:after="120"/>
    </w:pPr>
    <w:rPr>
      <w:rFonts w:ascii="Arial" w:hAnsi="Arial"/>
      <w:b/>
      <w:color w:val="918585"/>
      <w:sz w:val="24"/>
    </w:rPr>
  </w:style>
  <w:style w:type="paragraph" w:styleId="Header">
    <w:name w:val="header"/>
    <w:basedOn w:val="Normal"/>
    <w:link w:val="HeaderChar"/>
    <w:rsid w:val="00F94C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CC0"/>
    <w:rPr>
      <w:rFonts w:ascii="Times New Roman" w:eastAsia="Times New Roman" w:hAnsi="Times New Roman" w:cs="Times New Roman"/>
      <w:sz w:val="16"/>
      <w:szCs w:val="20"/>
      <w:lang w:val="en-GB" w:eastAsia="en-US"/>
    </w:rPr>
  </w:style>
  <w:style w:type="paragraph" w:customStyle="1" w:styleId="Chapter">
    <w:name w:val="Chapter"/>
    <w:basedOn w:val="Normal"/>
    <w:rsid w:val="00F94CC0"/>
    <w:pPr>
      <w:spacing w:before="240"/>
    </w:pPr>
    <w:rPr>
      <w:rFonts w:ascii="Times New Roman" w:hAnsi="Times New Roman"/>
      <w:smallCaps/>
      <w:spacing w:val="80"/>
      <w:sz w:val="28"/>
    </w:rPr>
  </w:style>
  <w:style w:type="paragraph" w:customStyle="1" w:styleId="InChapter">
    <w:name w:val="InChapter"/>
    <w:basedOn w:val="Heading3"/>
    <w:rsid w:val="00F94CC0"/>
    <w:pPr>
      <w:spacing w:after="240"/>
      <w:outlineLvl w:val="9"/>
    </w:pPr>
    <w:rPr>
      <w:noProof/>
    </w:rPr>
  </w:style>
  <w:style w:type="paragraph" w:styleId="Index2">
    <w:name w:val="index 2"/>
    <w:basedOn w:val="Normal"/>
    <w:next w:val="Normal"/>
    <w:semiHidden/>
    <w:rsid w:val="00F94CC0"/>
    <w:pPr>
      <w:tabs>
        <w:tab w:val="right" w:pos="4176"/>
      </w:tabs>
      <w:ind w:left="568" w:hanging="284"/>
    </w:pPr>
    <w:rPr>
      <w:rFonts w:ascii="Garamond" w:hAnsi="Garamond"/>
    </w:rPr>
  </w:style>
  <w:style w:type="paragraph" w:customStyle="1" w:styleId="Byline">
    <w:name w:val="Byline"/>
    <w:rsid w:val="00F94C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CC0"/>
    <w:pPr>
      <w:tabs>
        <w:tab w:val="clear" w:pos="3600"/>
        <w:tab w:val="clear" w:pos="3958"/>
      </w:tabs>
      <w:jc w:val="right"/>
    </w:pPr>
  </w:style>
  <w:style w:type="character" w:styleId="Emphasis">
    <w:name w:val="Emphasis"/>
    <w:basedOn w:val="DefaultParagraphFont"/>
    <w:qFormat/>
    <w:rsid w:val="00F94CC0"/>
    <w:rPr>
      <w:i/>
    </w:rPr>
  </w:style>
  <w:style w:type="paragraph" w:styleId="Caption">
    <w:name w:val="caption"/>
    <w:basedOn w:val="BodyText"/>
    <w:next w:val="Normal"/>
    <w:qFormat/>
    <w:rsid w:val="00F94CC0"/>
    <w:pPr>
      <w:framePr w:w="2268" w:hSpace="181" w:vSpace="181" w:wrap="around" w:vAnchor="text" w:hAnchor="page" w:x="1135" w:y="285" w:anchorLock="1"/>
    </w:pPr>
    <w:rPr>
      <w:i/>
    </w:rPr>
  </w:style>
  <w:style w:type="paragraph" w:customStyle="1" w:styleId="MiniTOCTitle">
    <w:name w:val="MiniTOCTitle"/>
    <w:basedOn w:val="Heading4"/>
    <w:rsid w:val="00F94CC0"/>
    <w:pPr>
      <w:spacing w:before="240"/>
      <w:outlineLvl w:val="9"/>
    </w:pPr>
    <w:rPr>
      <w:noProof/>
      <w:sz w:val="24"/>
    </w:rPr>
  </w:style>
  <w:style w:type="paragraph" w:customStyle="1" w:styleId="MiniTOCItem">
    <w:name w:val="MiniTOCItem"/>
    <w:basedOn w:val="ListBullet"/>
    <w:rsid w:val="00F94CC0"/>
    <w:pPr>
      <w:numPr>
        <w:numId w:val="0"/>
      </w:numPr>
      <w:tabs>
        <w:tab w:val="right" w:leader="dot" w:pos="6521"/>
      </w:tabs>
      <w:spacing w:before="0" w:after="0"/>
    </w:pPr>
  </w:style>
  <w:style w:type="paragraph" w:customStyle="1" w:styleId="TOFTitle">
    <w:name w:val="TOFTitle"/>
    <w:basedOn w:val="TOCTitle"/>
    <w:rsid w:val="00F94CC0"/>
  </w:style>
  <w:style w:type="paragraph" w:styleId="TableofFigures">
    <w:name w:val="table of figures"/>
    <w:basedOn w:val="Normal"/>
    <w:next w:val="Normal"/>
    <w:semiHidden/>
    <w:rsid w:val="00F94CC0"/>
    <w:pPr>
      <w:tabs>
        <w:tab w:val="right" w:leader="dot" w:pos="9072"/>
      </w:tabs>
      <w:ind w:left="970" w:hanging="403"/>
    </w:pPr>
    <w:rPr>
      <w:rFonts w:ascii="Times New Roman" w:hAnsi="Times New Roman"/>
      <w:b/>
    </w:rPr>
  </w:style>
  <w:style w:type="paragraph" w:styleId="ListNumber">
    <w:name w:val="List Number"/>
    <w:basedOn w:val="List"/>
    <w:rsid w:val="00F94CC0"/>
    <w:pPr>
      <w:numPr>
        <w:numId w:val="11"/>
      </w:numPr>
    </w:pPr>
  </w:style>
  <w:style w:type="character" w:customStyle="1" w:styleId="WingdingSymbols">
    <w:name w:val="Wingding Symbols"/>
    <w:rsid w:val="00F94CC0"/>
    <w:rPr>
      <w:rFonts w:ascii="Wingdings" w:hAnsi="Wingdings"/>
    </w:rPr>
  </w:style>
  <w:style w:type="paragraph" w:customStyle="1" w:styleId="TableHeading">
    <w:name w:val="Table Heading"/>
    <w:basedOn w:val="HeadingBase"/>
    <w:rsid w:val="00F94CC0"/>
    <w:pPr>
      <w:keepLines/>
      <w:pBdr>
        <w:bottom w:val="single" w:sz="6" w:space="1" w:color="918585"/>
      </w:pBdr>
      <w:spacing w:before="240"/>
    </w:pPr>
  </w:style>
  <w:style w:type="character" w:customStyle="1" w:styleId="HotSpot">
    <w:name w:val="HotSpot"/>
    <w:rsid w:val="00F94CC0"/>
    <w:rPr>
      <w:color w:val="0033CC"/>
      <w:u w:val="none"/>
    </w:rPr>
  </w:style>
  <w:style w:type="paragraph" w:customStyle="1" w:styleId="BodyTextRight">
    <w:name w:val="Body Text Right"/>
    <w:basedOn w:val="BodyText"/>
    <w:rsid w:val="00F94CC0"/>
    <w:pPr>
      <w:spacing w:before="0" w:after="0"/>
      <w:jc w:val="right"/>
    </w:pPr>
  </w:style>
  <w:style w:type="paragraph" w:styleId="Index3">
    <w:name w:val="index 3"/>
    <w:basedOn w:val="ListNumber2"/>
    <w:next w:val="Normal"/>
    <w:semiHidden/>
    <w:rsid w:val="00F94CC0"/>
    <w:pPr>
      <w:numPr>
        <w:numId w:val="0"/>
      </w:numPr>
      <w:tabs>
        <w:tab w:val="right" w:leader="dot" w:pos="4176"/>
      </w:tabs>
    </w:pPr>
  </w:style>
  <w:style w:type="paragraph" w:styleId="ListNumber2">
    <w:name w:val="List Number 2"/>
    <w:basedOn w:val="List2"/>
    <w:rsid w:val="00F94CC0"/>
    <w:pPr>
      <w:numPr>
        <w:numId w:val="10"/>
      </w:numPr>
      <w:tabs>
        <w:tab w:val="clear" w:pos="1060"/>
      </w:tabs>
    </w:pPr>
  </w:style>
  <w:style w:type="paragraph" w:customStyle="1" w:styleId="MarginNote">
    <w:name w:val="Margin Note"/>
    <w:basedOn w:val="BodyText"/>
    <w:rsid w:val="00F94C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C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C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CC0"/>
    <w:rPr>
      <w:sz w:val="32"/>
    </w:rPr>
  </w:style>
  <w:style w:type="paragraph" w:customStyle="1" w:styleId="HeadingProcedure">
    <w:name w:val="Heading Procedure"/>
    <w:basedOn w:val="HeadingBase"/>
    <w:next w:val="Normal"/>
    <w:rsid w:val="00F94CC0"/>
    <w:pPr>
      <w:tabs>
        <w:tab w:val="left" w:pos="0"/>
      </w:tabs>
      <w:spacing w:before="120" w:after="60"/>
    </w:pPr>
    <w:rPr>
      <w:i/>
      <w:color w:val="918585"/>
      <w:sz w:val="22"/>
    </w:rPr>
  </w:style>
  <w:style w:type="paragraph" w:customStyle="1" w:styleId="TableBodyText">
    <w:name w:val="Table Body Text"/>
    <w:basedOn w:val="BodyText"/>
    <w:rsid w:val="00F94CC0"/>
    <w:pPr>
      <w:spacing w:before="60" w:after="60"/>
    </w:pPr>
  </w:style>
  <w:style w:type="paragraph" w:styleId="ListContinue">
    <w:name w:val="List Continue"/>
    <w:basedOn w:val="List"/>
    <w:rsid w:val="00F94CC0"/>
    <w:pPr>
      <w:ind w:firstLine="0"/>
    </w:pPr>
  </w:style>
  <w:style w:type="paragraph" w:customStyle="1" w:styleId="ListNote">
    <w:name w:val="List Note"/>
    <w:basedOn w:val="List"/>
    <w:rsid w:val="00F94CC0"/>
    <w:pPr>
      <w:pBdr>
        <w:top w:val="single" w:sz="6" w:space="2" w:color="918585"/>
        <w:bottom w:val="single" w:sz="6" w:space="2" w:color="918585"/>
      </w:pBdr>
      <w:tabs>
        <w:tab w:val="left" w:pos="1021"/>
      </w:tabs>
      <w:ind w:firstLine="0"/>
    </w:pPr>
  </w:style>
  <w:style w:type="paragraph" w:customStyle="1" w:styleId="Warning">
    <w:name w:val="Warning"/>
    <w:basedOn w:val="BodyText"/>
    <w:rsid w:val="00F94CC0"/>
    <w:pPr>
      <w:shd w:val="clear" w:color="auto" w:fill="D9D9D9"/>
      <w:tabs>
        <w:tab w:val="left" w:pos="992"/>
      </w:tabs>
      <w:ind w:left="119" w:right="119"/>
    </w:pPr>
    <w:rPr>
      <w:sz w:val="20"/>
    </w:rPr>
  </w:style>
  <w:style w:type="paragraph" w:customStyle="1" w:styleId="MarginIcons">
    <w:name w:val="Margin Icons"/>
    <w:basedOn w:val="BodyText"/>
    <w:rsid w:val="00F94C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CC0"/>
    <w:rPr>
      <w:rFonts w:ascii="Courier New" w:hAnsi="Courier New"/>
    </w:rPr>
  </w:style>
  <w:style w:type="paragraph" w:customStyle="1" w:styleId="NoteBullet">
    <w:name w:val="Note Bullet"/>
    <w:basedOn w:val="Note"/>
    <w:rsid w:val="00F94CC0"/>
    <w:pPr>
      <w:tabs>
        <w:tab w:val="clear" w:pos="680"/>
      </w:tabs>
      <w:spacing w:before="60" w:after="60"/>
    </w:pPr>
  </w:style>
  <w:style w:type="paragraph" w:customStyle="1" w:styleId="SubHeading2">
    <w:name w:val="SubHeading2"/>
    <w:basedOn w:val="HeadingBase"/>
    <w:rsid w:val="00F94CC0"/>
    <w:pPr>
      <w:spacing w:before="240" w:after="60"/>
    </w:pPr>
    <w:rPr>
      <w:sz w:val="20"/>
    </w:rPr>
  </w:style>
  <w:style w:type="paragraph" w:customStyle="1" w:styleId="SubHeading1">
    <w:name w:val="SubHeading1"/>
    <w:basedOn w:val="HeadingBase"/>
    <w:rsid w:val="00F94CC0"/>
    <w:pPr>
      <w:spacing w:before="240" w:after="60"/>
    </w:pPr>
    <w:rPr>
      <w:color w:val="918585"/>
      <w:sz w:val="22"/>
    </w:rPr>
  </w:style>
  <w:style w:type="paragraph" w:customStyle="1" w:styleId="SideHeading">
    <w:name w:val="Side Heading"/>
    <w:basedOn w:val="HeadingBase"/>
    <w:rsid w:val="00F94C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CC0"/>
    <w:pPr>
      <w:numPr>
        <w:numId w:val="12"/>
      </w:numPr>
    </w:pPr>
  </w:style>
  <w:style w:type="paragraph" w:styleId="PlainText">
    <w:name w:val="Plain Text"/>
    <w:basedOn w:val="Normal"/>
    <w:link w:val="PlainTextChar"/>
    <w:rsid w:val="00F94CC0"/>
    <w:rPr>
      <w:sz w:val="20"/>
    </w:rPr>
  </w:style>
  <w:style w:type="character" w:customStyle="1" w:styleId="PlainTextChar">
    <w:name w:val="Plain Text Char"/>
    <w:basedOn w:val="DefaultParagraphFont"/>
    <w:link w:val="PlainText"/>
    <w:rsid w:val="00F94CC0"/>
    <w:rPr>
      <w:rFonts w:ascii="Courier New" w:eastAsia="Times New Roman" w:hAnsi="Courier New" w:cs="Times New Roman"/>
      <w:sz w:val="20"/>
      <w:szCs w:val="20"/>
      <w:lang w:eastAsia="en-US"/>
    </w:rPr>
  </w:style>
  <w:style w:type="character" w:customStyle="1" w:styleId="MenuOption">
    <w:name w:val="Menu Option"/>
    <w:basedOn w:val="DefaultParagraphFont"/>
    <w:rsid w:val="00F94CC0"/>
    <w:rPr>
      <w:b/>
      <w:smallCaps/>
    </w:rPr>
  </w:style>
  <w:style w:type="paragraph" w:customStyle="1" w:styleId="TableListNumber">
    <w:name w:val="Table List Number"/>
    <w:basedOn w:val="ListNumber"/>
    <w:rsid w:val="00F94CC0"/>
    <w:pPr>
      <w:numPr>
        <w:numId w:val="0"/>
      </w:numPr>
    </w:pPr>
  </w:style>
  <w:style w:type="paragraph" w:styleId="TOC4">
    <w:name w:val="toc 4"/>
    <w:basedOn w:val="TOCBase"/>
    <w:next w:val="Normal"/>
    <w:semiHidden/>
    <w:rsid w:val="00F94CC0"/>
    <w:pPr>
      <w:tabs>
        <w:tab w:val="right" w:leader="dot" w:pos="9071"/>
      </w:tabs>
      <w:ind w:left="1701"/>
    </w:pPr>
  </w:style>
  <w:style w:type="paragraph" w:customStyle="1" w:styleId="ListAlpha">
    <w:name w:val="List Alpha"/>
    <w:basedOn w:val="List"/>
    <w:rsid w:val="00F94CC0"/>
    <w:pPr>
      <w:numPr>
        <w:numId w:val="9"/>
      </w:numPr>
    </w:pPr>
  </w:style>
  <w:style w:type="paragraph" w:customStyle="1" w:styleId="ListAlpha2">
    <w:name w:val="List Alpha 2"/>
    <w:basedOn w:val="List2"/>
    <w:rsid w:val="00F94CC0"/>
    <w:pPr>
      <w:numPr>
        <w:numId w:val="8"/>
      </w:numPr>
    </w:pPr>
  </w:style>
  <w:style w:type="paragraph" w:styleId="List2">
    <w:name w:val="List 2"/>
    <w:basedOn w:val="BodyText"/>
    <w:rsid w:val="00F94CC0"/>
    <w:pPr>
      <w:tabs>
        <w:tab w:val="left" w:pos="680"/>
      </w:tabs>
      <w:spacing w:before="60" w:after="60"/>
      <w:ind w:left="680" w:hanging="340"/>
    </w:pPr>
  </w:style>
  <w:style w:type="paragraph" w:styleId="List3">
    <w:name w:val="List 3"/>
    <w:basedOn w:val="BodyText"/>
    <w:rsid w:val="00F94CC0"/>
    <w:pPr>
      <w:tabs>
        <w:tab w:val="left" w:pos="1021"/>
      </w:tabs>
      <w:spacing w:before="60" w:after="60"/>
      <w:ind w:left="1020" w:hanging="340"/>
    </w:pPr>
  </w:style>
  <w:style w:type="paragraph" w:styleId="List4">
    <w:name w:val="List 4"/>
    <w:basedOn w:val="BodyText"/>
    <w:rsid w:val="00F94CC0"/>
    <w:pPr>
      <w:tabs>
        <w:tab w:val="left" w:pos="1361"/>
      </w:tabs>
      <w:spacing w:before="60" w:after="60"/>
      <w:ind w:left="1361" w:hanging="340"/>
    </w:pPr>
  </w:style>
  <w:style w:type="paragraph" w:styleId="List5">
    <w:name w:val="List 5"/>
    <w:basedOn w:val="BodyText"/>
    <w:rsid w:val="00F94CC0"/>
    <w:pPr>
      <w:tabs>
        <w:tab w:val="left" w:pos="1701"/>
      </w:tabs>
      <w:spacing w:before="60" w:after="60"/>
      <w:ind w:left="1701" w:hanging="340"/>
    </w:pPr>
  </w:style>
  <w:style w:type="paragraph" w:styleId="ListBullet3">
    <w:name w:val="List Bullet 3"/>
    <w:basedOn w:val="List3"/>
    <w:rsid w:val="00F94CC0"/>
    <w:pPr>
      <w:numPr>
        <w:numId w:val="15"/>
      </w:numPr>
      <w:tabs>
        <w:tab w:val="clear" w:pos="1021"/>
      </w:tabs>
      <w:ind w:left="1037" w:hanging="357"/>
    </w:pPr>
  </w:style>
  <w:style w:type="paragraph" w:styleId="ListBullet4">
    <w:name w:val="List Bullet 4"/>
    <w:basedOn w:val="List4"/>
    <w:rsid w:val="00F94CC0"/>
    <w:pPr>
      <w:numPr>
        <w:numId w:val="3"/>
      </w:numPr>
    </w:pPr>
  </w:style>
  <w:style w:type="paragraph" w:styleId="ListBullet5">
    <w:name w:val="List Bullet 5"/>
    <w:basedOn w:val="List5"/>
    <w:rsid w:val="00F94CC0"/>
    <w:pPr>
      <w:numPr>
        <w:numId w:val="4"/>
      </w:numPr>
    </w:pPr>
  </w:style>
  <w:style w:type="paragraph" w:styleId="ListContinue2">
    <w:name w:val="List Continue 2"/>
    <w:basedOn w:val="List2"/>
    <w:rsid w:val="00F94CC0"/>
    <w:pPr>
      <w:ind w:firstLine="0"/>
    </w:pPr>
  </w:style>
  <w:style w:type="paragraph" w:styleId="ListContinue3">
    <w:name w:val="List Continue 3"/>
    <w:basedOn w:val="List3"/>
    <w:rsid w:val="00F94CC0"/>
    <w:pPr>
      <w:ind w:left="1021" w:firstLine="0"/>
    </w:pPr>
  </w:style>
  <w:style w:type="paragraph" w:styleId="ListContinue4">
    <w:name w:val="List Continue 4"/>
    <w:basedOn w:val="List4"/>
    <w:rsid w:val="00F94CC0"/>
    <w:pPr>
      <w:ind w:firstLine="0"/>
    </w:pPr>
  </w:style>
  <w:style w:type="paragraph" w:styleId="ListContinue5">
    <w:name w:val="List Continue 5"/>
    <w:basedOn w:val="List5"/>
    <w:rsid w:val="00F94CC0"/>
    <w:pPr>
      <w:ind w:firstLine="0"/>
    </w:pPr>
  </w:style>
  <w:style w:type="paragraph" w:styleId="ListNumber3">
    <w:name w:val="List Number 3"/>
    <w:basedOn w:val="List3"/>
    <w:rsid w:val="00F94CC0"/>
    <w:pPr>
      <w:numPr>
        <w:numId w:val="5"/>
      </w:numPr>
    </w:pPr>
  </w:style>
  <w:style w:type="paragraph" w:styleId="ListNumber4">
    <w:name w:val="List Number 4"/>
    <w:basedOn w:val="List4"/>
    <w:rsid w:val="00F94CC0"/>
    <w:pPr>
      <w:numPr>
        <w:numId w:val="6"/>
      </w:numPr>
    </w:pPr>
  </w:style>
  <w:style w:type="paragraph" w:styleId="ListNumber5">
    <w:name w:val="List Number 5"/>
    <w:basedOn w:val="List5"/>
    <w:rsid w:val="00F94CC0"/>
    <w:pPr>
      <w:numPr>
        <w:numId w:val="7"/>
      </w:numPr>
    </w:pPr>
  </w:style>
  <w:style w:type="paragraph" w:styleId="BlockText">
    <w:name w:val="Block Text"/>
    <w:basedOn w:val="Normal"/>
    <w:rsid w:val="00F94CC0"/>
    <w:pPr>
      <w:spacing w:after="120"/>
      <w:ind w:left="1440" w:right="1440"/>
    </w:pPr>
  </w:style>
  <w:style w:type="character" w:customStyle="1" w:styleId="Subscript">
    <w:name w:val="Subscript"/>
    <w:basedOn w:val="DefaultParagraphFont"/>
    <w:rsid w:val="00F94CC0"/>
    <w:rPr>
      <w:sz w:val="16"/>
      <w:vertAlign w:val="subscript"/>
    </w:rPr>
  </w:style>
  <w:style w:type="character" w:customStyle="1" w:styleId="Superscript">
    <w:name w:val="Superscript"/>
    <w:basedOn w:val="DefaultParagraphFont"/>
    <w:rsid w:val="00F94CC0"/>
    <w:rPr>
      <w:sz w:val="16"/>
      <w:vertAlign w:val="superscript"/>
    </w:rPr>
  </w:style>
  <w:style w:type="character" w:customStyle="1" w:styleId="Symbols">
    <w:name w:val="Symbols"/>
    <w:basedOn w:val="DefaultParagraphFont"/>
    <w:rsid w:val="00F94CC0"/>
    <w:rPr>
      <w:rFonts w:ascii="Symbol" w:hAnsi="Symbol"/>
    </w:rPr>
  </w:style>
  <w:style w:type="character" w:customStyle="1" w:styleId="MenuOptions">
    <w:name w:val="Menu Options"/>
    <w:basedOn w:val="DefaultParagraphFont"/>
    <w:rsid w:val="00F94CC0"/>
    <w:rPr>
      <w:rFonts w:ascii="Arial Narrow" w:hAnsi="Arial Narrow"/>
      <w:smallCaps/>
    </w:rPr>
  </w:style>
  <w:style w:type="character" w:customStyle="1" w:styleId="Buttons">
    <w:name w:val="Buttons"/>
    <w:basedOn w:val="DefaultParagraphFont"/>
    <w:rsid w:val="00F94CC0"/>
    <w:rPr>
      <w:b/>
    </w:rPr>
  </w:style>
  <w:style w:type="character" w:customStyle="1" w:styleId="Underlined">
    <w:name w:val="Underlined"/>
    <w:basedOn w:val="DefaultParagraphFont"/>
    <w:rsid w:val="00F94CC0"/>
    <w:rPr>
      <w:u w:val="single"/>
    </w:rPr>
  </w:style>
  <w:style w:type="paragraph" w:customStyle="1" w:styleId="TableBodyTextRight">
    <w:name w:val="Table Body Text Right"/>
    <w:basedOn w:val="TableBodyText"/>
    <w:rsid w:val="00F94CC0"/>
    <w:pPr>
      <w:widowControl w:val="0"/>
      <w:autoSpaceDE w:val="0"/>
      <w:autoSpaceDN w:val="0"/>
      <w:adjustRightInd w:val="0"/>
      <w:jc w:val="right"/>
    </w:pPr>
    <w:rPr>
      <w:rFonts w:cs="Arial"/>
      <w:szCs w:val="18"/>
    </w:rPr>
  </w:style>
  <w:style w:type="paragraph" w:customStyle="1" w:styleId="CopyrightText">
    <w:name w:val="Copyright Text"/>
    <w:basedOn w:val="BodyText"/>
    <w:rsid w:val="00F94CC0"/>
    <w:rPr>
      <w:sz w:val="18"/>
    </w:rPr>
  </w:style>
  <w:style w:type="paragraph" w:customStyle="1" w:styleId="BodySmallRight">
    <w:name w:val="Body Small Right"/>
    <w:basedOn w:val="BodyTextRight"/>
    <w:rsid w:val="00F94CC0"/>
    <w:rPr>
      <w:sz w:val="18"/>
      <w:szCs w:val="18"/>
    </w:rPr>
  </w:style>
  <w:style w:type="paragraph" w:customStyle="1" w:styleId="MarginEdition">
    <w:name w:val="Margin Edition"/>
    <w:basedOn w:val="MarginNote"/>
    <w:rsid w:val="00F94CC0"/>
    <w:pPr>
      <w:spacing w:before="0" w:after="0"/>
    </w:pPr>
    <w:rPr>
      <w:rFonts w:ascii="Times New Roman" w:hAnsi="Times New Roman"/>
      <w:color w:val="999999"/>
    </w:rPr>
  </w:style>
  <w:style w:type="paragraph" w:customStyle="1" w:styleId="Spacer">
    <w:name w:val="Spacer"/>
    <w:basedOn w:val="Normal"/>
    <w:rsid w:val="00F94CC0"/>
    <w:rPr>
      <w:sz w:val="2"/>
      <w:szCs w:val="2"/>
    </w:rPr>
  </w:style>
  <w:style w:type="character" w:customStyle="1" w:styleId="Small">
    <w:name w:val="Small"/>
    <w:basedOn w:val="DefaultParagraphFont"/>
    <w:rsid w:val="00F94CC0"/>
    <w:rPr>
      <w:sz w:val="16"/>
    </w:rPr>
  </w:style>
  <w:style w:type="paragraph" w:customStyle="1" w:styleId="WideTable">
    <w:name w:val="Wide Table"/>
    <w:basedOn w:val="Normal"/>
    <w:rsid w:val="00F94CC0"/>
    <w:pPr>
      <w:ind w:left="-1418"/>
    </w:pPr>
    <w:rPr>
      <w:sz w:val="2"/>
      <w:szCs w:val="2"/>
    </w:rPr>
  </w:style>
  <w:style w:type="character" w:styleId="PageNumber">
    <w:name w:val="page number"/>
    <w:basedOn w:val="DefaultParagraphFont"/>
    <w:rsid w:val="00F94CC0"/>
  </w:style>
  <w:style w:type="paragraph" w:styleId="Quote">
    <w:name w:val="Quote"/>
    <w:basedOn w:val="Heading1"/>
    <w:link w:val="QuoteChar"/>
    <w:qFormat/>
    <w:rsid w:val="00F94CC0"/>
    <w:rPr>
      <w:b w:val="0"/>
      <w:sz w:val="72"/>
      <w:szCs w:val="72"/>
      <w:lang w:val="en-NZ"/>
    </w:rPr>
  </w:style>
  <w:style w:type="character" w:customStyle="1" w:styleId="QuoteChar">
    <w:name w:val="Quote Char"/>
    <w:basedOn w:val="DefaultParagraphFont"/>
    <w:link w:val="Quote"/>
    <w:rsid w:val="00F94C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CC0"/>
    <w:pPr>
      <w:pageBreakBefore/>
    </w:pPr>
  </w:style>
  <w:style w:type="paragraph" w:customStyle="1" w:styleId="Border">
    <w:name w:val="Border"/>
    <w:basedOn w:val="Normal"/>
    <w:qFormat/>
    <w:rsid w:val="00F94C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CC0"/>
    <w:rPr>
      <w:b/>
      <w:bCs/>
      <w:i/>
      <w:iCs/>
      <w:color w:val="auto"/>
    </w:rPr>
  </w:style>
  <w:style w:type="paragraph" w:styleId="IntenseQuote">
    <w:name w:val="Intense Quote"/>
    <w:basedOn w:val="Normal"/>
    <w:next w:val="Normal"/>
    <w:link w:val="IntenseQuoteChar"/>
    <w:uiPriority w:val="30"/>
    <w:qFormat/>
    <w:rsid w:val="00F94C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C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CC0"/>
    <w:rPr>
      <w:smallCaps/>
      <w:color w:val="auto"/>
      <w:u w:val="single"/>
    </w:rPr>
  </w:style>
  <w:style w:type="character" w:styleId="IntenseReference">
    <w:name w:val="Intense Reference"/>
    <w:basedOn w:val="DefaultParagraphFont"/>
    <w:uiPriority w:val="32"/>
    <w:qFormat/>
    <w:rsid w:val="00F94CC0"/>
    <w:rPr>
      <w:b/>
      <w:bCs/>
      <w:smallCaps/>
      <w:color w:val="auto"/>
      <w:spacing w:val="5"/>
      <w:u w:val="single"/>
    </w:rPr>
  </w:style>
  <w:style w:type="paragraph" w:customStyle="1" w:styleId="2ColumnHeading">
    <w:name w:val="2Column Heading"/>
    <w:basedOn w:val="BodyText"/>
    <w:qFormat/>
    <w:rsid w:val="00F94CC0"/>
    <w:pPr>
      <w:spacing w:after="60"/>
      <w:ind w:left="-2268"/>
    </w:pPr>
    <w:rPr>
      <w:b/>
    </w:rPr>
  </w:style>
  <w:style w:type="paragraph" w:customStyle="1" w:styleId="Heading1TOC">
    <w:name w:val="Heading1 TOC"/>
    <w:basedOn w:val="Normal"/>
    <w:qFormat/>
    <w:rsid w:val="00F94CC0"/>
    <w:pPr>
      <w:spacing w:before="240" w:after="120"/>
    </w:pPr>
    <w:rPr>
      <w:rFonts w:ascii="Times New Roman" w:hAnsi="Times New Roman"/>
      <w:b/>
      <w:sz w:val="32"/>
    </w:rPr>
  </w:style>
  <w:style w:type="paragraph" w:customStyle="1" w:styleId="Heading2TOC">
    <w:name w:val="Heading2 TOC"/>
    <w:basedOn w:val="Normal"/>
    <w:qFormat/>
    <w:rsid w:val="00F94CC0"/>
    <w:pPr>
      <w:spacing w:before="240" w:after="60"/>
    </w:pPr>
    <w:rPr>
      <w:rFonts w:ascii="Times New Roman" w:hAnsi="Times New Roman"/>
      <w:b/>
      <w:sz w:val="28"/>
    </w:rPr>
  </w:style>
  <w:style w:type="character" w:customStyle="1" w:styleId="Underline">
    <w:name w:val="Underline"/>
    <w:basedOn w:val="DefaultParagraphFont"/>
    <w:qFormat/>
    <w:rsid w:val="00F94CC0"/>
    <w:rPr>
      <w:u w:val="single"/>
    </w:rPr>
  </w:style>
  <w:style w:type="character" w:customStyle="1" w:styleId="BoldandItalics">
    <w:name w:val="Bold and Italics"/>
    <w:qFormat/>
    <w:rsid w:val="00F94CC0"/>
    <w:rPr>
      <w:b/>
      <w:i/>
      <w:u w:val="none"/>
    </w:rPr>
  </w:style>
  <w:style w:type="paragraph" w:styleId="BalloonText">
    <w:name w:val="Balloon Text"/>
    <w:basedOn w:val="Normal"/>
    <w:link w:val="BalloonTextChar"/>
    <w:rsid w:val="00F94CC0"/>
    <w:rPr>
      <w:rFonts w:ascii="Tahoma" w:hAnsi="Tahoma" w:cs="Tahoma"/>
      <w:sz w:val="16"/>
      <w:szCs w:val="16"/>
    </w:rPr>
  </w:style>
  <w:style w:type="character" w:customStyle="1" w:styleId="BalloonTextChar">
    <w:name w:val="Balloon Text Char"/>
    <w:basedOn w:val="DefaultParagraphFont"/>
    <w:link w:val="BalloonText"/>
    <w:rsid w:val="00F94C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C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4C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CC0"/>
    <w:rPr>
      <w:b/>
      <w:color w:val="660033"/>
      <w:spacing w:val="0"/>
    </w:rPr>
  </w:style>
  <w:style w:type="paragraph" w:customStyle="1" w:styleId="Nameditemlist">
    <w:name w:val="Named item list"/>
    <w:basedOn w:val="BodyText"/>
    <w:qFormat/>
    <w:rsid w:val="00F94C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2367</Words>
  <Characters>14396</Characters>
  <Application>Microsoft Office Word</Application>
  <DocSecurity>0</DocSecurity>
  <Lines>625</Lines>
  <Paragraphs>242</Paragraphs>
  <ScaleCrop>false</ScaleCrop>
  <Company>Author-it Software Corporation Ltd.</Company>
  <LinksUpToDate>false</LinksUpToDate>
  <CharactersWithSpaces>16564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UEGNSG609B Coordinate repair of faults in gas processing/storage facilities and equipment</dc:title>
  <dc:subject>Approved</dc:subject>
  <dc:creator>E-OZ Training Standards</dc:creator>
  <cp:keywords>Release: 1</cp:keywords>
  <dc:description>Review Date: 12 April 2008</dc:description>
  <cp:lastModifiedBy>HSD_TPCMSd.prod</cp:lastModifiedBy>
  <cp:revision>3</cp:revision>
  <dcterms:created xsi:type="dcterms:W3CDTF">2013-10-25T06:31:00Z</dcterms:created>
  <dcterms:modified xsi:type="dcterms:W3CDTF">2013-10-25T06:31:00Z</dcterms:modified>
</cp:coreProperties>
</file>