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4449" w:rsidP="00F24449">
      <w:pPr>
        <w:pStyle w:val="Title"/>
      </w:pPr>
      <w:r>
        <w:fldChar w:fldCharType="begin"/>
      </w:r>
      <w:r>
        <w:instrText xml:space="preserve"> TITLE   \* MERGEFORMAT </w:instrText>
      </w:r>
      <w:r>
        <w:fldChar w:fldCharType="separate"/>
      </w:r>
      <w:r>
        <w:t>UEGNSG608B Perform minor maintenance on gas processing/storage facilities and equipment</w:t>
      </w:r>
      <w:r>
        <w:fldChar w:fldCharType="end"/>
      </w:r>
    </w:p>
    <w:p w:rsidR="00F24449" w:rsidP="00F24449">
      <w:pPr>
        <w:pStyle w:val="Version"/>
        <w:sectPr w:rsidSect="006D3F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3FD1" w:rsidP="006D3FD1">
      <w:pPr>
        <w:pStyle w:val="SuperHeading"/>
      </w:pPr>
      <w:r w:rsidRPr="006D3FD1">
        <w:t>UEGNSG608B Perform minor maintenance on gas processing/storage facilities and equipment</w:t>
      </w:r>
    </w:p>
    <w:p w:rsidR="00000000" w:rsidRPr="006D3FD1" w:rsidP="006D3FD1">
      <w:pPr>
        <w:pStyle w:val="Heading1"/>
      </w:pPr>
      <w:bookmarkStart w:id="1" w:name="O_403822"/>
      <w:bookmarkEnd w:id="1"/>
      <w:r w:rsidRPr="006D3FD1">
        <w:t>Modification History</w:t>
      </w:r>
    </w:p>
    <w:p w:rsidR="00000000" w:rsidRPr="006D3FD1" w:rsidP="006D3FD1">
      <w:pPr>
        <w:pStyle w:val="BodyText"/>
      </w:pPr>
      <w:r w:rsidRPr="006D3FD1">
        <w:t>Not applicable.</w:t>
      </w:r>
    </w:p>
    <w:p w:rsidR="00000000" w:rsidRPr="006D3FD1" w:rsidP="006D3FD1">
      <w:pPr>
        <w:pStyle w:val="AllowPageBreak"/>
      </w:pPr>
    </w:p>
    <w:p w:rsidR="00000000" w:rsidRPr="006D3FD1" w:rsidP="006D3FD1">
      <w:pPr>
        <w:pStyle w:val="Heading1"/>
      </w:pPr>
      <w:bookmarkStart w:id="2" w:name="O_403820"/>
      <w:bookmarkEnd w:id="2"/>
      <w:r w:rsidRPr="006D3FD1">
        <w:t>Unit Descriptor</w:t>
      </w:r>
    </w:p>
    <w:tbl>
      <w:tblPr>
        <w:tblW w:w="0" w:type="auto"/>
        <w:tblLayout w:type="fixed"/>
        <w:tblCellMar>
          <w:left w:w="62" w:type="dxa"/>
          <w:right w:w="62" w:type="dxa"/>
        </w:tblCellMar>
        <w:tblLook w:val="0000"/>
      </w:tblPr>
      <w:tblGrid>
        <w:gridCol w:w="2700"/>
        <w:gridCol w:w="5760"/>
      </w:tblGrid>
      <w:tr w:rsidTr="00F2444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3FD1" w:rsidP="006D3FD1">
            <w:pPr>
              <w:pStyle w:val="BodyText"/>
            </w:pPr>
            <w:r w:rsidRPr="006D3FD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rPr>
                <w:rStyle w:val="SpecialBold"/>
              </w:rPr>
              <w:t>1) Scope:</w:t>
            </w:r>
          </w:p>
        </w:tc>
      </w:tr>
      <w:tr w:rsidTr="00F244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D3FD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rPr>
                <w:rStyle w:val="SpecialBold"/>
              </w:rPr>
              <w:t>1.1) Descriptor</w:t>
            </w:r>
          </w:p>
        </w:tc>
      </w:tr>
      <w:tr w:rsidTr="00F244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D3FD1" w:rsidP="006D3FD1">
            <w:pPr>
              <w:pStyle w:val="BodyText"/>
            </w:pPr>
            <w:r w:rsidRPr="006D3FD1">
              <w:t>This Competency Standard Unit covers the performing of minor maintenance on liquefied petroleum gas processing facilities and equipment. The competency standard also refers to pressure vessels and fittings; types of variations or irregularities; appropriat</w:t>
            </w:r>
            <w:r w:rsidRPr="006D3FD1">
              <w:t>e parts; types of adjustments; relevant documentation.</w:t>
            </w:r>
          </w:p>
        </w:tc>
      </w:tr>
    </w:tbl>
    <w:p w:rsidR="00000000" w:rsidRPr="006D3FD1" w:rsidP="006D3FD1">
      <w:pPr>
        <w:pStyle w:val="BodyText"/>
      </w:pPr>
    </w:p>
    <w:p w:rsidR="00000000" w:rsidRPr="006D3FD1" w:rsidP="006D3FD1">
      <w:pPr>
        <w:pStyle w:val="AllowPageBreak"/>
      </w:pPr>
    </w:p>
    <w:p w:rsidR="00000000" w:rsidRPr="006D3FD1" w:rsidP="006D3FD1">
      <w:pPr>
        <w:pStyle w:val="Heading1"/>
      </w:pPr>
      <w:bookmarkStart w:id="3" w:name="O_403809"/>
      <w:bookmarkEnd w:id="3"/>
      <w:r w:rsidRPr="006D3FD1">
        <w:t>Application of the Unit</w:t>
      </w:r>
    </w:p>
    <w:tbl>
      <w:tblPr>
        <w:tblW w:w="0" w:type="auto"/>
        <w:tblLayout w:type="fixed"/>
        <w:tblCellMar>
          <w:left w:w="62" w:type="dxa"/>
          <w:right w:w="62" w:type="dxa"/>
        </w:tblCellMar>
        <w:tblLook w:val="0000"/>
      </w:tblPr>
      <w:tblGrid>
        <w:gridCol w:w="2672"/>
        <w:gridCol w:w="5699"/>
      </w:tblGrid>
      <w:tr w:rsidTr="00F2444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D3FD1" w:rsidP="006D3FD1">
            <w:pPr>
              <w:pStyle w:val="BodyText"/>
            </w:pPr>
            <w:r w:rsidRPr="006D3FD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rPr>
                <w:rStyle w:val="SpecialBold"/>
              </w:rPr>
              <w:t>2)</w:t>
            </w:r>
          </w:p>
        </w:tc>
      </w:tr>
      <w:tr w:rsidTr="00F2444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D3FD1" w:rsidP="006D3FD1">
            <w:pPr>
              <w:pStyle w:val="BodyText"/>
            </w:pPr>
            <w:r w:rsidRPr="006D3FD1">
              <w:t>This competency standard shall apply to any basic and safe work site where Gas Industry operations occur. It could also apply, where applicable to other workplaces in the electricity supply industry (transmission and distribution and generation), the elect</w:t>
            </w:r>
            <w:r w:rsidRPr="006D3FD1">
              <w:t>rotechnology industry and the water industry, subject to all Occupational Health and Safety and duty of care requirements being met for the workplace.</w:t>
            </w:r>
          </w:p>
        </w:tc>
      </w:tr>
    </w:tbl>
    <w:p w:rsidR="00000000" w:rsidRPr="006D3FD1" w:rsidP="006D3FD1">
      <w:pPr>
        <w:pStyle w:val="BodyText"/>
      </w:pPr>
    </w:p>
    <w:p w:rsidR="00000000" w:rsidRPr="006D3FD1" w:rsidP="006D3FD1">
      <w:pPr>
        <w:pStyle w:val="AllowPageBreak"/>
      </w:pPr>
    </w:p>
    <w:p w:rsidR="00000000" w:rsidRPr="006D3FD1" w:rsidP="006D3FD1">
      <w:pPr>
        <w:pStyle w:val="Heading1"/>
      </w:pPr>
      <w:bookmarkStart w:id="4" w:name="O_403816"/>
      <w:bookmarkEnd w:id="4"/>
      <w:r w:rsidRPr="006D3FD1">
        <w:t>Licensing/Regulatory Information</w:t>
      </w:r>
    </w:p>
    <w:tbl>
      <w:tblPr>
        <w:tblW w:w="0" w:type="auto"/>
        <w:tblLayout w:type="fixed"/>
        <w:tblCellMar>
          <w:left w:w="62" w:type="dxa"/>
          <w:right w:w="62" w:type="dxa"/>
        </w:tblCellMar>
        <w:tblLook w:val="0000"/>
      </w:tblPr>
      <w:tblGrid>
        <w:gridCol w:w="2700"/>
        <w:gridCol w:w="5760"/>
      </w:tblGrid>
      <w:tr w:rsidTr="00F2444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3FD1" w:rsidP="006D3FD1">
            <w:pPr>
              <w:pStyle w:val="BodyText"/>
            </w:pPr>
            <w:r w:rsidRPr="006D3FD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rPr>
                <w:rStyle w:val="SpecialBold"/>
              </w:rPr>
              <w:t xml:space="preserve">3) </w:t>
            </w:r>
          </w:p>
        </w:tc>
      </w:tr>
      <w:tr w:rsidTr="00F244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D3FD1" w:rsidP="006D3FD1">
            <w:pPr>
              <w:pStyle w:val="BodyText"/>
            </w:pPr>
            <w:r w:rsidRPr="006D3FD1">
              <w:t>The skills and knowledge de</w:t>
            </w:r>
            <w:r w:rsidRPr="006D3FD1">
              <w:t xml:space="preserve">scribed in this unit are not subject to licence regulation other than those directly related to Occupational Health and Safety, gas/electricity/water industry safety and compliance, </w:t>
            </w:r>
            <w:r w:rsidRPr="006D3FD1">
              <w:t>industrial relations, environmental protection, telecommunications, anti d</w:t>
            </w:r>
            <w:r w:rsidRPr="006D3FD1">
              <w:t>iscrimination and training. Commonwealth, State/Territory or Local Government legislation and regulations may exist that limits the age of operating certain equipment.</w:t>
            </w:r>
          </w:p>
        </w:tc>
      </w:tr>
    </w:tbl>
    <w:p w:rsidR="00000000" w:rsidRPr="006D3FD1" w:rsidP="006D3FD1">
      <w:pPr>
        <w:pStyle w:val="BodyText"/>
      </w:pPr>
    </w:p>
    <w:p w:rsidR="00000000" w:rsidRPr="006D3FD1" w:rsidP="006D3FD1">
      <w:pPr>
        <w:pStyle w:val="AllowPageBreak"/>
      </w:pPr>
    </w:p>
    <w:p w:rsidR="00000000" w:rsidRPr="006D3FD1" w:rsidP="006D3FD1">
      <w:pPr>
        <w:pStyle w:val="Heading1"/>
      </w:pPr>
      <w:bookmarkStart w:id="5" w:name="O_403817"/>
      <w:bookmarkEnd w:id="5"/>
      <w:r w:rsidRPr="006D3FD1">
        <w:t>Pre-Requisites</w:t>
      </w:r>
    </w:p>
    <w:tbl>
      <w:tblPr>
        <w:tblW w:w="0" w:type="auto"/>
        <w:tblLayout w:type="fixed"/>
        <w:tblCellMar>
          <w:left w:w="62" w:type="dxa"/>
          <w:right w:w="62" w:type="dxa"/>
        </w:tblCellMar>
        <w:tblLook w:val="0000"/>
      </w:tblPr>
      <w:tblGrid>
        <w:gridCol w:w="2700"/>
        <w:gridCol w:w="1800"/>
        <w:gridCol w:w="3960"/>
      </w:tblGrid>
      <w:tr w:rsidTr="00F2444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3FD1" w:rsidP="006D3FD1">
            <w:pPr>
              <w:pStyle w:val="BodyText"/>
            </w:pPr>
            <w:r w:rsidRPr="006D3FD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rPr>
                <w:rStyle w:val="SpecialBold"/>
              </w:rPr>
              <w:t xml:space="preserve">4) </w:t>
            </w:r>
          </w:p>
        </w:tc>
      </w:tr>
      <w:tr w:rsidTr="00F244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D3FD1" w:rsidP="006D3FD1">
            <w:pPr>
              <w:pStyle w:val="BodyText"/>
            </w:pPr>
            <w:r w:rsidRPr="006D3FD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rPr>
                <w:rStyle w:val="SpecialBold"/>
              </w:rPr>
              <w:t>4.1)</w:t>
            </w:r>
          </w:p>
        </w:tc>
      </w:tr>
      <w:tr w:rsidTr="00F244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Granting of competency in this unit shall be made only after competency in the following unit(s) has/have been confirmed:</w:t>
            </w:r>
          </w:p>
        </w:tc>
      </w:tr>
      <w:tr w:rsidTr="00F244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Nil</w:t>
            </w:r>
          </w:p>
        </w:tc>
        <w:tc>
          <w:tcPr>
            <w:tcW w:w="3960" w:type="dxa"/>
            <w:tcBorders>
              <w:top w:val="nil"/>
              <w:left w:val="nil"/>
              <w:bottom w:val="nil"/>
              <w:right w:val="nil"/>
            </w:tcBorders>
            <w:tcMar>
              <w:top w:w="0" w:type="dxa"/>
              <w:left w:w="62" w:type="dxa"/>
              <w:bottom w:w="0" w:type="dxa"/>
              <w:right w:w="62" w:type="dxa"/>
            </w:tcMar>
          </w:tcPr>
          <w:p w:rsidR="00000000" w:rsidRPr="006D3FD1" w:rsidP="006D3FD1">
            <w:pPr>
              <w:pStyle w:val="BodyText"/>
            </w:pPr>
          </w:p>
        </w:tc>
      </w:tr>
    </w:tbl>
    <w:p w:rsidR="00000000" w:rsidRPr="006D3FD1" w:rsidP="006D3FD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244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D3FD1" w:rsidP="006D3FD1">
            <w:pPr>
              <w:pStyle w:val="BodyText"/>
            </w:pPr>
            <w:r w:rsidRPr="006D3FD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6D3FD1" w:rsidP="006D3FD1">
            <w:pPr>
              <w:pStyle w:val="BodyText"/>
            </w:pPr>
            <w:r w:rsidRPr="006D3FD1">
              <w:rPr>
                <w:rStyle w:val="SpecialBold"/>
              </w:rPr>
              <w:t xml:space="preserve">4.2) </w:t>
            </w:r>
          </w:p>
          <w:p w:rsidR="00000000" w:rsidP="006D3FD1">
            <w:pPr>
              <w:pStyle w:val="BodyText"/>
              <w:rPr>
                <w:lang w:val="en-NZ"/>
              </w:rPr>
            </w:pPr>
            <w:r w:rsidRPr="006D3FD1">
              <w:t>Participants are best equipped to achieve this unit if they have reading, writing and num</w:t>
            </w:r>
            <w:r w:rsidRPr="006D3FD1">
              <w:t>eracy skills indicated by the following scales. Description of each scale is given in Volume 2, Part 3 ‘Literacy and Numeracy’</w:t>
            </w:r>
          </w:p>
        </w:tc>
      </w:tr>
      <w:tr w:rsidTr="00F244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Reading</w:t>
            </w:r>
          </w:p>
        </w:tc>
        <w:tc>
          <w:tcPr>
            <w:tcW w:w="81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3</w:t>
            </w:r>
          </w:p>
        </w:tc>
        <w:tc>
          <w:tcPr>
            <w:tcW w:w="99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Writing</w:t>
            </w:r>
          </w:p>
        </w:tc>
        <w:tc>
          <w:tcPr>
            <w:tcW w:w="90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3</w:t>
            </w:r>
          </w:p>
        </w:tc>
        <w:tc>
          <w:tcPr>
            <w:tcW w:w="12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Numeracy</w:t>
            </w:r>
          </w:p>
        </w:tc>
        <w:tc>
          <w:tcPr>
            <w:tcW w:w="720" w:type="dxa"/>
            <w:tcBorders>
              <w:top w:val="nil"/>
              <w:left w:val="nil"/>
              <w:bottom w:val="nil"/>
              <w:right w:val="nil"/>
            </w:tcBorders>
            <w:tcMar>
              <w:top w:w="0" w:type="dxa"/>
              <w:left w:w="62" w:type="dxa"/>
              <w:bottom w:w="0" w:type="dxa"/>
              <w:right w:w="62" w:type="dxa"/>
            </w:tcMar>
          </w:tcPr>
          <w:p w:rsidR="00000000" w:rsidRPr="006D3FD1" w:rsidP="006D3FD1">
            <w:pPr>
              <w:pStyle w:val="BodyText"/>
            </w:pPr>
            <w:r w:rsidRPr="006D3FD1">
              <w:t>3</w:t>
            </w:r>
          </w:p>
        </w:tc>
      </w:tr>
    </w:tbl>
    <w:p w:rsidR="00000000" w:rsidRPr="006D3FD1" w:rsidP="006D3FD1">
      <w:pPr>
        <w:pStyle w:val="BodyText"/>
      </w:pPr>
    </w:p>
    <w:p w:rsidR="00000000" w:rsidRPr="006D3FD1" w:rsidP="006D3FD1">
      <w:pPr>
        <w:pStyle w:val="AllowPageBreak"/>
      </w:pPr>
    </w:p>
    <w:p w:rsidR="00000000" w:rsidRPr="006D3FD1" w:rsidP="006D3FD1">
      <w:pPr>
        <w:pStyle w:val="Heading1"/>
      </w:pPr>
      <w:bookmarkStart w:id="6" w:name="O_403813"/>
      <w:bookmarkEnd w:id="6"/>
      <w:r w:rsidRPr="006D3FD1">
        <w:t>Employability Skills Information</w:t>
      </w:r>
    </w:p>
    <w:tbl>
      <w:tblPr>
        <w:tblW w:w="0" w:type="auto"/>
        <w:tblLayout w:type="fixed"/>
        <w:tblCellMar>
          <w:left w:w="62" w:type="dxa"/>
          <w:right w:w="62" w:type="dxa"/>
        </w:tblCellMar>
        <w:tblLook w:val="0000"/>
      </w:tblPr>
      <w:tblGrid>
        <w:gridCol w:w="2700"/>
        <w:gridCol w:w="5760"/>
      </w:tblGrid>
      <w:tr w:rsidTr="00F2444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3FD1" w:rsidP="006D3FD1">
            <w:pPr>
              <w:pStyle w:val="BodyText"/>
            </w:pPr>
            <w:r w:rsidRPr="006D3FD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rPr>
                <w:rStyle w:val="SpecialBold"/>
              </w:rPr>
              <w:t xml:space="preserve">5) </w:t>
            </w:r>
          </w:p>
        </w:tc>
      </w:tr>
      <w:tr w:rsidTr="00F244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This unit contains Employability Skills</w:t>
            </w:r>
          </w:p>
        </w:tc>
      </w:tr>
      <w:tr w:rsidTr="00F244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D3FD1" w:rsidP="006D3FD1">
            <w:pPr>
              <w:pStyle w:val="BodyText"/>
            </w:pPr>
            <w:r w:rsidRPr="006D3FD1">
              <w:t xml:space="preserve">The required outcomes described in this unit of competency contain applicable facets of Employability Skills. The Employability Skills Summary of the qualification in which this unit of competency is packaged will </w:t>
            </w:r>
            <w:r w:rsidRPr="006D3FD1">
              <w:t>assist in identifying Employability Skill requirements.</w:t>
            </w:r>
          </w:p>
        </w:tc>
      </w:tr>
    </w:tbl>
    <w:p w:rsidR="00000000" w:rsidRPr="006D3FD1" w:rsidP="006D3FD1">
      <w:pPr>
        <w:pStyle w:val="BodyText"/>
      </w:pPr>
    </w:p>
    <w:p w:rsidR="00000000" w:rsidRPr="006D3FD1" w:rsidP="006D3FD1">
      <w:pPr>
        <w:pStyle w:val="AllowPageBreak"/>
      </w:pPr>
    </w:p>
    <w:p w:rsidR="00000000" w:rsidRPr="006D3FD1" w:rsidP="006D3FD1">
      <w:pPr>
        <w:pStyle w:val="Heading1"/>
      </w:pPr>
      <w:bookmarkStart w:id="7" w:name="O_403812"/>
      <w:bookmarkEnd w:id="7"/>
      <w:r w:rsidRPr="006D3FD1">
        <w:t>Elements and Performance Criteria Pre-Content</w:t>
      </w:r>
    </w:p>
    <w:tbl>
      <w:tblPr>
        <w:tblW w:w="0" w:type="auto"/>
        <w:tblLayout w:type="fixed"/>
        <w:tblCellMar>
          <w:left w:w="62" w:type="dxa"/>
          <w:right w:w="62" w:type="dxa"/>
        </w:tblCellMar>
        <w:tblLook w:val="0000"/>
      </w:tblPr>
      <w:tblGrid>
        <w:gridCol w:w="2700"/>
        <w:gridCol w:w="5760"/>
      </w:tblGrid>
      <w:tr w:rsidTr="00F244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rPr>
                <w:rStyle w:val="SpecialBold"/>
              </w:rPr>
              <w:t>6)</w:t>
            </w:r>
            <w:r w:rsidRPr="006D3FD1">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D3FD1" w:rsidP="006D3FD1">
            <w:pPr>
              <w:pStyle w:val="BodyText"/>
            </w:pPr>
            <w:r w:rsidRPr="006D3FD1">
              <w:t>Performance Criteria describe the required performance needed</w:t>
            </w:r>
            <w:r w:rsidRPr="006D3FD1">
              <w:t xml:space="preserve"> to demonstrate achievement of the element. Assessment of performance is to be consistent with the Evidence Guide.</w:t>
            </w:r>
          </w:p>
        </w:tc>
      </w:tr>
    </w:tbl>
    <w:p w:rsidR="00000000" w:rsidRPr="006D3FD1" w:rsidP="006D3FD1">
      <w:pPr>
        <w:pStyle w:val="BodyText"/>
      </w:pPr>
    </w:p>
    <w:p w:rsidR="00000000" w:rsidRPr="006D3FD1" w:rsidP="006D3FD1">
      <w:pPr>
        <w:pStyle w:val="AllowPageBreak"/>
      </w:pPr>
    </w:p>
    <w:p w:rsidR="00000000" w:rsidRPr="006D3FD1" w:rsidP="006D3FD1">
      <w:pPr>
        <w:pStyle w:val="Heading1"/>
      </w:pPr>
      <w:bookmarkStart w:id="8" w:name="O_403811"/>
      <w:bookmarkEnd w:id="8"/>
      <w:r w:rsidRPr="006D3FD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2444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D3FD1" w:rsidP="006D3FD1">
            <w:pPr>
              <w:pStyle w:val="BodyText"/>
            </w:pPr>
            <w:r w:rsidRPr="006D3FD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rPr>
                <w:rStyle w:val="SpecialBold"/>
              </w:rPr>
              <w:t>PERFORMANCE CRITERIA</w:t>
            </w:r>
          </w:p>
        </w:tc>
      </w:tr>
      <w:tr w:rsidTr="00F244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1</w:t>
            </w:r>
          </w:p>
        </w:tc>
        <w:tc>
          <w:tcPr>
            <w:tcW w:w="2296"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Prepare and plan for maintenance activities</w:t>
            </w:r>
          </w:p>
        </w:tc>
        <w:tc>
          <w:tcPr>
            <w:tcW w:w="90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1.1</w:t>
            </w:r>
          </w:p>
        </w:tc>
        <w:tc>
          <w:tcPr>
            <w:tcW w:w="48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 xml:space="preserve">All necessary and appropriate facilities, tools, test and measurement instruments, materials and components to allow the completion of the work are selected against the work schedule(s), including drawings, plans, requirements and established procedures </w:t>
            </w:r>
          </w:p>
        </w:tc>
      </w:tr>
      <w:tr w:rsidTr="00F244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1.2</w:t>
            </w:r>
          </w:p>
        </w:tc>
        <w:tc>
          <w:tcPr>
            <w:tcW w:w="48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Relevant requirements and established procedures for the work are communicated to all persons and identified for all work sites</w:t>
            </w:r>
          </w:p>
        </w:tc>
      </w:tr>
      <w:tr w:rsidTr="00F244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1.3</w:t>
            </w:r>
          </w:p>
        </w:tc>
        <w:tc>
          <w:tcPr>
            <w:tcW w:w="48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OHS, environmental and sustainable energy policies and procedures related to performing minor maintenance on gas pr</w:t>
            </w:r>
            <w:r w:rsidRPr="006D3FD1">
              <w:t xml:space="preserve">ocessing and storage facilities and equipment are obtained and confirmed </w:t>
            </w:r>
          </w:p>
        </w:tc>
      </w:tr>
      <w:tr w:rsidTr="00F24449">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1.4</w:t>
            </w:r>
          </w:p>
        </w:tc>
        <w:tc>
          <w:tcPr>
            <w:tcW w:w="48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Work is prioritised and sequenced following consultation with others for completion within acceptable timeframes and in accordance with established procedures</w:t>
            </w:r>
          </w:p>
        </w:tc>
      </w:tr>
      <w:tr w:rsidTr="00F244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1.5</w:t>
            </w:r>
          </w:p>
        </w:tc>
        <w:tc>
          <w:tcPr>
            <w:tcW w:w="48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Risk control measures for identified hazards are prioritised, implemented and monitored against the work schedule</w:t>
            </w:r>
          </w:p>
        </w:tc>
      </w:tr>
      <w:tr w:rsidTr="00F244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1.6</w:t>
            </w:r>
          </w:p>
        </w:tc>
        <w:tc>
          <w:tcPr>
            <w:tcW w:w="48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The facilities and equipment is made safe by ensuring it is safely isolated, depressurised, purged, tagged and locked out before allowi</w:t>
            </w:r>
            <w:r w:rsidRPr="006D3FD1">
              <w:t>ng any repair or maintenance work to be undertaken and the relevant work permits are obtained to access and perform work according to requirements and established procedures</w:t>
            </w:r>
          </w:p>
        </w:tc>
      </w:tr>
      <w:tr w:rsidTr="00F244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1.7</w:t>
            </w:r>
          </w:p>
        </w:tc>
        <w:tc>
          <w:tcPr>
            <w:tcW w:w="48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Resources including appropriately licensed persons, equipment, tools and pe</w:t>
            </w:r>
            <w:r w:rsidRPr="006D3FD1">
              <w:t>rsonal protective equipment required for the job are identified, scheduled and obtained and confirmed in working order</w:t>
            </w:r>
          </w:p>
        </w:tc>
      </w:tr>
      <w:tr w:rsidTr="00F244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1.8</w:t>
            </w:r>
          </w:p>
        </w:tc>
        <w:tc>
          <w:tcPr>
            <w:tcW w:w="48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Relevant persons at worksite are confirmed to be current in First Aid and other related work procedures according to requirements</w:t>
            </w:r>
          </w:p>
        </w:tc>
      </w:tr>
      <w:tr w:rsidTr="00F244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1.9</w:t>
            </w:r>
          </w:p>
        </w:tc>
        <w:tc>
          <w:tcPr>
            <w:tcW w:w="48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Liaison and communication with authorised persons, authorities, clients and land owners is completed so that work can be carried out where necessary</w:t>
            </w:r>
          </w:p>
        </w:tc>
      </w:tr>
      <w:tr w:rsidTr="00F244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1.10</w:t>
            </w:r>
          </w:p>
        </w:tc>
        <w:tc>
          <w:tcPr>
            <w:tcW w:w="48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Site is prepared according to the work schedule and to minimise risk and damage to property,</w:t>
            </w:r>
            <w:r w:rsidRPr="006D3FD1">
              <w:t xml:space="preserve"> commerce and individuals in accordance with established procedures</w:t>
            </w:r>
          </w:p>
        </w:tc>
      </w:tr>
      <w:tr w:rsidTr="00F244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1.11</w:t>
            </w:r>
          </w:p>
        </w:tc>
        <w:tc>
          <w:tcPr>
            <w:tcW w:w="48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Persons participating in the work, including plant operators and contractors are fully briefed and respective responsibilities confirmed where applicable in accordance with establi</w:t>
            </w:r>
            <w:r w:rsidRPr="006D3FD1">
              <w:t xml:space="preserve">shed procedures </w:t>
            </w:r>
          </w:p>
        </w:tc>
      </w:tr>
      <w:tr w:rsidTr="00F244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1.12</w:t>
            </w:r>
          </w:p>
        </w:tc>
        <w:tc>
          <w:tcPr>
            <w:tcW w:w="48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 xml:space="preserve">Fault-finding and troubleshooting techniques are applied to operational systems in order to identify any repairs or maintenance which may need to be undertaken </w:t>
            </w:r>
          </w:p>
        </w:tc>
      </w:tr>
      <w:tr w:rsidTr="00F24449">
        <w:tblPrEx>
          <w:tblW w:w="0" w:type="auto"/>
          <w:tblLayout w:type="fixed"/>
          <w:tblCellMar>
            <w:left w:w="62" w:type="dxa"/>
            <w:right w:w="62" w:type="dxa"/>
          </w:tblCellMar>
          <w:tblLook w:val="0000"/>
        </w:tblPrEx>
        <w:trPr>
          <w:trHeight w:val="76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1.13</w:t>
            </w:r>
          </w:p>
        </w:tc>
        <w:tc>
          <w:tcPr>
            <w:tcW w:w="48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Road signs, barriers and warning devices are positioned in accordance with requirements including traffic management plans</w:t>
            </w:r>
          </w:p>
        </w:tc>
      </w:tr>
      <w:tr w:rsidTr="00F24449">
        <w:tblPrEx>
          <w:tblW w:w="0" w:type="auto"/>
          <w:tblLayout w:type="fixed"/>
          <w:tblCellMar>
            <w:left w:w="62" w:type="dxa"/>
            <w:right w:w="62" w:type="dxa"/>
          </w:tblCellMar>
          <w:tblLook w:val="0000"/>
        </w:tblPrEx>
        <w:trPr>
          <w:trHeight w:val="1003"/>
        </w:trPr>
        <w:tc>
          <w:tcPr>
            <w:tcW w:w="404"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2</w:t>
            </w:r>
          </w:p>
        </w:tc>
        <w:tc>
          <w:tcPr>
            <w:tcW w:w="2296"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Perform minor maintenance on gas processing/storage facilities</w:t>
            </w:r>
          </w:p>
        </w:tc>
        <w:tc>
          <w:tcPr>
            <w:tcW w:w="90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2.1</w:t>
            </w:r>
          </w:p>
        </w:tc>
        <w:tc>
          <w:tcPr>
            <w:tcW w:w="48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OHS policies and procedures and safe work practices are followe</w:t>
            </w:r>
            <w:r w:rsidRPr="006D3FD1">
              <w:t>d to eliminate or minimise incidents and hazards</w:t>
            </w:r>
          </w:p>
        </w:tc>
      </w:tr>
      <w:tr w:rsidTr="00F244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2.2</w:t>
            </w:r>
          </w:p>
        </w:tc>
        <w:tc>
          <w:tcPr>
            <w:tcW w:w="48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Lifting, climbing, working in confined spaces or aloft, and use of power tools, techniques and practices are safely followed and currency according to requirements confirmed</w:t>
            </w:r>
          </w:p>
        </w:tc>
      </w:tr>
      <w:tr w:rsidTr="00F244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2.3</w:t>
            </w:r>
          </w:p>
        </w:tc>
        <w:tc>
          <w:tcPr>
            <w:tcW w:w="48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Essential Knowledge and Associated Skills for the performing of minor maintenance on gas processing and storage facilities and equipment is applied to ensure completion in an agreed timeframe and to quality standards with a minimum of waste according to re</w:t>
            </w:r>
            <w:r w:rsidRPr="006D3FD1">
              <w:t>quirements</w:t>
            </w:r>
          </w:p>
        </w:tc>
      </w:tr>
      <w:tr w:rsidTr="00F244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2.4</w:t>
            </w:r>
          </w:p>
        </w:tc>
        <w:tc>
          <w:tcPr>
            <w:tcW w:w="48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 xml:space="preserve">Adjustments to calibration and test equipment and devices are made to ensure equipment and devices operate within specific ranges and to maintain correct flow parameters to ensure gas availability </w:t>
            </w:r>
          </w:p>
        </w:tc>
      </w:tr>
      <w:tr w:rsidTr="00F244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2.5</w:t>
            </w:r>
          </w:p>
        </w:tc>
        <w:tc>
          <w:tcPr>
            <w:tcW w:w="48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Hazard warnings and safety signs are recognised and hazards and assessed OHS risks are reported to the immediate authorised persons for directions according to established procedures</w:t>
            </w:r>
          </w:p>
        </w:tc>
      </w:tr>
      <w:tr w:rsidTr="00F244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2.6</w:t>
            </w:r>
          </w:p>
        </w:tc>
        <w:tc>
          <w:tcPr>
            <w:tcW w:w="48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Unplanned events in performing minor maintenance on gas processing</w:t>
            </w:r>
            <w:r w:rsidRPr="006D3FD1">
              <w:t xml:space="preserve">/storage facilities and equipment are undertaken with the scope of established procedures </w:t>
            </w:r>
          </w:p>
        </w:tc>
      </w:tr>
      <w:tr w:rsidTr="00F244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2.7</w:t>
            </w:r>
          </w:p>
        </w:tc>
        <w:tc>
          <w:tcPr>
            <w:tcW w:w="48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Parts are replaced and known solutions to a variety of problems are applied using Essential Knowledge and Associated Skills</w:t>
            </w:r>
          </w:p>
        </w:tc>
      </w:tr>
      <w:tr w:rsidTr="00F244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2.8</w:t>
            </w:r>
          </w:p>
        </w:tc>
        <w:tc>
          <w:tcPr>
            <w:tcW w:w="48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Maintenance is performed an</w:t>
            </w:r>
            <w:r w:rsidRPr="006D3FD1">
              <w:t>d ongoing checks of quality of the work are undertaken in accordance with given instructions and established procedures</w:t>
            </w:r>
          </w:p>
        </w:tc>
      </w:tr>
      <w:tr w:rsidTr="00F244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3</w:t>
            </w:r>
          </w:p>
        </w:tc>
        <w:tc>
          <w:tcPr>
            <w:tcW w:w="2296"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Record and report results</w:t>
            </w:r>
          </w:p>
        </w:tc>
        <w:tc>
          <w:tcPr>
            <w:tcW w:w="90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3.1</w:t>
            </w:r>
          </w:p>
        </w:tc>
        <w:tc>
          <w:tcPr>
            <w:tcW w:w="48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Maintenance results are documented and work undertaken is checked against work schedules for conformance with requirements and anomalies reported in accordance with established procedures</w:t>
            </w:r>
          </w:p>
        </w:tc>
      </w:tr>
      <w:tr w:rsidTr="00F24449">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3.2</w:t>
            </w:r>
          </w:p>
        </w:tc>
        <w:tc>
          <w:tcPr>
            <w:tcW w:w="48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Accidents and injuries are reported in accordance with requir</w:t>
            </w:r>
            <w:r w:rsidRPr="006D3FD1">
              <w:t>ements and established procedures where applicable</w:t>
            </w:r>
          </w:p>
        </w:tc>
      </w:tr>
      <w:tr w:rsidTr="00F244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3.3</w:t>
            </w:r>
          </w:p>
        </w:tc>
        <w:tc>
          <w:tcPr>
            <w:tcW w:w="48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Work site is rehabilitated, cleaned up and made safe in accordance with given instructions and established procedures</w:t>
            </w:r>
          </w:p>
        </w:tc>
      </w:tr>
      <w:tr w:rsidTr="00F244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3.4</w:t>
            </w:r>
          </w:p>
        </w:tc>
        <w:tc>
          <w:tcPr>
            <w:tcW w:w="48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Tools, equipment and any surplus resources and materials are, where appropriate, cleaned, checked and returned to storage in accordance with established procedures</w:t>
            </w:r>
          </w:p>
        </w:tc>
      </w:tr>
      <w:tr w:rsidTr="00F24449">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3.5</w:t>
            </w:r>
          </w:p>
        </w:tc>
        <w:tc>
          <w:tcPr>
            <w:tcW w:w="48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Relevant work permit(s) are signed off and equipment is returned to service in accord</w:t>
            </w:r>
            <w:r w:rsidRPr="006D3FD1">
              <w:t>ance with requirements</w:t>
            </w:r>
          </w:p>
        </w:tc>
      </w:tr>
      <w:tr w:rsidTr="00F244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3.6</w:t>
            </w:r>
          </w:p>
        </w:tc>
        <w:tc>
          <w:tcPr>
            <w:tcW w:w="4860" w:type="dxa"/>
            <w:tcBorders>
              <w:top w:val="nil"/>
              <w:left w:val="nil"/>
              <w:bottom w:val="nil"/>
              <w:right w:val="nil"/>
            </w:tcBorders>
            <w:tcMar>
              <w:top w:w="0" w:type="dxa"/>
              <w:left w:w="62" w:type="dxa"/>
              <w:bottom w:w="0" w:type="dxa"/>
              <w:right w:w="62" w:type="dxa"/>
            </w:tcMar>
          </w:tcPr>
          <w:p w:rsidR="00000000" w:rsidRPr="006D3FD1" w:rsidP="006D3FD1">
            <w:pPr>
              <w:pStyle w:val="BodyText"/>
            </w:pPr>
            <w:r w:rsidRPr="006D3FD1">
              <w:t>Work completion records, reports and information are finalised and processed and appropriate persons notified</w:t>
            </w:r>
          </w:p>
        </w:tc>
      </w:tr>
    </w:tbl>
    <w:p w:rsidR="00000000" w:rsidRPr="006D3FD1" w:rsidP="006D3FD1">
      <w:pPr>
        <w:pStyle w:val="BodyText"/>
      </w:pPr>
    </w:p>
    <w:p w:rsidR="00000000" w:rsidRPr="006D3FD1" w:rsidP="006D3FD1">
      <w:pPr>
        <w:pStyle w:val="AllowPageBreak"/>
      </w:pPr>
    </w:p>
    <w:p w:rsidR="00000000" w:rsidRPr="006D3FD1" w:rsidP="006D3FD1">
      <w:pPr>
        <w:pStyle w:val="Heading1"/>
      </w:pPr>
      <w:bookmarkStart w:id="9" w:name="O_403819"/>
      <w:bookmarkEnd w:id="9"/>
      <w:r w:rsidRPr="006D3FD1">
        <w:t>Required Skills and Knowledge</w:t>
      </w:r>
    </w:p>
    <w:tbl>
      <w:tblPr>
        <w:tblW w:w="0" w:type="auto"/>
        <w:tblLayout w:type="fixed"/>
        <w:tblCellMar>
          <w:left w:w="62" w:type="dxa"/>
          <w:right w:w="62" w:type="dxa"/>
        </w:tblCellMar>
        <w:tblLook w:val="0000"/>
      </w:tblPr>
      <w:tblGrid>
        <w:gridCol w:w="8460"/>
      </w:tblGrid>
      <w:tr w:rsidTr="00F2444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rPr>
                <w:rStyle w:val="SpecialBold"/>
              </w:rPr>
              <w:t>REQUIRED SKILLS AND KNOWLEDGE</w:t>
            </w:r>
          </w:p>
        </w:tc>
      </w:tr>
      <w:tr w:rsidTr="00F2444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rPr>
                <w:rStyle w:val="SpecialBold"/>
              </w:rPr>
              <w:t>8)</w:t>
            </w:r>
            <w:r w:rsidRPr="006D3FD1">
              <w:t xml:space="preserve"> This describes the essential skills and knowledge and their level, required for this unit.</w:t>
            </w:r>
          </w:p>
        </w:tc>
      </w:tr>
      <w:tr w:rsidTr="00F2444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Evidence shall show that knowledge has been acquired of safe working practices for to performing minor maintenance on gas processing/storage facilities and equipme</w:t>
            </w:r>
            <w:r w:rsidRPr="006D3FD1">
              <w:t>nt.</w:t>
            </w:r>
          </w:p>
        </w:tc>
      </w:tr>
      <w:tr w:rsidTr="00F24449">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6D3FD1" w:rsidP="006D3FD1">
            <w:pPr>
              <w:pStyle w:val="BodyText"/>
            </w:pPr>
            <w:r w:rsidRPr="006D3FD1">
              <w:t>All knowledge and skills detailed in this unit should be contextualised to current industry practices and technologies.</w:t>
            </w:r>
          </w:p>
        </w:tc>
      </w:tr>
    </w:tbl>
    <w:p w:rsidR="00000000" w:rsidRPr="006D3FD1" w:rsidP="006D3FD1">
      <w:pPr>
        <w:pStyle w:val="BodyText"/>
      </w:pPr>
    </w:p>
    <w:tbl>
      <w:tblPr>
        <w:tblW w:w="0" w:type="auto"/>
        <w:tblLayout w:type="fixed"/>
        <w:tblCellMar>
          <w:left w:w="62" w:type="dxa"/>
          <w:right w:w="62" w:type="dxa"/>
        </w:tblCellMar>
        <w:tblLook w:val="0000"/>
      </w:tblPr>
      <w:tblGrid>
        <w:gridCol w:w="1440"/>
        <w:gridCol w:w="990"/>
        <w:gridCol w:w="6030"/>
      </w:tblGrid>
      <w:tr w:rsidTr="00F24449">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6D3FD1" w:rsidP="006D3FD1">
            <w:pPr>
              <w:pStyle w:val="BodyText"/>
            </w:pPr>
            <w:r w:rsidRPr="006D3FD1">
              <w:rPr>
                <w:rStyle w:val="SpecialBold"/>
              </w:rPr>
              <w:t>KS01-G608B</w:t>
            </w:r>
          </w:p>
        </w:tc>
        <w:tc>
          <w:tcPr>
            <w:tcW w:w="7020" w:type="dxa"/>
            <w:gridSpan w:val="2"/>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rPr>
                <w:rStyle w:val="SpecialBold"/>
              </w:rPr>
              <w:t>Storage facility and equipment minor maintenance</w:t>
            </w:r>
          </w:p>
        </w:tc>
      </w:tr>
      <w:tr w:rsidTr="00F2444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G 3.6.1</w:t>
            </w:r>
          </w:p>
        </w:tc>
        <w:tc>
          <w:tcPr>
            <w:tcW w:w="6030" w:type="dxa"/>
            <w:tcBorders>
              <w:top w:val="nil"/>
              <w:left w:val="nil"/>
              <w:bottom w:val="nil"/>
              <w:right w:val="nil"/>
            </w:tcBorders>
            <w:tcMar>
              <w:top w:w="0" w:type="dxa"/>
              <w:left w:w="62" w:type="dxa"/>
              <w:bottom w:w="0" w:type="dxa"/>
              <w:right w:w="62" w:type="dxa"/>
            </w:tcMar>
          </w:tcPr>
          <w:p w:rsidR="00000000" w:rsidRPr="006D3FD1" w:rsidP="006D3FD1">
            <w:pPr>
              <w:pStyle w:val="BodyText"/>
            </w:pPr>
            <w:r w:rsidRPr="006D3FD1">
              <w:t>Working safely in an LPG environment</w:t>
            </w:r>
          </w:p>
          <w:p w:rsidR="00000000" w:rsidRPr="006D3FD1" w:rsidP="006D3FD1">
            <w:pPr>
              <w:pStyle w:val="BodyText"/>
            </w:pPr>
            <w:r w:rsidRPr="006D3FD1">
              <w:t xml:space="preserve">Evidence </w:t>
            </w:r>
            <w:r w:rsidRPr="006D3FD1">
              <w:t>shall show an understanding of the requirements to work safely in an LPG environment, indicated by the following:</w:t>
            </w:r>
          </w:p>
          <w:p w:rsidR="00000000" w:rsidRPr="006D3FD1" w:rsidP="006D3FD1">
            <w:pPr>
              <w:pStyle w:val="ListBullet"/>
            </w:pPr>
            <w:r w:rsidRPr="006D3FD1">
              <w:t>working safely in accordance with procedures, OHS, emergency and environmental requirements</w:t>
            </w:r>
          </w:p>
          <w:p w:rsidR="00000000" w:rsidRPr="006D3FD1" w:rsidP="006D3FD1">
            <w:pPr>
              <w:pStyle w:val="ListBullet"/>
            </w:pPr>
            <w:r w:rsidRPr="006D3FD1">
              <w:t>awareness of the properties of LPG</w:t>
            </w:r>
          </w:p>
          <w:p w:rsidR="00000000" w:rsidP="006D3FD1">
            <w:pPr>
              <w:pStyle w:val="ListBullet"/>
              <w:rPr>
                <w:lang w:val="en-NZ"/>
              </w:rPr>
            </w:pPr>
            <w:r w:rsidRPr="006D3FD1">
              <w:t>identifying va</w:t>
            </w:r>
            <w:r w:rsidRPr="006D3FD1">
              <w:t>riations and irregularities.</w:t>
            </w:r>
          </w:p>
        </w:tc>
      </w:tr>
      <w:tr w:rsidTr="00F2444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G 3.6.2</w:t>
            </w:r>
          </w:p>
        </w:tc>
        <w:tc>
          <w:tcPr>
            <w:tcW w:w="6030" w:type="dxa"/>
            <w:tcBorders>
              <w:top w:val="nil"/>
              <w:left w:val="nil"/>
              <w:bottom w:val="nil"/>
              <w:right w:val="nil"/>
            </w:tcBorders>
            <w:tcMar>
              <w:top w:w="0" w:type="dxa"/>
              <w:left w:w="62" w:type="dxa"/>
              <w:bottom w:w="0" w:type="dxa"/>
              <w:right w:w="62" w:type="dxa"/>
            </w:tcMar>
          </w:tcPr>
          <w:p w:rsidR="00000000" w:rsidRPr="006D3FD1" w:rsidP="006D3FD1">
            <w:pPr>
              <w:pStyle w:val="BodyText"/>
            </w:pPr>
            <w:r w:rsidRPr="006D3FD1">
              <w:t>Understanding the correct use of plant and equipment in an LPG environment</w:t>
            </w:r>
          </w:p>
          <w:p w:rsidR="00000000" w:rsidRPr="006D3FD1" w:rsidP="006D3FD1">
            <w:pPr>
              <w:pStyle w:val="BodyText"/>
            </w:pPr>
            <w:r w:rsidRPr="006D3FD1">
              <w:t xml:space="preserve">Evidence shall show an understanding of the requirements to correctly use plant and equipment in an </w:t>
            </w:r>
            <w:r w:rsidRPr="006D3FD1">
              <w:t>LPG environment, indicated by the following:</w:t>
            </w:r>
          </w:p>
          <w:p w:rsidR="00000000" w:rsidRPr="006D3FD1" w:rsidP="006D3FD1">
            <w:pPr>
              <w:pStyle w:val="ListBullet"/>
            </w:pPr>
            <w:r w:rsidRPr="006D3FD1">
              <w:t>operate transfer equipment including compressors or pumps</w:t>
            </w:r>
          </w:p>
          <w:p w:rsidR="00000000" w:rsidRPr="006D3FD1" w:rsidP="006D3FD1">
            <w:pPr>
              <w:pStyle w:val="ListBullet"/>
            </w:pPr>
            <w:r w:rsidRPr="006D3FD1">
              <w:t>transfer methods for pipes and hoses</w:t>
            </w:r>
          </w:p>
          <w:p w:rsidR="00000000" w:rsidRPr="006D3FD1" w:rsidP="006D3FD1">
            <w:pPr>
              <w:pStyle w:val="ListBullet"/>
            </w:pPr>
            <w:r w:rsidRPr="006D3FD1">
              <w:t>selection, testing and set up processes for transfer equipment</w:t>
            </w:r>
          </w:p>
          <w:p w:rsidR="00000000" w:rsidRPr="006D3FD1" w:rsidP="006D3FD1">
            <w:pPr>
              <w:pStyle w:val="ListBullet"/>
            </w:pPr>
            <w:r w:rsidRPr="006D3FD1">
              <w:t>making analytical judgements for appropriate adjustm</w:t>
            </w:r>
            <w:r w:rsidRPr="006D3FD1">
              <w:t>ents to plant and equipment</w:t>
            </w:r>
          </w:p>
          <w:p w:rsidR="00000000" w:rsidRPr="006D3FD1" w:rsidP="006D3FD1">
            <w:pPr>
              <w:pStyle w:val="ListBullet"/>
            </w:pPr>
            <w:r w:rsidRPr="006D3FD1">
              <w:t>awareness of test equipment and its uses</w:t>
            </w:r>
          </w:p>
          <w:p w:rsidR="00000000" w:rsidRPr="006D3FD1" w:rsidP="006D3FD1">
            <w:pPr>
              <w:pStyle w:val="ListBullet"/>
            </w:pPr>
            <w:r w:rsidRPr="006D3FD1">
              <w:t>operation, testing and inspecting equipment that includes pressure vessels and associated fitting</w:t>
            </w:r>
          </w:p>
          <w:p w:rsidR="00000000" w:rsidRPr="006D3FD1" w:rsidP="006D3FD1">
            <w:pPr>
              <w:pStyle w:val="ListBullet"/>
            </w:pPr>
            <w:r w:rsidRPr="006D3FD1">
              <w:t>understanding manufacturer's specifications to make adjustments to parts where appropriat</w:t>
            </w:r>
            <w:r w:rsidRPr="006D3FD1">
              <w:t>e</w:t>
            </w:r>
          </w:p>
          <w:p w:rsidR="00000000" w:rsidRPr="006D3FD1" w:rsidP="006D3FD1">
            <w:pPr>
              <w:pStyle w:val="ListBullet"/>
            </w:pPr>
            <w:r w:rsidRPr="006D3FD1">
              <w:t>understanding of how to select appropriate equipment for tasks associated with LPG</w:t>
            </w:r>
          </w:p>
          <w:p w:rsidR="00000000" w:rsidRPr="006D3FD1" w:rsidP="006D3FD1">
            <w:pPr>
              <w:pStyle w:val="ListBullet"/>
            </w:pPr>
            <w:r w:rsidRPr="006D3FD1">
              <w:t>operating correctly gas analysis equipment</w:t>
            </w:r>
          </w:p>
          <w:p w:rsidR="00000000" w:rsidP="006D3FD1">
            <w:pPr>
              <w:pStyle w:val="ListBullet"/>
              <w:rPr>
                <w:lang w:val="en-NZ"/>
              </w:rPr>
            </w:pPr>
            <w:r w:rsidRPr="006D3FD1">
              <w:t>operating correctly gas alarm and communication equipment.</w:t>
            </w:r>
          </w:p>
        </w:tc>
      </w:tr>
      <w:tr w:rsidTr="00F2444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G 3.6.4</w:t>
            </w:r>
          </w:p>
        </w:tc>
        <w:tc>
          <w:tcPr>
            <w:tcW w:w="6030" w:type="dxa"/>
            <w:tcBorders>
              <w:top w:val="nil"/>
              <w:left w:val="nil"/>
              <w:bottom w:val="nil"/>
              <w:right w:val="nil"/>
            </w:tcBorders>
            <w:tcMar>
              <w:top w:w="0" w:type="dxa"/>
              <w:left w:w="62" w:type="dxa"/>
              <w:bottom w:w="0" w:type="dxa"/>
              <w:right w:w="62" w:type="dxa"/>
            </w:tcMar>
          </w:tcPr>
          <w:p w:rsidR="00000000" w:rsidRPr="006D3FD1" w:rsidP="006D3FD1">
            <w:pPr>
              <w:pStyle w:val="BodyText"/>
            </w:pPr>
            <w:r w:rsidRPr="006D3FD1">
              <w:t>LPG communication including the recording of LPG information</w:t>
            </w:r>
          </w:p>
          <w:p w:rsidR="00000000" w:rsidRPr="006D3FD1" w:rsidP="006D3FD1">
            <w:pPr>
              <w:pStyle w:val="BodyText"/>
            </w:pPr>
            <w:r w:rsidRPr="006D3FD1">
              <w:t>Evidence shall show an understanding of the requirements to communicate and record information in an LPG environment, indicated by the following:</w:t>
            </w:r>
          </w:p>
          <w:p w:rsidR="00000000" w:rsidRPr="006D3FD1" w:rsidP="006D3FD1">
            <w:pPr>
              <w:pStyle w:val="ListBullet"/>
            </w:pPr>
            <w:r w:rsidRPr="006D3FD1">
              <w:t>accurately recording LPG information</w:t>
            </w:r>
          </w:p>
          <w:p w:rsidR="00000000" w:rsidRPr="006D3FD1" w:rsidP="006D3FD1">
            <w:pPr>
              <w:pStyle w:val="ListBullet"/>
            </w:pPr>
            <w:r w:rsidRPr="006D3FD1">
              <w:t>recording a</w:t>
            </w:r>
            <w:r w:rsidRPr="006D3FD1">
              <w:t>nd reporting corrective actions in an LPG environment</w:t>
            </w:r>
          </w:p>
          <w:p w:rsidR="00000000" w:rsidRPr="006D3FD1" w:rsidP="006D3FD1">
            <w:pPr>
              <w:pStyle w:val="ListBullet"/>
            </w:pPr>
            <w:r w:rsidRPr="006D3FD1">
              <w:t>identifying and reporting any problems associated with transfer processes and procedures</w:t>
            </w:r>
          </w:p>
          <w:p w:rsidR="00000000" w:rsidRPr="006D3FD1" w:rsidP="006D3FD1">
            <w:pPr>
              <w:pStyle w:val="ListBullet"/>
            </w:pPr>
            <w:r w:rsidRPr="006D3FD1">
              <w:t>communicating in an LPG environment</w:t>
            </w:r>
          </w:p>
          <w:p w:rsidR="00000000" w:rsidRPr="006D3FD1" w:rsidP="006D3FD1">
            <w:pPr>
              <w:pStyle w:val="ListBullet"/>
            </w:pPr>
            <w:r w:rsidRPr="006D3FD1">
              <w:t>understanding of permit to work systems for an LPG environment.</w:t>
            </w:r>
          </w:p>
        </w:tc>
      </w:tr>
    </w:tbl>
    <w:p w:rsidR="00F24449" w:rsidP="006D3FD1">
      <w:pPr>
        <w:pStyle w:val="BodyText"/>
      </w:pPr>
    </w:p>
    <w:p w:rsidR="00F24449" w:rsidP="006D3FD1">
      <w:pPr>
        <w:pStyle w:val="BodyText"/>
      </w:pPr>
    </w:p>
    <w:p w:rsidR="00000000" w:rsidRPr="006D3FD1" w:rsidP="006D3FD1">
      <w:pPr>
        <w:pStyle w:val="Heading1"/>
      </w:pPr>
      <w:bookmarkStart w:id="10" w:name="O_403814"/>
      <w:bookmarkEnd w:id="10"/>
      <w:r w:rsidRPr="006D3FD1">
        <w:t>Evidence Guide</w:t>
      </w:r>
    </w:p>
    <w:tbl>
      <w:tblPr>
        <w:tblW w:w="0" w:type="auto"/>
        <w:tblLayout w:type="fixed"/>
        <w:tblCellMar>
          <w:left w:w="62" w:type="dxa"/>
          <w:right w:w="62" w:type="dxa"/>
        </w:tblCellMar>
        <w:tblLook w:val="0000"/>
      </w:tblPr>
      <w:tblGrid>
        <w:gridCol w:w="8460"/>
      </w:tblGrid>
      <w:tr w:rsidTr="00F2444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rPr>
                <w:rStyle w:val="SpecialBold"/>
              </w:rPr>
              <w:t>EVIDENCE GUIDE</w:t>
            </w:r>
          </w:p>
        </w:tc>
      </w:tr>
      <w:tr w:rsidTr="00F2444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D3FD1" w:rsidP="006D3FD1">
            <w:pPr>
              <w:pStyle w:val="BodyText"/>
            </w:pPr>
            <w:r w:rsidRPr="006D3FD1">
              <w:rPr>
                <w:rStyle w:val="SpecialBold"/>
              </w:rPr>
              <w:t>9)</w:t>
            </w:r>
            <w:r w:rsidRPr="006D3FD1">
              <w:t xml:space="preserve"> The Evidence Guide forms an integral part of this Competency Standard Unit and shall be used in conjunction with all components parts of this unit and performed in accordance with the Assessment Guidelines of this </w:t>
            </w:r>
            <w:r w:rsidRPr="006D3FD1">
              <w:t>Training Package.</w:t>
            </w:r>
          </w:p>
        </w:tc>
      </w:tr>
    </w:tbl>
    <w:p w:rsidR="00000000" w:rsidRPr="006D3FD1" w:rsidP="006D3FD1">
      <w:pPr>
        <w:pStyle w:val="BodyText"/>
      </w:pPr>
    </w:p>
    <w:tbl>
      <w:tblPr>
        <w:tblW w:w="0" w:type="auto"/>
        <w:tblLayout w:type="fixed"/>
        <w:tblCellMar>
          <w:left w:w="62" w:type="dxa"/>
          <w:right w:w="62" w:type="dxa"/>
        </w:tblCellMar>
        <w:tblLook w:val="0000"/>
      </w:tblPr>
      <w:tblGrid>
        <w:gridCol w:w="1890"/>
        <w:gridCol w:w="6570"/>
      </w:tblGrid>
      <w:tr w:rsidTr="00F2444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D3FD1" w:rsidP="006D3FD1">
            <w:pPr>
              <w:pStyle w:val="BodyText"/>
            </w:pPr>
            <w:r w:rsidRPr="006D3FD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rPr>
                <w:rStyle w:val="SpecialBold"/>
              </w:rPr>
              <w:t>9.1)</w:t>
            </w:r>
          </w:p>
        </w:tc>
      </w:tr>
      <w:tr w:rsidTr="00F2444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Longitudinal competency development approaches to assessment, such as Profiling, require data to be reliably gathered in a form that can be consistently interpre</w:t>
            </w:r>
            <w:r w:rsidRPr="006D3FD1">
              <w:t xml:space="preserve">ted over time. This approach is best utilised in Apprenticeship programs and reduces assessment intervention. It is the Industry’s preferred model for apprenticeships. However, where summative (or final) assessment is used it is to include the application </w:t>
            </w:r>
            <w:r w:rsidRPr="006D3FD1">
              <w:t>of the competency in the normal work environment or, at a minimum, the application of the competency in a realistically simulated work environment. It is recognised that, in some circumstances, assessment in part or full can occur outside the workplace. Ho</w:t>
            </w:r>
            <w:r w:rsidRPr="006D3FD1">
              <w:t>wever, it must be in accord with Industry and Regulatory policy in this regard.</w:t>
            </w:r>
          </w:p>
        </w:tc>
      </w:tr>
      <w:tr w:rsidTr="00F2444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 xml:space="preserve">Methods chosen for a particular assessment will be influenced by various factors. These include the extent of the assessment, the most effective locations for the assessment </w:t>
            </w:r>
            <w:r w:rsidRPr="006D3FD1">
              <w:t>activities to take place, access to physical resources, additional safety measures that may be required and the critical nature of the competencies being assessed.</w:t>
            </w:r>
          </w:p>
        </w:tc>
      </w:tr>
      <w:tr w:rsidTr="00F2444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The critical safety nature of working with electricity, electrical equipment, gas or any o</w:t>
            </w:r>
            <w:r w:rsidRPr="006D3FD1">
              <w:t>ther hazardous substance/material carries risk in deeming a person competent. Hence, sources of evidence need to be ‘rich’ in nature so as to minimise error in judgment.</w:t>
            </w:r>
          </w:p>
        </w:tc>
      </w:tr>
      <w:tr w:rsidTr="00F2444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D3FD1" w:rsidP="006D3FD1">
            <w:pPr>
              <w:pStyle w:val="BodyText"/>
            </w:pPr>
            <w:r w:rsidRPr="006D3FD1">
              <w:t>Activities associated with normal every day work have a bearing on the decision as t</w:t>
            </w:r>
            <w:r w:rsidRPr="006D3FD1">
              <w:t xml:space="preserve">o how much and how detailed the data gathered will contribute to its ‘richness’. Some skills are more critical to safety and operational requirements while the same skills may be more or less frequently practiced. These points are raised for the assessors </w:t>
            </w:r>
            <w:r w:rsidRPr="006D3FD1">
              <w:t>to consider when choosing an assessment method and developing assessment instruments. Sample assessment instruments are included for Assessors in the Assessment Guidelines of this Training Package.</w:t>
            </w:r>
          </w:p>
        </w:tc>
      </w:tr>
    </w:tbl>
    <w:p w:rsidR="00000000" w:rsidRPr="006D3FD1" w:rsidP="006D3FD1">
      <w:pPr>
        <w:pStyle w:val="BodyText"/>
      </w:pPr>
    </w:p>
    <w:tbl>
      <w:tblPr>
        <w:tblW w:w="0" w:type="auto"/>
        <w:tblLayout w:type="fixed"/>
        <w:tblCellMar>
          <w:left w:w="62" w:type="dxa"/>
          <w:right w:w="62" w:type="dxa"/>
        </w:tblCellMar>
        <w:tblLook w:val="0000"/>
      </w:tblPr>
      <w:tblGrid>
        <w:gridCol w:w="1890"/>
        <w:gridCol w:w="6570"/>
      </w:tblGrid>
      <w:tr w:rsidTr="00F2444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D3FD1" w:rsidP="006D3FD1">
            <w:pPr>
              <w:pStyle w:val="BodyText"/>
            </w:pPr>
            <w:r w:rsidRPr="006D3FD1">
              <w:rPr>
                <w:rStyle w:val="SpecialBold"/>
              </w:rPr>
              <w:t>Critical aspects of evidence required to demonstrate com</w:t>
            </w:r>
            <w:r w:rsidRPr="006D3FD1">
              <w:rPr>
                <w:rStyle w:val="SpecialBold"/>
              </w:rPr>
              <w:t>petency in this unit</w:t>
            </w:r>
          </w:p>
        </w:tc>
        <w:tc>
          <w:tcPr>
            <w:tcW w:w="657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rPr>
                <w:rStyle w:val="SpecialBold"/>
              </w:rPr>
              <w:t>9.2)</w:t>
            </w:r>
          </w:p>
        </w:tc>
      </w:tr>
      <w:tr w:rsidTr="00F2444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Before the critical aspects of evidence are considered all prerequisites shall be met.</w:t>
            </w:r>
          </w:p>
        </w:tc>
      </w:tr>
      <w:tr w:rsidTr="00F2444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Evidence for competence in this unit shall be considered holistically. Each element and associated Performance Criteria shall be demonstrat</w:t>
            </w:r>
            <w:r w:rsidRPr="006D3FD1">
              <w:t>ed on at least two occasions in accordance with the ‘Assessment Guidelines — UEG11’. Evidence shall also comprise:</w:t>
            </w:r>
          </w:p>
        </w:tc>
      </w:tr>
      <w:tr w:rsidTr="00F2444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D3FD1">
            <w:pPr>
              <w:pStyle w:val="ListBullet"/>
              <w:rPr>
                <w:lang w:val="en-NZ"/>
              </w:rPr>
            </w:pPr>
            <w:r w:rsidRPr="006D3FD1">
              <w:t>A representative body of work performance demonstrated within the timeframes typically expected of the discipl</w:t>
            </w:r>
            <w:r w:rsidRPr="006D3FD1">
              <w:t>ine, work function and industrial environment. In particular this shall incorporate evidence that shows a candidate is able to:</w:t>
            </w:r>
          </w:p>
        </w:tc>
      </w:tr>
      <w:tr w:rsidTr="00F2444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D3FD1">
            <w:pPr>
              <w:pStyle w:val="ListBullet2"/>
              <w:rPr>
                <w:lang w:val="en-NZ"/>
              </w:rPr>
            </w:pPr>
            <w:r w:rsidRPr="006D3FD1">
              <w:t>Implement Occupational Health and Safety workplace procedures and practices including the use of risk control measures as spe</w:t>
            </w:r>
            <w:r w:rsidRPr="006D3FD1">
              <w:t>cified in the Performance Criteria and range</w:t>
            </w:r>
          </w:p>
        </w:tc>
      </w:tr>
      <w:tr w:rsidTr="00F24449">
        <w:tblPrEx>
          <w:tblW w:w="0" w:type="auto"/>
          <w:tblLayout w:type="fixed"/>
          <w:tblCellMar>
            <w:left w:w="62" w:type="dxa"/>
            <w:right w:w="62" w:type="dxa"/>
          </w:tblCellMar>
          <w:tblLook w:val="0000"/>
        </w:tblPrEx>
        <w:trPr>
          <w:trHeight w:val="616"/>
        </w:trPr>
        <w:tc>
          <w:tcPr>
            <w:tcW w:w="189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D3FD1">
            <w:pPr>
              <w:pStyle w:val="ListBullet2"/>
              <w:rPr>
                <w:lang w:val="en-NZ"/>
              </w:rPr>
            </w:pPr>
            <w:r w:rsidRPr="006D3FD1">
              <w:t>Apply sustainable energy principles and practices as specified in the Performance Criteria and range</w:t>
            </w:r>
          </w:p>
        </w:tc>
      </w:tr>
      <w:tr w:rsidTr="00F2444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D3FD1">
            <w:pPr>
              <w:pStyle w:val="ListBullet2"/>
              <w:rPr>
                <w:lang w:val="en-NZ"/>
              </w:rPr>
            </w:pPr>
            <w:r w:rsidRPr="006D3FD1">
              <w:t xml:space="preserve">Demonstrate an understanding of the essential knowledge and associated skills as described </w:t>
            </w:r>
            <w:r w:rsidRPr="006D3FD1">
              <w:t>in this unit to such an extent that the learner’s performance outcome is reported in accordance with the preferred approach; namely a percentile graded result, where required by the regulated environment</w:t>
            </w:r>
          </w:p>
        </w:tc>
      </w:tr>
      <w:tr w:rsidTr="00F2444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D3FD1">
            <w:pPr>
              <w:pStyle w:val="ListBullet2"/>
              <w:rPr>
                <w:lang w:val="en-NZ"/>
              </w:rPr>
            </w:pPr>
            <w:r w:rsidRPr="006D3FD1">
              <w:t>Demonstrate an appropriate level of employability</w:t>
            </w:r>
            <w:r w:rsidRPr="006D3FD1">
              <w:t xml:space="preserve"> skills</w:t>
            </w:r>
          </w:p>
        </w:tc>
      </w:tr>
      <w:tr w:rsidTr="00F2444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D3FD1">
            <w:pPr>
              <w:pStyle w:val="ListBullet2"/>
              <w:rPr>
                <w:lang w:val="en-NZ"/>
              </w:rPr>
            </w:pPr>
            <w:r w:rsidRPr="006D3FD1">
              <w:t>Conduct work observing the relevant Anti discrimination legislation, regulations, polices and workplace procedures</w:t>
            </w:r>
          </w:p>
        </w:tc>
      </w:tr>
      <w:tr w:rsidTr="00F2444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6D3FD1" w:rsidP="006D3FD1">
            <w:pPr>
              <w:pStyle w:val="ListBullet"/>
            </w:pPr>
            <w:r w:rsidRPr="006D3FD1">
              <w:t>Demonstrate performance across a representative range of contexts from the prescribed items below.</w:t>
            </w:r>
          </w:p>
        </w:tc>
      </w:tr>
    </w:tbl>
    <w:p w:rsidR="00000000" w:rsidRPr="006D3FD1" w:rsidP="006D3FD1">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F24449">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6D3FD1">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FD1">
            <w:pPr>
              <w:pStyle w:val="BodyText"/>
              <w:rPr>
                <w:lang w:val="en-NZ"/>
              </w:rPr>
            </w:pPr>
            <w:r w:rsidRPr="006D3FD1">
              <w:rPr>
                <w:rStyle w:val="SpecialBold"/>
              </w:rPr>
              <w:t>Range of tools/eq</w:t>
            </w:r>
            <w:r w:rsidRPr="006D3FD1">
              <w:rPr>
                <w:rStyle w:val="SpecialBold"/>
              </w:rPr>
              <w:t>uipment/procedures/workplace</w:t>
            </w:r>
          </w:p>
        </w:tc>
      </w:tr>
      <w:tr w:rsidTr="00F2444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6D3FD1">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3FD1" w:rsidP="006D3FD1">
            <w:pPr>
              <w:pStyle w:val="BodyText"/>
            </w:pPr>
            <w:r w:rsidRPr="006D3FD1">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3FD1" w:rsidP="006D3FD1">
            <w:pPr>
              <w:pStyle w:val="BodyText"/>
            </w:pPr>
            <w:r w:rsidRPr="006D3FD1">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FD1">
            <w:pPr>
              <w:pStyle w:val="BodyText"/>
              <w:rPr>
                <w:lang w:val="en-NZ"/>
              </w:rPr>
            </w:pPr>
            <w:r w:rsidRPr="006D3FD1">
              <w:rPr>
                <w:rStyle w:val="SpecialBold"/>
              </w:rPr>
              <w:t>Item List</w:t>
            </w:r>
          </w:p>
        </w:tc>
      </w:tr>
      <w:tr w:rsidTr="00F2444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FD1">
            <w:pPr>
              <w:pStyle w:val="BodyText"/>
              <w:rPr>
                <w:lang w:val="en-NZ"/>
              </w:rPr>
            </w:pPr>
            <w:r w:rsidRPr="006D3FD1">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FD1">
            <w:pPr>
              <w:pStyle w:val="BodyText"/>
              <w:rPr>
                <w:lang w:val="en-NZ"/>
              </w:rPr>
            </w:pPr>
            <w:r w:rsidRPr="006D3FD1">
              <w:t>At least 7</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3FD1" w:rsidP="006D3FD1">
            <w:pPr>
              <w:pStyle w:val="BodyText"/>
            </w:pPr>
            <w:r w:rsidRPr="006D3FD1">
              <w:t>Pressure vessels and fittings:</w:t>
            </w:r>
          </w:p>
          <w:p w:rsidR="00000000" w:rsidRPr="006D3FD1" w:rsidP="006D3FD1">
            <w:pPr>
              <w:pStyle w:val="BodyText"/>
            </w:pPr>
            <w:r w:rsidRPr="006D3FD1">
              <w:t>Pressure vessel</w:t>
            </w:r>
          </w:p>
          <w:p w:rsidR="00000000" w:rsidRPr="006D3FD1" w:rsidP="006D3FD1">
            <w:pPr>
              <w:pStyle w:val="BodyText"/>
            </w:pPr>
            <w:r w:rsidRPr="006D3FD1">
              <w:t>Vapourisers</w:t>
            </w:r>
          </w:p>
          <w:p w:rsidR="00000000" w:rsidRPr="006D3FD1" w:rsidP="006D3FD1">
            <w:pPr>
              <w:pStyle w:val="BodyText"/>
            </w:pPr>
            <w:r w:rsidRPr="006D3FD1">
              <w:t>Earth connections</w:t>
            </w:r>
          </w:p>
          <w:p w:rsidR="00000000" w:rsidRPr="006D3FD1" w:rsidP="006D3FD1">
            <w:pPr>
              <w:pStyle w:val="BodyText"/>
            </w:pPr>
            <w:r w:rsidRPr="006D3FD1">
              <w:t>Relief valves</w:t>
            </w:r>
          </w:p>
          <w:p w:rsidR="00000000" w:rsidRPr="006D3FD1" w:rsidP="006D3FD1">
            <w:pPr>
              <w:pStyle w:val="BodyText"/>
            </w:pPr>
            <w:r w:rsidRPr="006D3FD1">
              <w:t>System(s) isolation</w:t>
            </w:r>
          </w:p>
          <w:p w:rsidR="00000000" w:rsidRPr="006D3FD1" w:rsidP="006D3FD1">
            <w:pPr>
              <w:pStyle w:val="BodyText"/>
            </w:pPr>
            <w:r w:rsidRPr="006D3FD1">
              <w:t>Emergency shut-down valving (eg ISC valves)</w:t>
            </w:r>
          </w:p>
          <w:p w:rsidR="00000000" w:rsidRPr="006D3FD1" w:rsidP="006D3FD1">
            <w:pPr>
              <w:pStyle w:val="BodyText"/>
            </w:pPr>
            <w:r w:rsidRPr="006D3FD1">
              <w:t>Manual shut-down valving</w:t>
            </w:r>
          </w:p>
          <w:p w:rsidR="00000000" w:rsidRPr="006D3FD1" w:rsidP="006D3FD1">
            <w:pPr>
              <w:pStyle w:val="BodyText"/>
            </w:pPr>
            <w:r w:rsidRPr="006D3FD1">
              <w:t>Pipe work</w:t>
            </w:r>
          </w:p>
          <w:p w:rsidR="00000000" w:rsidRPr="006D3FD1" w:rsidP="006D3FD1">
            <w:pPr>
              <w:pStyle w:val="BodyText"/>
            </w:pPr>
            <w:r w:rsidRPr="006D3FD1">
              <w:t>Vessel footings</w:t>
            </w:r>
          </w:p>
          <w:p w:rsidR="00000000" w:rsidRPr="006D3FD1" w:rsidP="006D3FD1">
            <w:pPr>
              <w:pStyle w:val="BodyText"/>
            </w:pPr>
            <w:r w:rsidRPr="006D3FD1">
              <w:t>Regulators</w:t>
            </w:r>
          </w:p>
          <w:p w:rsidR="00000000" w:rsidRPr="006D3FD1" w:rsidP="006D3FD1">
            <w:pPr>
              <w:pStyle w:val="BodyText"/>
            </w:pPr>
            <w:r w:rsidRPr="006D3FD1">
              <w:t>Hoses and couplings</w:t>
            </w:r>
          </w:p>
          <w:p w:rsidR="00000000" w:rsidRPr="006D3FD1" w:rsidP="006D3FD1">
            <w:pPr>
              <w:pStyle w:val="BodyText"/>
            </w:pPr>
            <w:r w:rsidRPr="006D3FD1">
              <w:t>Pumps</w:t>
            </w:r>
          </w:p>
          <w:p w:rsidR="00000000" w:rsidP="006D3FD1">
            <w:pPr>
              <w:pStyle w:val="BodyText"/>
              <w:rPr>
                <w:lang w:val="en-NZ"/>
              </w:rPr>
            </w:pPr>
            <w:r w:rsidRPr="006D3FD1">
              <w:t>Compressors</w:t>
            </w:r>
          </w:p>
        </w:tc>
      </w:tr>
      <w:tr w:rsidTr="00F2444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FD1">
            <w:pPr>
              <w:pStyle w:val="BodyText"/>
              <w:rPr>
                <w:lang w:val="en-NZ"/>
              </w:rPr>
            </w:pPr>
            <w:r w:rsidRPr="006D3FD1">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FD1">
            <w:pPr>
              <w:pStyle w:val="BodyText"/>
              <w:rPr>
                <w:lang w:val="en-NZ"/>
              </w:rPr>
            </w:pPr>
            <w:r w:rsidRPr="006D3FD1">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3FD1" w:rsidP="006D3FD1">
            <w:pPr>
              <w:pStyle w:val="BodyText"/>
            </w:pPr>
            <w:r w:rsidRPr="006D3FD1">
              <w:t>Types of irregularities may include:</w:t>
            </w:r>
          </w:p>
          <w:p w:rsidR="00000000" w:rsidRPr="006D3FD1" w:rsidP="006D3FD1">
            <w:pPr>
              <w:pStyle w:val="BodyText"/>
            </w:pPr>
            <w:r w:rsidRPr="006D3FD1">
              <w:t>Corrosion</w:t>
            </w:r>
          </w:p>
          <w:p w:rsidR="00000000" w:rsidRPr="006D3FD1" w:rsidP="006D3FD1">
            <w:pPr>
              <w:pStyle w:val="BodyText"/>
            </w:pPr>
            <w:r w:rsidRPr="006D3FD1">
              <w:t>Impact damage</w:t>
            </w:r>
          </w:p>
          <w:p w:rsidR="00000000" w:rsidRPr="006D3FD1" w:rsidP="006D3FD1">
            <w:pPr>
              <w:pStyle w:val="BodyText"/>
            </w:pPr>
            <w:r w:rsidRPr="006D3FD1">
              <w:t>Point deterioration</w:t>
            </w:r>
          </w:p>
          <w:p w:rsidR="00000000" w:rsidRPr="006D3FD1" w:rsidP="006D3FD1">
            <w:pPr>
              <w:pStyle w:val="BodyText"/>
            </w:pPr>
            <w:r w:rsidRPr="006D3FD1">
              <w:t>Leakage</w:t>
            </w:r>
          </w:p>
          <w:p w:rsidR="00000000" w:rsidRPr="006D3FD1" w:rsidP="006D3FD1">
            <w:pPr>
              <w:pStyle w:val="BodyText"/>
            </w:pPr>
            <w:r w:rsidRPr="006D3FD1">
              <w:t>Non-operability of shutdown systems</w:t>
            </w:r>
          </w:p>
          <w:p w:rsidR="00000000" w:rsidP="006D3FD1">
            <w:pPr>
              <w:pStyle w:val="BodyText"/>
              <w:rPr>
                <w:lang w:val="en-NZ"/>
              </w:rPr>
            </w:pPr>
            <w:r w:rsidRPr="006D3FD1">
              <w:t>Equipment out of calibration</w:t>
            </w:r>
          </w:p>
        </w:tc>
      </w:tr>
      <w:tr w:rsidTr="00F2444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FD1">
            <w:pPr>
              <w:pStyle w:val="BodyText"/>
              <w:rPr>
                <w:lang w:val="en-NZ"/>
              </w:rPr>
            </w:pPr>
            <w:r w:rsidRPr="006D3FD1">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FD1">
            <w:pPr>
              <w:pStyle w:val="BodyText"/>
              <w:rPr>
                <w:lang w:val="en-NZ"/>
              </w:rPr>
            </w:pPr>
            <w:r w:rsidRPr="006D3FD1">
              <w:t>At least 6</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3FD1" w:rsidP="006D3FD1">
            <w:pPr>
              <w:pStyle w:val="BodyText"/>
            </w:pPr>
            <w:r w:rsidRPr="006D3FD1">
              <w:t>Appropriate parts to be replaced:</w:t>
            </w:r>
          </w:p>
          <w:p w:rsidR="00000000" w:rsidRPr="006D3FD1" w:rsidP="006D3FD1">
            <w:pPr>
              <w:pStyle w:val="BodyText"/>
            </w:pPr>
            <w:r w:rsidRPr="006D3FD1">
              <w:t>Excess flow valves</w:t>
            </w:r>
          </w:p>
          <w:p w:rsidR="00000000" w:rsidRPr="006D3FD1" w:rsidP="006D3FD1">
            <w:pPr>
              <w:pStyle w:val="BodyText"/>
            </w:pPr>
            <w:r w:rsidRPr="006D3FD1">
              <w:t>Relief valves</w:t>
            </w:r>
          </w:p>
          <w:p w:rsidR="00000000" w:rsidRPr="006D3FD1" w:rsidP="006D3FD1">
            <w:pPr>
              <w:pStyle w:val="BodyText"/>
            </w:pPr>
            <w:r w:rsidRPr="006D3FD1">
              <w:t>Pressure regulators/springs</w:t>
            </w:r>
          </w:p>
          <w:p w:rsidR="00000000" w:rsidRPr="006D3FD1" w:rsidP="006D3FD1">
            <w:pPr>
              <w:pStyle w:val="BodyText"/>
            </w:pPr>
            <w:r w:rsidRPr="006D3FD1">
              <w:t>Pump seals/compressor seals</w:t>
            </w:r>
          </w:p>
          <w:p w:rsidR="00000000" w:rsidRPr="006D3FD1" w:rsidP="006D3FD1">
            <w:pPr>
              <w:pStyle w:val="BodyText"/>
            </w:pPr>
            <w:r w:rsidRPr="006D3FD1">
              <w:t>Pressure gauges</w:t>
            </w:r>
          </w:p>
          <w:p w:rsidR="00000000" w:rsidRPr="006D3FD1" w:rsidP="006D3FD1">
            <w:pPr>
              <w:pStyle w:val="BodyText"/>
            </w:pPr>
            <w:r w:rsidRPr="006D3FD1">
              <w:t>Bypass valves</w:t>
            </w:r>
          </w:p>
          <w:p w:rsidR="00000000" w:rsidRPr="006D3FD1" w:rsidP="006D3FD1">
            <w:pPr>
              <w:pStyle w:val="BodyText"/>
            </w:pPr>
            <w:r w:rsidRPr="006D3FD1">
              <w:t>Meters</w:t>
            </w:r>
          </w:p>
          <w:p w:rsidR="00000000" w:rsidRPr="006D3FD1" w:rsidP="006D3FD1">
            <w:pPr>
              <w:pStyle w:val="BodyText"/>
            </w:pPr>
            <w:r w:rsidRPr="006D3FD1">
              <w:t>Solenoids</w:t>
            </w:r>
          </w:p>
          <w:p w:rsidR="00000000" w:rsidRPr="006D3FD1" w:rsidP="006D3FD1">
            <w:pPr>
              <w:pStyle w:val="BodyText"/>
            </w:pPr>
            <w:r w:rsidRPr="006D3FD1">
              <w:t>Valves</w:t>
            </w:r>
          </w:p>
          <w:p w:rsidR="00000000" w:rsidRPr="006D3FD1" w:rsidP="006D3FD1">
            <w:pPr>
              <w:pStyle w:val="BodyText"/>
            </w:pPr>
            <w:r w:rsidRPr="006D3FD1">
              <w:t>Break away couplings</w:t>
            </w:r>
          </w:p>
          <w:p w:rsidR="00000000" w:rsidP="006D3FD1">
            <w:pPr>
              <w:pStyle w:val="BodyText"/>
              <w:rPr>
                <w:lang w:val="en-NZ"/>
              </w:rPr>
            </w:pPr>
            <w:r w:rsidRPr="006D3FD1">
              <w:t>Meter heads</w:t>
            </w:r>
          </w:p>
        </w:tc>
      </w:tr>
      <w:tr w:rsidTr="00F2444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FD1">
            <w:pPr>
              <w:pStyle w:val="BodyText"/>
              <w:rPr>
                <w:lang w:val="en-NZ"/>
              </w:rPr>
            </w:pPr>
            <w:r w:rsidRPr="006D3FD1">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FD1">
            <w:pPr>
              <w:pStyle w:val="BodyText"/>
              <w:rPr>
                <w:lang w:val="en-NZ"/>
              </w:rPr>
            </w:pPr>
            <w:r w:rsidRPr="006D3FD1">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3FD1" w:rsidP="006D3FD1">
            <w:pPr>
              <w:pStyle w:val="BodyText"/>
            </w:pPr>
            <w:r w:rsidRPr="006D3FD1">
              <w:t>Types of adjustments:</w:t>
            </w:r>
          </w:p>
          <w:p w:rsidR="00000000" w:rsidRPr="006D3FD1" w:rsidP="006D3FD1">
            <w:pPr>
              <w:pStyle w:val="BodyText"/>
            </w:pPr>
            <w:r w:rsidRPr="006D3FD1">
              <w:t>Downstream pressure adjustment</w:t>
            </w:r>
          </w:p>
          <w:p w:rsidR="00000000" w:rsidRPr="006D3FD1" w:rsidP="006D3FD1">
            <w:pPr>
              <w:pStyle w:val="BodyText"/>
            </w:pPr>
            <w:r w:rsidRPr="006D3FD1">
              <w:t>Storage pressure adjustment (vapouriser system only)</w:t>
            </w:r>
          </w:p>
          <w:p w:rsidR="00000000" w:rsidP="006D3FD1">
            <w:pPr>
              <w:pStyle w:val="BodyText"/>
              <w:rPr>
                <w:lang w:val="en-NZ"/>
              </w:rPr>
            </w:pPr>
            <w:r w:rsidRPr="006D3FD1">
              <w:t>Bypass pressure adjustment for pumps</w:t>
            </w:r>
          </w:p>
        </w:tc>
      </w:tr>
      <w:tr w:rsidTr="00F2444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FD1">
            <w:pPr>
              <w:pStyle w:val="BodyText"/>
              <w:rPr>
                <w:lang w:val="en-NZ"/>
              </w:rPr>
            </w:pPr>
            <w:r w:rsidRPr="006D3FD1">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FD1">
            <w:pPr>
              <w:pStyle w:val="BodyText"/>
              <w:rPr>
                <w:lang w:val="en-NZ"/>
              </w:rPr>
            </w:pPr>
            <w:r w:rsidRPr="006D3FD1">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3FD1" w:rsidP="006D3FD1">
            <w:pPr>
              <w:pStyle w:val="BodyText"/>
            </w:pPr>
            <w:r w:rsidRPr="006D3FD1">
              <w:t>Documentation:</w:t>
            </w:r>
          </w:p>
          <w:p w:rsidR="00000000" w:rsidRPr="006D3FD1" w:rsidP="006D3FD1">
            <w:pPr>
              <w:pStyle w:val="BodyText"/>
            </w:pPr>
            <w:r w:rsidRPr="006D3FD1">
              <w:t>OHS, environmental and associated legislative requirement</w:t>
            </w:r>
          </w:p>
          <w:p w:rsidR="00000000" w:rsidRPr="006D3FD1" w:rsidP="006D3FD1">
            <w:pPr>
              <w:pStyle w:val="BodyText"/>
            </w:pPr>
            <w:r w:rsidRPr="006D3FD1">
              <w:t>ADG Code</w:t>
            </w:r>
          </w:p>
          <w:p w:rsidR="00000000" w:rsidRPr="006D3FD1" w:rsidP="006D3FD1">
            <w:pPr>
              <w:pStyle w:val="BodyText"/>
            </w:pPr>
            <w:r w:rsidRPr="006D3FD1">
              <w:t>Australian Standards</w:t>
            </w:r>
          </w:p>
          <w:p w:rsidR="00000000" w:rsidRPr="006D3FD1" w:rsidP="006D3FD1">
            <w:pPr>
              <w:pStyle w:val="BodyText"/>
            </w:pPr>
            <w:r w:rsidRPr="006D3FD1">
              <w:t>Manufacturer's specifications</w:t>
            </w:r>
          </w:p>
          <w:p w:rsidR="00000000" w:rsidP="006D3FD1">
            <w:pPr>
              <w:pStyle w:val="BodyText"/>
              <w:rPr>
                <w:lang w:val="en-NZ"/>
              </w:rPr>
            </w:pPr>
            <w:r w:rsidRPr="006D3FD1">
              <w:t>Work permits</w:t>
            </w:r>
          </w:p>
        </w:tc>
      </w:tr>
      <w:tr w:rsidTr="00F2444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FD1">
            <w:pPr>
              <w:pStyle w:val="BodyText"/>
              <w:rPr>
                <w:lang w:val="en-NZ"/>
              </w:rPr>
            </w:pPr>
            <w:r w:rsidRPr="006D3FD1">
              <w:t>F</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FD1">
            <w:pPr>
              <w:pStyle w:val="BodyText"/>
              <w:rPr>
                <w:lang w:val="en-NZ"/>
              </w:rPr>
            </w:pPr>
            <w:r w:rsidRPr="006D3FD1">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3FD1" w:rsidP="006D3FD1">
            <w:pPr>
              <w:pStyle w:val="BodyText"/>
            </w:pPr>
            <w:r w:rsidRPr="006D3FD1">
              <w:t>Deal with an unplanned event by drawing on essential knowledge and associated skills to provide ap</w:t>
            </w:r>
            <w:r w:rsidRPr="006D3FD1">
              <w:t xml:space="preserve">propriate solutions incorporated in the holistic assessment with the above listed items </w:t>
            </w:r>
          </w:p>
        </w:tc>
      </w:tr>
    </w:tbl>
    <w:p w:rsidR="00000000" w:rsidRPr="006D3FD1" w:rsidP="006D3FD1">
      <w:pPr>
        <w:pStyle w:val="BodyText"/>
      </w:pPr>
    </w:p>
    <w:tbl>
      <w:tblPr>
        <w:tblW w:w="0" w:type="auto"/>
        <w:tblLayout w:type="fixed"/>
        <w:tblCellMar>
          <w:left w:w="62" w:type="dxa"/>
          <w:right w:w="62" w:type="dxa"/>
        </w:tblCellMar>
        <w:tblLook w:val="0000"/>
      </w:tblPr>
      <w:tblGrid>
        <w:gridCol w:w="1890"/>
        <w:gridCol w:w="6570"/>
      </w:tblGrid>
      <w:tr w:rsidTr="00F2444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D3FD1" w:rsidP="006D3FD1">
            <w:pPr>
              <w:pStyle w:val="BodyText"/>
            </w:pPr>
            <w:r w:rsidRPr="006D3FD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rPr>
                <w:rStyle w:val="SpecialBold"/>
              </w:rPr>
              <w:t>9.3)</w:t>
            </w:r>
          </w:p>
        </w:tc>
      </w:tr>
      <w:tr w:rsidTr="00F2444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This unit should be assessed as it relates to normal work practice using procedures, information and resources typical of a workplace. This should include:</w:t>
            </w:r>
          </w:p>
        </w:tc>
      </w:tr>
      <w:tr w:rsidTr="00F2444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D3FD1">
            <w:pPr>
              <w:pStyle w:val="ListBullet"/>
              <w:rPr>
                <w:lang w:val="en-NZ"/>
              </w:rPr>
            </w:pPr>
            <w:r w:rsidRPr="006D3FD1">
              <w:t>OHS policy and work procedures and instructions.</w:t>
            </w:r>
          </w:p>
        </w:tc>
      </w:tr>
      <w:tr w:rsidTr="00F2444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D3FD1">
            <w:pPr>
              <w:pStyle w:val="ListBullet"/>
              <w:rPr>
                <w:lang w:val="en-NZ"/>
              </w:rPr>
            </w:pPr>
            <w:r w:rsidRPr="006D3FD1">
              <w:t>Suitable work environment, facilities, equipm</w:t>
            </w:r>
            <w:r w:rsidRPr="006D3FD1">
              <w:t>ent and materials to undertake actual work as prescribed by this Competency Standard Unit.</w:t>
            </w:r>
          </w:p>
        </w:tc>
      </w:tr>
      <w:tr w:rsidTr="00F2444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D3FD1">
            <w:pPr>
              <w:pStyle w:val="ListBullet"/>
              <w:rPr>
                <w:lang w:val="en-NZ"/>
              </w:rPr>
            </w:pPr>
            <w:r w:rsidRPr="006D3FD1">
              <w:t>Appropriate environmental regulation and work practices.</w:t>
            </w:r>
          </w:p>
        </w:tc>
      </w:tr>
      <w:tr w:rsidTr="00F2444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D3FD1">
            <w:pPr>
              <w:pStyle w:val="ListBullet"/>
              <w:rPr>
                <w:lang w:val="en-NZ"/>
              </w:rPr>
            </w:pPr>
            <w:r w:rsidRPr="006D3FD1">
              <w:t>Appropriate organisational requirements.</w:t>
            </w:r>
          </w:p>
        </w:tc>
      </w:tr>
      <w:tr w:rsidTr="00F2444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D3FD1">
            <w:pPr>
              <w:pStyle w:val="ListBullet"/>
              <w:rPr>
                <w:lang w:val="en-NZ"/>
              </w:rPr>
            </w:pPr>
            <w:r w:rsidRPr="006D3FD1">
              <w:t>Appropriate work environment, equipment and tools.</w:t>
            </w:r>
          </w:p>
        </w:tc>
      </w:tr>
      <w:tr w:rsidTr="00F2444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In addition to the resources listed above, in Context of and specific resources for assessment, evidence should show demonstrated competency in performing minor maintenance on gas processing/storage facilities and equipment.</w:t>
            </w:r>
          </w:p>
        </w:tc>
      </w:tr>
      <w:tr w:rsidTr="00F2444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D3FD1" w:rsidP="006D3FD1">
            <w:pPr>
              <w:pStyle w:val="BodyText"/>
            </w:pPr>
            <w:r w:rsidRPr="006D3FD1">
              <w:t>Assessment of this competency</w:t>
            </w:r>
            <w:r w:rsidRPr="006D3FD1">
              <w:t xml:space="preserve"> must also be undertaken in either an actual workplace or under a simulated work environment. Assessment must also integrate the employability skills.</w:t>
            </w:r>
          </w:p>
        </w:tc>
      </w:tr>
    </w:tbl>
    <w:p w:rsidR="00000000" w:rsidRPr="006D3FD1" w:rsidP="006D3FD1">
      <w:pPr>
        <w:pStyle w:val="BodyText"/>
      </w:pPr>
    </w:p>
    <w:tbl>
      <w:tblPr>
        <w:tblW w:w="0" w:type="auto"/>
        <w:tblLayout w:type="fixed"/>
        <w:tblCellMar>
          <w:left w:w="62" w:type="dxa"/>
          <w:right w:w="62" w:type="dxa"/>
        </w:tblCellMar>
        <w:tblLook w:val="0000"/>
      </w:tblPr>
      <w:tblGrid>
        <w:gridCol w:w="1890"/>
        <w:gridCol w:w="6570"/>
      </w:tblGrid>
      <w:tr w:rsidTr="00F2444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D3FD1" w:rsidP="006D3FD1">
            <w:pPr>
              <w:pStyle w:val="BodyText"/>
            </w:pPr>
            <w:r w:rsidRPr="006D3FD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rPr>
                <w:rStyle w:val="SpecialBold"/>
              </w:rPr>
              <w:t>9.4)</w:t>
            </w:r>
          </w:p>
        </w:tc>
      </w:tr>
      <w:tr w:rsidTr="00F2444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This Competency Standard Unit shall be assessed by methods given in Volume 1, Part 3 ‘Assessment Guidelines’.</w:t>
            </w:r>
          </w:p>
        </w:tc>
      </w:tr>
      <w:tr w:rsidTr="00F2444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D3FD1" w:rsidP="006D3FD1">
            <w:pPr>
              <w:pStyle w:val="BodyText"/>
            </w:pPr>
            <w:r w:rsidRPr="006D3FD1">
              <w:t>Note: Competent performance with inherent safe working practices is expected in the Industry to which this Competency Standard Unit applies. Thi</w:t>
            </w:r>
            <w:r w:rsidRPr="006D3FD1">
              <w:t>s requires that the specified Essential Knowledge and Associated Skills are assessed in a structured environment which is primarily intended for learning/assessment and incorporates all necessary equipment and facilities for learners to develop and demonst</w:t>
            </w:r>
            <w:r w:rsidRPr="006D3FD1">
              <w:t>rate the essential knowledge and associated skills described in this unit.</w:t>
            </w:r>
          </w:p>
        </w:tc>
      </w:tr>
    </w:tbl>
    <w:p w:rsidR="00000000" w:rsidRPr="006D3FD1" w:rsidP="006D3FD1">
      <w:pPr>
        <w:pStyle w:val="BodyText"/>
      </w:pPr>
    </w:p>
    <w:tbl>
      <w:tblPr>
        <w:tblW w:w="0" w:type="auto"/>
        <w:tblLayout w:type="fixed"/>
        <w:tblCellMar>
          <w:left w:w="62" w:type="dxa"/>
          <w:right w:w="62" w:type="dxa"/>
        </w:tblCellMar>
        <w:tblLook w:val="0000"/>
      </w:tblPr>
      <w:tblGrid>
        <w:gridCol w:w="1890"/>
        <w:gridCol w:w="1620"/>
        <w:gridCol w:w="4950"/>
      </w:tblGrid>
      <w:tr w:rsidTr="00F2444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D3FD1" w:rsidP="006D3FD1">
            <w:pPr>
              <w:pStyle w:val="BodyText"/>
            </w:pPr>
            <w:r w:rsidRPr="006D3FD1">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rPr>
                <w:rStyle w:val="SpecialBold"/>
              </w:rPr>
              <w:t>9.5)</w:t>
            </w:r>
          </w:p>
        </w:tc>
      </w:tr>
      <w:tr w:rsidTr="00F2444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UEGNSG102B</w:t>
            </w:r>
          </w:p>
        </w:tc>
        <w:tc>
          <w:tcPr>
            <w:tcW w:w="495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Carry out work activities in a utilities industry work environment</w:t>
            </w:r>
          </w:p>
        </w:tc>
      </w:tr>
      <w:tr w:rsidTr="00F2444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UEENEEE101A</w:t>
            </w:r>
          </w:p>
        </w:tc>
        <w:tc>
          <w:tcPr>
            <w:tcW w:w="495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Apply Occupational Health Safety regulations, codes and practices in the workplace</w:t>
            </w:r>
          </w:p>
        </w:tc>
      </w:tr>
      <w:tr w:rsidTr="00F2444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UEGNSG104B</w:t>
            </w:r>
          </w:p>
        </w:tc>
        <w:tc>
          <w:tcPr>
            <w:tcW w:w="495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Comply with environmental policies and procedures</w:t>
            </w:r>
          </w:p>
        </w:tc>
      </w:tr>
      <w:tr w:rsidTr="00F2444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UEGNSG105B</w:t>
            </w:r>
          </w:p>
        </w:tc>
        <w:tc>
          <w:tcPr>
            <w:tcW w:w="495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Establish the work site</w:t>
            </w:r>
          </w:p>
        </w:tc>
      </w:tr>
      <w:tr w:rsidTr="00F2444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BSBFLM312B</w:t>
            </w:r>
          </w:p>
        </w:tc>
        <w:tc>
          <w:tcPr>
            <w:tcW w:w="495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Contribute to team effectiveness</w:t>
            </w:r>
          </w:p>
        </w:tc>
      </w:tr>
      <w:tr w:rsidTr="00F2444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BSBFLM303C</w:t>
            </w:r>
          </w:p>
        </w:tc>
        <w:tc>
          <w:tcPr>
            <w:tcW w:w="4950" w:type="dxa"/>
            <w:tcBorders>
              <w:top w:val="nil"/>
              <w:left w:val="nil"/>
              <w:bottom w:val="nil"/>
              <w:right w:val="nil"/>
            </w:tcBorders>
            <w:tcMar>
              <w:top w:w="0" w:type="dxa"/>
              <w:left w:w="62" w:type="dxa"/>
              <w:bottom w:w="0" w:type="dxa"/>
              <w:right w:w="62" w:type="dxa"/>
            </w:tcMar>
          </w:tcPr>
          <w:p w:rsidR="00000000" w:rsidRPr="006D3FD1" w:rsidP="006D3FD1">
            <w:pPr>
              <w:pStyle w:val="BodyText"/>
            </w:pPr>
            <w:r w:rsidRPr="006D3FD1">
              <w:t xml:space="preserve">Contribute to </w:t>
            </w:r>
            <w:r w:rsidRPr="006D3FD1">
              <w:t>effective workplace relationships</w:t>
            </w:r>
          </w:p>
        </w:tc>
      </w:tr>
    </w:tbl>
    <w:p w:rsidR="00F24449" w:rsidP="006D3FD1">
      <w:pPr>
        <w:pStyle w:val="BodyText"/>
      </w:pPr>
    </w:p>
    <w:p w:rsidR="00F24449" w:rsidP="006D3FD1">
      <w:pPr>
        <w:pStyle w:val="BodyText"/>
      </w:pPr>
    </w:p>
    <w:p w:rsidR="00000000" w:rsidRPr="006D3FD1" w:rsidP="006D3FD1">
      <w:pPr>
        <w:pStyle w:val="Heading1"/>
      </w:pPr>
      <w:bookmarkStart w:id="11" w:name="O_403818"/>
      <w:bookmarkEnd w:id="11"/>
      <w:r w:rsidRPr="006D3FD1">
        <w:t>Range Statement</w:t>
      </w:r>
    </w:p>
    <w:tbl>
      <w:tblPr>
        <w:tblW w:w="0" w:type="auto"/>
        <w:tblLayout w:type="fixed"/>
        <w:tblCellMar>
          <w:left w:w="62" w:type="dxa"/>
          <w:right w:w="62" w:type="dxa"/>
        </w:tblCellMar>
        <w:tblLook w:val="0000"/>
      </w:tblPr>
      <w:tblGrid>
        <w:gridCol w:w="8460"/>
      </w:tblGrid>
      <w:tr w:rsidTr="00F2444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rPr>
                <w:rStyle w:val="SpecialBold"/>
              </w:rPr>
              <w:t>RANGE STATEMENT</w:t>
            </w:r>
          </w:p>
        </w:tc>
      </w:tr>
      <w:tr w:rsidTr="00F2444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rPr>
                <w:rStyle w:val="SpecialBold"/>
              </w:rPr>
              <w:t>10)</w:t>
            </w:r>
            <w:r w:rsidRPr="006D3FD1">
              <w:t xml:space="preserve"> This relates to the competency standard unit as a whole providing the range of contexts and conditions </w:t>
            </w:r>
            <w:r w:rsidRPr="006D3FD1">
              <w:t>to which the Performance Criteria apply. It allows for different work environments and situations that will affect performance.</w:t>
            </w:r>
          </w:p>
        </w:tc>
      </w:tr>
      <w:tr w:rsidTr="00F2444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This Competency Standard Unit shall be demonstrated in relation to performing minor maintenance on gas processing/storage facil</w:t>
            </w:r>
            <w:r w:rsidRPr="006D3FD1">
              <w:t>ities and equipment.</w:t>
            </w:r>
          </w:p>
        </w:tc>
      </w:tr>
      <w:tr w:rsidTr="00F2444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 xml:space="preserve">The following constants and variables included in the element/Performance Criteria in this unit are fully described in the Definitions Section of this volume and form an integral part of the Range Statement of this unit: </w:t>
            </w:r>
          </w:p>
        </w:tc>
      </w:tr>
      <w:tr w:rsidTr="00F2444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Pressure ve</w:t>
            </w:r>
            <w:r w:rsidRPr="006D3FD1">
              <w:t xml:space="preserve">ssels and fittings </w:t>
            </w:r>
          </w:p>
        </w:tc>
      </w:tr>
      <w:tr w:rsidTr="00F2444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Types of variations or irregularities</w:t>
            </w:r>
          </w:p>
        </w:tc>
      </w:tr>
      <w:tr w:rsidTr="00F2444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 xml:space="preserve">Appropriate parts </w:t>
            </w:r>
          </w:p>
        </w:tc>
      </w:tr>
      <w:tr w:rsidTr="00F2444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 xml:space="preserve">Types of adjustments </w:t>
            </w:r>
          </w:p>
        </w:tc>
      </w:tr>
      <w:tr w:rsidTr="00F2444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t xml:space="preserve">Documents </w:t>
            </w:r>
          </w:p>
        </w:tc>
      </w:tr>
      <w:tr w:rsidTr="00F2444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D3FD1" w:rsidP="006D3FD1">
            <w:pPr>
              <w:pStyle w:val="BodyText"/>
            </w:pPr>
            <w:r w:rsidRPr="006D3FD1">
              <w:t>Documentation (3)</w:t>
            </w:r>
          </w:p>
        </w:tc>
      </w:tr>
    </w:tbl>
    <w:p w:rsidR="00000000" w:rsidRPr="006D3FD1" w:rsidP="006D3FD1">
      <w:pPr>
        <w:pStyle w:val="BodyText"/>
      </w:pPr>
    </w:p>
    <w:p w:rsidR="00000000" w:rsidRPr="006D3FD1" w:rsidP="006D3FD1">
      <w:pPr>
        <w:pStyle w:val="AllowPageBreak"/>
      </w:pPr>
    </w:p>
    <w:p w:rsidR="00000000" w:rsidRPr="006D3FD1" w:rsidP="006D3FD1">
      <w:pPr>
        <w:pStyle w:val="Heading1"/>
      </w:pPr>
      <w:bookmarkStart w:id="12" w:name="O_403821"/>
      <w:bookmarkEnd w:id="12"/>
      <w:r w:rsidRPr="006D3FD1">
        <w:t>Unit Sector(s)</w:t>
      </w:r>
    </w:p>
    <w:p w:rsidR="00000000" w:rsidRPr="006D3FD1" w:rsidP="006D3FD1">
      <w:pPr>
        <w:pStyle w:val="BodyText"/>
      </w:pPr>
      <w:r w:rsidRPr="006D3FD1">
        <w:t>Not applicable.</w:t>
      </w:r>
    </w:p>
    <w:p w:rsidR="00000000" w:rsidRPr="006D3FD1" w:rsidP="006D3FD1">
      <w:pPr>
        <w:pStyle w:val="AllowPageBreak"/>
      </w:pPr>
    </w:p>
    <w:p w:rsidR="00000000" w:rsidRPr="006D3FD1" w:rsidP="006D3FD1">
      <w:pPr>
        <w:pStyle w:val="Heading1"/>
      </w:pPr>
      <w:bookmarkStart w:id="13" w:name="O_403810"/>
      <w:bookmarkEnd w:id="13"/>
      <w:r w:rsidRPr="006D3FD1">
        <w:t>Competency Field</w:t>
      </w:r>
    </w:p>
    <w:tbl>
      <w:tblPr>
        <w:tblW w:w="0" w:type="auto"/>
        <w:tblLayout w:type="fixed"/>
        <w:tblCellMar>
          <w:left w:w="62" w:type="dxa"/>
          <w:right w:w="62" w:type="dxa"/>
        </w:tblCellMar>
        <w:tblLook w:val="0000"/>
      </w:tblPr>
      <w:tblGrid>
        <w:gridCol w:w="2700"/>
        <w:gridCol w:w="5760"/>
      </w:tblGrid>
      <w:tr w:rsidTr="00F2444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3FD1" w:rsidP="006D3FD1">
            <w:pPr>
              <w:pStyle w:val="BodyText"/>
            </w:pPr>
            <w:r w:rsidRPr="006D3FD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D3FD1">
            <w:pPr>
              <w:pStyle w:val="BodyText"/>
              <w:rPr>
                <w:lang w:val="en-NZ"/>
              </w:rPr>
            </w:pPr>
            <w:r w:rsidRPr="006D3FD1">
              <w:rPr>
                <w:rStyle w:val="SpecialBold"/>
              </w:rPr>
              <w:t xml:space="preserve">11) </w:t>
            </w:r>
          </w:p>
        </w:tc>
      </w:tr>
      <w:tr w:rsidTr="00F244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D3FD1" w:rsidP="006D3FD1">
            <w:pPr>
              <w:pStyle w:val="BodyText"/>
            </w:pPr>
            <w:r w:rsidRPr="006D3FD1">
              <w:t>LPG.</w:t>
            </w:r>
          </w:p>
        </w:tc>
      </w:tr>
    </w:tbl>
    <w:p w:rsidR="00000000" w:rsidRPr="006D3FD1" w:rsidP="006D3FD1">
      <w:pPr>
        <w:pStyle w:val="BodyText"/>
      </w:pPr>
    </w:p>
    <w:p w:rsidR="00000000" w:rsidRPr="006D3FD1" w:rsidP="006D3FD1"/>
    <w:sectPr w:rsidSect="006D3F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F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FD1" w:rsidRPr="00F24449" w:rsidP="00F244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F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449" w:rsidP="006D3F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24449" w:rsidP="006D3FD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F24449" w:rsidP="006D3F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F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FD1" w:rsidRPr="00F24449" w:rsidP="00F2444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F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449" w:rsidRPr="002D2AF8" w:rsidP="006D3FD1">
    <w:pPr>
      <w:pStyle w:val="Header"/>
      <w:framePr w:wrap="around"/>
    </w:pPr>
    <w:r>
      <w:fldChar w:fldCharType="begin"/>
    </w:r>
    <w:r>
      <w:instrText xml:space="preserve"> TITLE   \* MERGEFORMAT </w:instrText>
    </w:r>
    <w:r>
      <w:fldChar w:fldCharType="separate"/>
    </w:r>
    <w:r>
      <w:t>UEGNSG608B Perform minor maintenance on gas processing/storage facilities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F24449" w:rsidP="006D3F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6432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A0F0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768C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F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3FD1"/>
    <w:pPr>
      <w:spacing w:before="360" w:after="60"/>
      <w:outlineLvl w:val="0"/>
    </w:pPr>
    <w:rPr>
      <w:sz w:val="32"/>
    </w:rPr>
  </w:style>
  <w:style w:type="paragraph" w:styleId="Heading2">
    <w:name w:val="heading 2"/>
    <w:basedOn w:val="HeadingBase"/>
    <w:next w:val="BodyText"/>
    <w:link w:val="Heading2Char"/>
    <w:qFormat/>
    <w:rsid w:val="006D3FD1"/>
    <w:pPr>
      <w:keepLines/>
      <w:spacing w:before="240" w:after="120"/>
      <w:outlineLvl w:val="1"/>
    </w:pPr>
    <w:rPr>
      <w:sz w:val="28"/>
      <w:szCs w:val="40"/>
    </w:rPr>
  </w:style>
  <w:style w:type="paragraph" w:styleId="Heading3">
    <w:name w:val="heading 3"/>
    <w:basedOn w:val="HeadingBase"/>
    <w:next w:val="BodyText"/>
    <w:link w:val="Heading3Char"/>
    <w:qFormat/>
    <w:rsid w:val="006D3FD1"/>
    <w:pPr>
      <w:spacing w:before="180" w:after="120"/>
      <w:outlineLvl w:val="2"/>
    </w:pPr>
    <w:rPr>
      <w:spacing w:val="-10"/>
      <w:kern w:val="32"/>
    </w:rPr>
  </w:style>
  <w:style w:type="paragraph" w:styleId="Heading4">
    <w:name w:val="heading 4"/>
    <w:basedOn w:val="HeadingBase"/>
    <w:next w:val="BodyText"/>
    <w:link w:val="Heading4Char"/>
    <w:qFormat/>
    <w:rsid w:val="006D3FD1"/>
    <w:pPr>
      <w:spacing w:before="160" w:after="120"/>
      <w:outlineLvl w:val="3"/>
    </w:pPr>
    <w:rPr>
      <w:sz w:val="22"/>
    </w:rPr>
  </w:style>
  <w:style w:type="paragraph" w:styleId="Heading5">
    <w:name w:val="heading 5"/>
    <w:basedOn w:val="HeadingBase"/>
    <w:next w:val="Normal"/>
    <w:link w:val="Heading5Char"/>
    <w:qFormat/>
    <w:rsid w:val="006D3FD1"/>
    <w:pPr>
      <w:spacing w:before="80"/>
      <w:outlineLvl w:val="4"/>
    </w:pPr>
    <w:rPr>
      <w:color w:val="918585"/>
      <w:sz w:val="20"/>
    </w:rPr>
  </w:style>
  <w:style w:type="paragraph" w:styleId="Heading6">
    <w:name w:val="heading 6"/>
    <w:basedOn w:val="HeadingBase"/>
    <w:next w:val="Normal"/>
    <w:link w:val="Heading6Char"/>
    <w:qFormat/>
    <w:rsid w:val="006D3FD1"/>
    <w:pPr>
      <w:spacing w:before="60"/>
      <w:outlineLvl w:val="5"/>
    </w:pPr>
    <w:rPr>
      <w:color w:val="918585"/>
      <w:sz w:val="20"/>
    </w:rPr>
  </w:style>
  <w:style w:type="paragraph" w:styleId="Heading7">
    <w:name w:val="heading 7"/>
    <w:basedOn w:val="Normal"/>
    <w:next w:val="Normal"/>
    <w:link w:val="Heading7Char"/>
    <w:qFormat/>
    <w:rsid w:val="006D3FD1"/>
    <w:pPr>
      <w:ind w:left="720"/>
      <w:outlineLvl w:val="6"/>
    </w:pPr>
    <w:rPr>
      <w:i/>
    </w:rPr>
  </w:style>
  <w:style w:type="paragraph" w:styleId="Heading8">
    <w:name w:val="heading 8"/>
    <w:basedOn w:val="Normal"/>
    <w:next w:val="Normal"/>
    <w:link w:val="Heading8Char"/>
    <w:qFormat/>
    <w:rsid w:val="006D3FD1"/>
    <w:pPr>
      <w:ind w:left="720"/>
      <w:outlineLvl w:val="7"/>
    </w:pPr>
    <w:rPr>
      <w:i/>
    </w:rPr>
  </w:style>
  <w:style w:type="paragraph" w:styleId="Heading9">
    <w:name w:val="heading 9"/>
    <w:basedOn w:val="Normal"/>
    <w:next w:val="Normal"/>
    <w:link w:val="Heading9Char"/>
    <w:qFormat/>
    <w:rsid w:val="006D3FD1"/>
    <w:pPr>
      <w:ind w:left="720"/>
      <w:outlineLvl w:val="8"/>
    </w:pPr>
    <w:rPr>
      <w:i/>
    </w:rPr>
  </w:style>
  <w:style w:type="character" w:default="1" w:styleId="DefaultParagraphFont">
    <w:name w:val="Default Paragraph Font"/>
    <w:uiPriority w:val="1"/>
    <w:unhideWhenUsed/>
    <w:rsid w:val="006D3F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3FD1"/>
  </w:style>
  <w:style w:type="character" w:customStyle="1" w:styleId="Heading1Char">
    <w:name w:val="Heading 1 Char"/>
    <w:basedOn w:val="DefaultParagraphFont"/>
    <w:link w:val="Heading1"/>
    <w:rsid w:val="006D3FD1"/>
    <w:rPr>
      <w:rFonts w:ascii="Times New Roman" w:eastAsia="Times New Roman" w:hAnsi="Times New Roman" w:cs="Times New Roman"/>
      <w:b/>
      <w:sz w:val="32"/>
      <w:szCs w:val="20"/>
      <w:lang w:eastAsia="en-US"/>
    </w:rPr>
  </w:style>
  <w:style w:type="paragraph" w:styleId="BodyText">
    <w:name w:val="Body Text"/>
    <w:basedOn w:val="Normal"/>
    <w:link w:val="BodyTextChar"/>
    <w:rsid w:val="006D3F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3FD1"/>
    <w:rPr>
      <w:rFonts w:ascii="Times New Roman" w:eastAsia="Times New Roman" w:hAnsi="Times New Roman" w:cs="Times New Roman"/>
      <w:sz w:val="24"/>
      <w:lang w:eastAsia="en-US"/>
    </w:rPr>
  </w:style>
  <w:style w:type="paragraph" w:styleId="ListBullet">
    <w:name w:val="List Bullet"/>
    <w:basedOn w:val="List"/>
    <w:rsid w:val="006D3FD1"/>
    <w:pPr>
      <w:numPr>
        <w:numId w:val="13"/>
      </w:numPr>
      <w:tabs>
        <w:tab w:val="clear" w:pos="340"/>
      </w:tabs>
      <w:spacing w:before="40" w:after="40"/>
    </w:pPr>
  </w:style>
  <w:style w:type="character" w:customStyle="1" w:styleId="SpecialBold">
    <w:name w:val="Special Bold"/>
    <w:basedOn w:val="DefaultParagraphFont"/>
    <w:rsid w:val="006D3FD1"/>
    <w:rPr>
      <w:b/>
      <w:spacing w:val="0"/>
    </w:rPr>
  </w:style>
  <w:style w:type="paragraph" w:styleId="ListBullet2">
    <w:name w:val="List Bullet 2"/>
    <w:basedOn w:val="List2"/>
    <w:rsid w:val="006D3FD1"/>
    <w:pPr>
      <w:numPr>
        <w:numId w:val="14"/>
      </w:numPr>
      <w:tabs>
        <w:tab w:val="clear" w:pos="680"/>
      </w:tabs>
    </w:pPr>
  </w:style>
  <w:style w:type="paragraph" w:customStyle="1" w:styleId="SuperHeading">
    <w:name w:val="SuperHeading"/>
    <w:basedOn w:val="Normal"/>
    <w:rsid w:val="006D3FD1"/>
    <w:pPr>
      <w:spacing w:before="240" w:after="120"/>
      <w:outlineLvl w:val="0"/>
    </w:pPr>
    <w:rPr>
      <w:rFonts w:ascii="Times New Roman" w:hAnsi="Times New Roman"/>
      <w:b/>
      <w:sz w:val="32"/>
    </w:rPr>
  </w:style>
  <w:style w:type="paragraph" w:customStyle="1" w:styleId="AllowPageBreak">
    <w:name w:val="AllowPageBreak"/>
    <w:rsid w:val="006D3F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3F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3F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3F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3F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3F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3F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3F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3FD1"/>
    <w:rPr>
      <w:rFonts w:ascii="Courier New" w:eastAsia="Times New Roman" w:hAnsi="Courier New" w:cs="Times New Roman"/>
      <w:i/>
      <w:szCs w:val="20"/>
      <w:lang w:eastAsia="en-US"/>
    </w:rPr>
  </w:style>
  <w:style w:type="paragraph" w:customStyle="1" w:styleId="HeadingBase">
    <w:name w:val="Heading Base"/>
    <w:rsid w:val="006D3F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3FD1"/>
    <w:pPr>
      <w:tabs>
        <w:tab w:val="right" w:leader="dot" w:pos="9072"/>
      </w:tabs>
      <w:ind w:left="567"/>
    </w:pPr>
    <w:rPr>
      <w:szCs w:val="22"/>
    </w:rPr>
  </w:style>
  <w:style w:type="paragraph" w:customStyle="1" w:styleId="TOCBase">
    <w:name w:val="TOC Base"/>
    <w:rsid w:val="006D3F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3FD1"/>
    <w:pPr>
      <w:tabs>
        <w:tab w:val="right" w:leader="dot" w:pos="9072"/>
      </w:tabs>
      <w:spacing w:before="40" w:after="40"/>
      <w:ind w:left="284"/>
    </w:pPr>
    <w:rPr>
      <w:rFonts w:ascii="Times New Roman" w:hAnsi="Times New Roman"/>
    </w:rPr>
  </w:style>
  <w:style w:type="paragraph" w:styleId="TOC1">
    <w:name w:val="toc 1"/>
    <w:basedOn w:val="TOCBase"/>
    <w:next w:val="Normal"/>
    <w:rsid w:val="006D3F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3F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3FD1"/>
    <w:rPr>
      <w:rFonts w:ascii="Times New Roman" w:eastAsia="Times New Roman" w:hAnsi="Times New Roman" w:cs="Times New Roman"/>
      <w:sz w:val="16"/>
      <w:lang w:eastAsia="en-US"/>
    </w:rPr>
  </w:style>
  <w:style w:type="paragraph" w:styleId="Title">
    <w:name w:val="Title"/>
    <w:basedOn w:val="HeadingBase"/>
    <w:link w:val="TitleChar"/>
    <w:qFormat/>
    <w:rsid w:val="006D3FD1"/>
    <w:pPr>
      <w:spacing w:before="5040"/>
      <w:jc w:val="center"/>
    </w:pPr>
    <w:rPr>
      <w:sz w:val="48"/>
      <w:szCs w:val="72"/>
      <w:lang w:val="en-US"/>
    </w:rPr>
  </w:style>
  <w:style w:type="character" w:customStyle="1" w:styleId="TitleChar">
    <w:name w:val="Title Char"/>
    <w:basedOn w:val="DefaultParagraphFont"/>
    <w:link w:val="Title"/>
    <w:rsid w:val="006D3F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3FD1"/>
    <w:pPr>
      <w:tabs>
        <w:tab w:val="left" w:pos="3600"/>
        <w:tab w:val="left" w:pos="3958"/>
      </w:tabs>
    </w:pPr>
  </w:style>
  <w:style w:type="paragraph" w:styleId="List">
    <w:name w:val="List"/>
    <w:basedOn w:val="BodyText"/>
    <w:next w:val="BodyText"/>
    <w:rsid w:val="006D3FD1"/>
    <w:pPr>
      <w:tabs>
        <w:tab w:val="left" w:pos="340"/>
      </w:tabs>
      <w:spacing w:before="60" w:after="60"/>
      <w:ind w:left="340" w:hanging="340"/>
    </w:pPr>
  </w:style>
  <w:style w:type="paragraph" w:customStyle="1" w:styleId="Note">
    <w:name w:val="Note"/>
    <w:basedOn w:val="BodyText"/>
    <w:rsid w:val="006D3F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3FD1"/>
    <w:pPr>
      <w:framePr w:wrap="auto" w:hAnchor="text" w:y="6049"/>
    </w:pPr>
    <w:rPr>
      <w:color w:val="000000"/>
      <w:sz w:val="40"/>
    </w:rPr>
  </w:style>
  <w:style w:type="paragraph" w:customStyle="1" w:styleId="TOCTitle">
    <w:name w:val="TOCTitle"/>
    <w:basedOn w:val="Heading1"/>
    <w:rsid w:val="006D3FD1"/>
    <w:pPr>
      <w:spacing w:after="240"/>
      <w:jc w:val="center"/>
      <w:outlineLvl w:val="9"/>
    </w:pPr>
    <w:rPr>
      <w:caps/>
    </w:rPr>
  </w:style>
  <w:style w:type="paragraph" w:customStyle="1" w:styleId="Version">
    <w:name w:val="Version"/>
    <w:rsid w:val="006D3F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3FD1"/>
    <w:pPr>
      <w:keepNext w:val="0"/>
      <w:tabs>
        <w:tab w:val="right" w:pos="4176"/>
      </w:tabs>
      <w:ind w:left="198" w:hanging="198"/>
    </w:pPr>
    <w:rPr>
      <w:rFonts w:ascii="Garamond" w:hAnsi="Garamond"/>
    </w:rPr>
  </w:style>
  <w:style w:type="paragraph" w:styleId="IndexHeading">
    <w:name w:val="index heading"/>
    <w:basedOn w:val="Normal"/>
    <w:next w:val="Index1"/>
    <w:semiHidden/>
    <w:rsid w:val="006D3FD1"/>
    <w:pPr>
      <w:spacing w:before="120" w:after="120"/>
    </w:pPr>
    <w:rPr>
      <w:rFonts w:ascii="Arial" w:hAnsi="Arial"/>
      <w:b/>
      <w:color w:val="918585"/>
      <w:sz w:val="24"/>
    </w:rPr>
  </w:style>
  <w:style w:type="paragraph" w:styleId="Header">
    <w:name w:val="header"/>
    <w:basedOn w:val="Normal"/>
    <w:link w:val="HeaderChar"/>
    <w:rsid w:val="006D3F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3FD1"/>
    <w:rPr>
      <w:rFonts w:ascii="Times New Roman" w:eastAsia="Times New Roman" w:hAnsi="Times New Roman" w:cs="Times New Roman"/>
      <w:sz w:val="16"/>
      <w:szCs w:val="20"/>
      <w:lang w:val="en-GB" w:eastAsia="en-US"/>
    </w:rPr>
  </w:style>
  <w:style w:type="paragraph" w:customStyle="1" w:styleId="Chapter">
    <w:name w:val="Chapter"/>
    <w:basedOn w:val="Normal"/>
    <w:rsid w:val="006D3FD1"/>
    <w:pPr>
      <w:spacing w:before="240"/>
    </w:pPr>
    <w:rPr>
      <w:rFonts w:ascii="Times New Roman" w:hAnsi="Times New Roman"/>
      <w:smallCaps/>
      <w:spacing w:val="80"/>
      <w:sz w:val="28"/>
    </w:rPr>
  </w:style>
  <w:style w:type="paragraph" w:customStyle="1" w:styleId="InChapter">
    <w:name w:val="InChapter"/>
    <w:basedOn w:val="Heading3"/>
    <w:rsid w:val="006D3FD1"/>
    <w:pPr>
      <w:spacing w:after="240"/>
      <w:outlineLvl w:val="9"/>
    </w:pPr>
    <w:rPr>
      <w:noProof/>
    </w:rPr>
  </w:style>
  <w:style w:type="paragraph" w:styleId="Index2">
    <w:name w:val="index 2"/>
    <w:basedOn w:val="Normal"/>
    <w:next w:val="Normal"/>
    <w:semiHidden/>
    <w:rsid w:val="006D3FD1"/>
    <w:pPr>
      <w:tabs>
        <w:tab w:val="right" w:pos="4176"/>
      </w:tabs>
      <w:ind w:left="568" w:hanging="284"/>
    </w:pPr>
    <w:rPr>
      <w:rFonts w:ascii="Garamond" w:hAnsi="Garamond"/>
    </w:rPr>
  </w:style>
  <w:style w:type="paragraph" w:customStyle="1" w:styleId="Byline">
    <w:name w:val="Byline"/>
    <w:rsid w:val="006D3F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3FD1"/>
    <w:pPr>
      <w:tabs>
        <w:tab w:val="clear" w:pos="3600"/>
        <w:tab w:val="clear" w:pos="3958"/>
      </w:tabs>
      <w:jc w:val="right"/>
    </w:pPr>
  </w:style>
  <w:style w:type="character" w:styleId="Emphasis">
    <w:name w:val="Emphasis"/>
    <w:basedOn w:val="DefaultParagraphFont"/>
    <w:qFormat/>
    <w:rsid w:val="006D3FD1"/>
    <w:rPr>
      <w:i/>
    </w:rPr>
  </w:style>
  <w:style w:type="paragraph" w:styleId="Caption">
    <w:name w:val="caption"/>
    <w:basedOn w:val="BodyText"/>
    <w:next w:val="Normal"/>
    <w:qFormat/>
    <w:rsid w:val="006D3FD1"/>
    <w:pPr>
      <w:framePr w:w="2268" w:hSpace="181" w:vSpace="181" w:wrap="around" w:vAnchor="text" w:hAnchor="page" w:x="1135" w:y="285" w:anchorLock="1"/>
    </w:pPr>
    <w:rPr>
      <w:i/>
    </w:rPr>
  </w:style>
  <w:style w:type="paragraph" w:customStyle="1" w:styleId="MiniTOCTitle">
    <w:name w:val="MiniTOCTitle"/>
    <w:basedOn w:val="Heading4"/>
    <w:rsid w:val="006D3FD1"/>
    <w:pPr>
      <w:spacing w:before="240"/>
      <w:outlineLvl w:val="9"/>
    </w:pPr>
    <w:rPr>
      <w:noProof/>
      <w:sz w:val="24"/>
    </w:rPr>
  </w:style>
  <w:style w:type="paragraph" w:customStyle="1" w:styleId="MiniTOCItem">
    <w:name w:val="MiniTOCItem"/>
    <w:basedOn w:val="ListBullet"/>
    <w:rsid w:val="006D3FD1"/>
    <w:pPr>
      <w:numPr>
        <w:numId w:val="0"/>
      </w:numPr>
      <w:tabs>
        <w:tab w:val="right" w:leader="dot" w:pos="6521"/>
      </w:tabs>
      <w:spacing w:before="0" w:after="0"/>
    </w:pPr>
  </w:style>
  <w:style w:type="paragraph" w:customStyle="1" w:styleId="TOFTitle">
    <w:name w:val="TOFTitle"/>
    <w:basedOn w:val="TOCTitle"/>
    <w:rsid w:val="006D3FD1"/>
  </w:style>
  <w:style w:type="paragraph" w:styleId="TableofFigures">
    <w:name w:val="table of figures"/>
    <w:basedOn w:val="Normal"/>
    <w:next w:val="Normal"/>
    <w:semiHidden/>
    <w:rsid w:val="006D3FD1"/>
    <w:pPr>
      <w:tabs>
        <w:tab w:val="right" w:leader="dot" w:pos="9072"/>
      </w:tabs>
      <w:ind w:left="970" w:hanging="403"/>
    </w:pPr>
    <w:rPr>
      <w:rFonts w:ascii="Times New Roman" w:hAnsi="Times New Roman"/>
      <w:b/>
    </w:rPr>
  </w:style>
  <w:style w:type="paragraph" w:styleId="ListNumber">
    <w:name w:val="List Number"/>
    <w:basedOn w:val="List"/>
    <w:rsid w:val="006D3FD1"/>
    <w:pPr>
      <w:numPr>
        <w:numId w:val="11"/>
      </w:numPr>
    </w:pPr>
  </w:style>
  <w:style w:type="character" w:customStyle="1" w:styleId="WingdingSymbols">
    <w:name w:val="Wingding Symbols"/>
    <w:rsid w:val="006D3FD1"/>
    <w:rPr>
      <w:rFonts w:ascii="Wingdings" w:hAnsi="Wingdings"/>
    </w:rPr>
  </w:style>
  <w:style w:type="paragraph" w:customStyle="1" w:styleId="TableHeading">
    <w:name w:val="Table Heading"/>
    <w:basedOn w:val="HeadingBase"/>
    <w:rsid w:val="006D3FD1"/>
    <w:pPr>
      <w:keepLines/>
      <w:pBdr>
        <w:bottom w:val="single" w:sz="6" w:space="1" w:color="918585"/>
      </w:pBdr>
      <w:spacing w:before="240"/>
    </w:pPr>
  </w:style>
  <w:style w:type="character" w:customStyle="1" w:styleId="HotSpot">
    <w:name w:val="HotSpot"/>
    <w:rsid w:val="006D3FD1"/>
    <w:rPr>
      <w:color w:val="0033CC"/>
      <w:u w:val="none"/>
    </w:rPr>
  </w:style>
  <w:style w:type="paragraph" w:customStyle="1" w:styleId="BodyTextRight">
    <w:name w:val="Body Text Right"/>
    <w:basedOn w:val="BodyText"/>
    <w:rsid w:val="006D3FD1"/>
    <w:pPr>
      <w:spacing w:before="0" w:after="0"/>
      <w:jc w:val="right"/>
    </w:pPr>
  </w:style>
  <w:style w:type="paragraph" w:styleId="Index3">
    <w:name w:val="index 3"/>
    <w:basedOn w:val="ListNumber2"/>
    <w:next w:val="Normal"/>
    <w:semiHidden/>
    <w:rsid w:val="006D3FD1"/>
    <w:pPr>
      <w:numPr>
        <w:numId w:val="0"/>
      </w:numPr>
      <w:tabs>
        <w:tab w:val="right" w:leader="dot" w:pos="4176"/>
      </w:tabs>
    </w:pPr>
  </w:style>
  <w:style w:type="paragraph" w:styleId="ListNumber2">
    <w:name w:val="List Number 2"/>
    <w:basedOn w:val="List2"/>
    <w:rsid w:val="006D3FD1"/>
    <w:pPr>
      <w:numPr>
        <w:numId w:val="10"/>
      </w:numPr>
      <w:tabs>
        <w:tab w:val="clear" w:pos="1060"/>
      </w:tabs>
    </w:pPr>
  </w:style>
  <w:style w:type="paragraph" w:customStyle="1" w:styleId="MarginNote">
    <w:name w:val="Margin Note"/>
    <w:basedOn w:val="BodyText"/>
    <w:rsid w:val="006D3F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3F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3F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3FD1"/>
    <w:rPr>
      <w:sz w:val="32"/>
    </w:rPr>
  </w:style>
  <w:style w:type="paragraph" w:customStyle="1" w:styleId="HeadingProcedure">
    <w:name w:val="Heading Procedure"/>
    <w:basedOn w:val="HeadingBase"/>
    <w:next w:val="Normal"/>
    <w:rsid w:val="006D3FD1"/>
    <w:pPr>
      <w:tabs>
        <w:tab w:val="left" w:pos="0"/>
      </w:tabs>
      <w:spacing w:before="120" w:after="60"/>
    </w:pPr>
    <w:rPr>
      <w:i/>
      <w:color w:val="918585"/>
      <w:sz w:val="22"/>
    </w:rPr>
  </w:style>
  <w:style w:type="paragraph" w:customStyle="1" w:styleId="TableBodyText">
    <w:name w:val="Table Body Text"/>
    <w:basedOn w:val="BodyText"/>
    <w:rsid w:val="006D3FD1"/>
    <w:pPr>
      <w:spacing w:before="60" w:after="60"/>
    </w:pPr>
  </w:style>
  <w:style w:type="paragraph" w:styleId="ListContinue">
    <w:name w:val="List Continue"/>
    <w:basedOn w:val="List"/>
    <w:rsid w:val="006D3FD1"/>
    <w:pPr>
      <w:ind w:firstLine="0"/>
    </w:pPr>
  </w:style>
  <w:style w:type="paragraph" w:customStyle="1" w:styleId="ListNote">
    <w:name w:val="List Note"/>
    <w:basedOn w:val="List"/>
    <w:rsid w:val="006D3FD1"/>
    <w:pPr>
      <w:pBdr>
        <w:top w:val="single" w:sz="6" w:space="2" w:color="918585"/>
        <w:bottom w:val="single" w:sz="6" w:space="2" w:color="918585"/>
      </w:pBdr>
      <w:tabs>
        <w:tab w:val="left" w:pos="1021"/>
      </w:tabs>
      <w:ind w:firstLine="0"/>
    </w:pPr>
  </w:style>
  <w:style w:type="paragraph" w:customStyle="1" w:styleId="Warning">
    <w:name w:val="Warning"/>
    <w:basedOn w:val="BodyText"/>
    <w:rsid w:val="006D3FD1"/>
    <w:pPr>
      <w:shd w:val="clear" w:color="auto" w:fill="D9D9D9"/>
      <w:tabs>
        <w:tab w:val="left" w:pos="992"/>
      </w:tabs>
      <w:ind w:left="119" w:right="119"/>
    </w:pPr>
    <w:rPr>
      <w:sz w:val="20"/>
    </w:rPr>
  </w:style>
  <w:style w:type="paragraph" w:customStyle="1" w:styleId="MarginIcons">
    <w:name w:val="Margin Icons"/>
    <w:basedOn w:val="BodyText"/>
    <w:rsid w:val="006D3F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3FD1"/>
    <w:rPr>
      <w:rFonts w:ascii="Courier New" w:hAnsi="Courier New"/>
    </w:rPr>
  </w:style>
  <w:style w:type="paragraph" w:customStyle="1" w:styleId="NoteBullet">
    <w:name w:val="Note Bullet"/>
    <w:basedOn w:val="Note"/>
    <w:rsid w:val="006D3FD1"/>
    <w:pPr>
      <w:tabs>
        <w:tab w:val="clear" w:pos="680"/>
      </w:tabs>
      <w:spacing w:before="60" w:after="60"/>
    </w:pPr>
  </w:style>
  <w:style w:type="paragraph" w:customStyle="1" w:styleId="SubHeading2">
    <w:name w:val="SubHeading2"/>
    <w:basedOn w:val="HeadingBase"/>
    <w:rsid w:val="006D3FD1"/>
    <w:pPr>
      <w:spacing w:before="240" w:after="60"/>
    </w:pPr>
    <w:rPr>
      <w:sz w:val="20"/>
    </w:rPr>
  </w:style>
  <w:style w:type="paragraph" w:customStyle="1" w:styleId="SubHeading1">
    <w:name w:val="SubHeading1"/>
    <w:basedOn w:val="HeadingBase"/>
    <w:rsid w:val="006D3FD1"/>
    <w:pPr>
      <w:spacing w:before="240" w:after="60"/>
    </w:pPr>
    <w:rPr>
      <w:color w:val="918585"/>
      <w:sz w:val="22"/>
    </w:rPr>
  </w:style>
  <w:style w:type="paragraph" w:customStyle="1" w:styleId="SideHeading">
    <w:name w:val="Side Heading"/>
    <w:basedOn w:val="HeadingBase"/>
    <w:rsid w:val="006D3F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3FD1"/>
    <w:pPr>
      <w:numPr>
        <w:numId w:val="12"/>
      </w:numPr>
    </w:pPr>
  </w:style>
  <w:style w:type="paragraph" w:styleId="PlainText">
    <w:name w:val="Plain Text"/>
    <w:basedOn w:val="Normal"/>
    <w:link w:val="PlainTextChar"/>
    <w:rsid w:val="006D3FD1"/>
    <w:rPr>
      <w:sz w:val="20"/>
    </w:rPr>
  </w:style>
  <w:style w:type="character" w:customStyle="1" w:styleId="PlainTextChar">
    <w:name w:val="Plain Text Char"/>
    <w:basedOn w:val="DefaultParagraphFont"/>
    <w:link w:val="PlainText"/>
    <w:rsid w:val="006D3FD1"/>
    <w:rPr>
      <w:rFonts w:ascii="Courier New" w:eastAsia="Times New Roman" w:hAnsi="Courier New" w:cs="Times New Roman"/>
      <w:sz w:val="20"/>
      <w:szCs w:val="20"/>
      <w:lang w:eastAsia="en-US"/>
    </w:rPr>
  </w:style>
  <w:style w:type="character" w:customStyle="1" w:styleId="MenuOption">
    <w:name w:val="Menu Option"/>
    <w:basedOn w:val="DefaultParagraphFont"/>
    <w:rsid w:val="006D3FD1"/>
    <w:rPr>
      <w:b/>
      <w:smallCaps/>
    </w:rPr>
  </w:style>
  <w:style w:type="paragraph" w:customStyle="1" w:styleId="TableListNumber">
    <w:name w:val="Table List Number"/>
    <w:basedOn w:val="ListNumber"/>
    <w:rsid w:val="006D3FD1"/>
    <w:pPr>
      <w:numPr>
        <w:numId w:val="0"/>
      </w:numPr>
    </w:pPr>
  </w:style>
  <w:style w:type="paragraph" w:styleId="TOC4">
    <w:name w:val="toc 4"/>
    <w:basedOn w:val="TOCBase"/>
    <w:next w:val="Normal"/>
    <w:semiHidden/>
    <w:rsid w:val="006D3FD1"/>
    <w:pPr>
      <w:tabs>
        <w:tab w:val="right" w:leader="dot" w:pos="9071"/>
      </w:tabs>
      <w:ind w:left="1701"/>
    </w:pPr>
  </w:style>
  <w:style w:type="paragraph" w:customStyle="1" w:styleId="ListAlpha">
    <w:name w:val="List Alpha"/>
    <w:basedOn w:val="List"/>
    <w:rsid w:val="006D3FD1"/>
    <w:pPr>
      <w:numPr>
        <w:numId w:val="9"/>
      </w:numPr>
    </w:pPr>
  </w:style>
  <w:style w:type="paragraph" w:customStyle="1" w:styleId="ListAlpha2">
    <w:name w:val="List Alpha 2"/>
    <w:basedOn w:val="List2"/>
    <w:rsid w:val="006D3FD1"/>
    <w:pPr>
      <w:numPr>
        <w:numId w:val="8"/>
      </w:numPr>
    </w:pPr>
  </w:style>
  <w:style w:type="paragraph" w:styleId="List2">
    <w:name w:val="List 2"/>
    <w:basedOn w:val="BodyText"/>
    <w:rsid w:val="006D3FD1"/>
    <w:pPr>
      <w:tabs>
        <w:tab w:val="left" w:pos="680"/>
      </w:tabs>
      <w:spacing w:before="60" w:after="60"/>
      <w:ind w:left="680" w:hanging="340"/>
    </w:pPr>
  </w:style>
  <w:style w:type="paragraph" w:styleId="List3">
    <w:name w:val="List 3"/>
    <w:basedOn w:val="BodyText"/>
    <w:rsid w:val="006D3FD1"/>
    <w:pPr>
      <w:tabs>
        <w:tab w:val="left" w:pos="1021"/>
      </w:tabs>
      <w:spacing w:before="60" w:after="60"/>
      <w:ind w:left="1020" w:hanging="340"/>
    </w:pPr>
  </w:style>
  <w:style w:type="paragraph" w:styleId="List4">
    <w:name w:val="List 4"/>
    <w:basedOn w:val="BodyText"/>
    <w:rsid w:val="006D3FD1"/>
    <w:pPr>
      <w:tabs>
        <w:tab w:val="left" w:pos="1361"/>
      </w:tabs>
      <w:spacing w:before="60" w:after="60"/>
      <w:ind w:left="1361" w:hanging="340"/>
    </w:pPr>
  </w:style>
  <w:style w:type="paragraph" w:styleId="List5">
    <w:name w:val="List 5"/>
    <w:basedOn w:val="BodyText"/>
    <w:rsid w:val="006D3FD1"/>
    <w:pPr>
      <w:tabs>
        <w:tab w:val="left" w:pos="1701"/>
      </w:tabs>
      <w:spacing w:before="60" w:after="60"/>
      <w:ind w:left="1701" w:hanging="340"/>
    </w:pPr>
  </w:style>
  <w:style w:type="paragraph" w:styleId="ListBullet3">
    <w:name w:val="List Bullet 3"/>
    <w:basedOn w:val="List3"/>
    <w:rsid w:val="006D3FD1"/>
    <w:pPr>
      <w:numPr>
        <w:numId w:val="15"/>
      </w:numPr>
      <w:tabs>
        <w:tab w:val="clear" w:pos="1021"/>
      </w:tabs>
      <w:ind w:left="1037" w:hanging="357"/>
    </w:pPr>
  </w:style>
  <w:style w:type="paragraph" w:styleId="ListBullet4">
    <w:name w:val="List Bullet 4"/>
    <w:basedOn w:val="List4"/>
    <w:rsid w:val="006D3FD1"/>
    <w:pPr>
      <w:numPr>
        <w:numId w:val="3"/>
      </w:numPr>
    </w:pPr>
  </w:style>
  <w:style w:type="paragraph" w:styleId="ListBullet5">
    <w:name w:val="List Bullet 5"/>
    <w:basedOn w:val="List5"/>
    <w:rsid w:val="006D3FD1"/>
    <w:pPr>
      <w:numPr>
        <w:numId w:val="4"/>
      </w:numPr>
    </w:pPr>
  </w:style>
  <w:style w:type="paragraph" w:styleId="ListContinue2">
    <w:name w:val="List Continue 2"/>
    <w:basedOn w:val="List2"/>
    <w:rsid w:val="006D3FD1"/>
    <w:pPr>
      <w:ind w:firstLine="0"/>
    </w:pPr>
  </w:style>
  <w:style w:type="paragraph" w:styleId="ListContinue3">
    <w:name w:val="List Continue 3"/>
    <w:basedOn w:val="List3"/>
    <w:rsid w:val="006D3FD1"/>
    <w:pPr>
      <w:ind w:left="1021" w:firstLine="0"/>
    </w:pPr>
  </w:style>
  <w:style w:type="paragraph" w:styleId="ListContinue4">
    <w:name w:val="List Continue 4"/>
    <w:basedOn w:val="List4"/>
    <w:rsid w:val="006D3FD1"/>
    <w:pPr>
      <w:ind w:firstLine="0"/>
    </w:pPr>
  </w:style>
  <w:style w:type="paragraph" w:styleId="ListContinue5">
    <w:name w:val="List Continue 5"/>
    <w:basedOn w:val="List5"/>
    <w:rsid w:val="006D3FD1"/>
    <w:pPr>
      <w:ind w:firstLine="0"/>
    </w:pPr>
  </w:style>
  <w:style w:type="paragraph" w:styleId="ListNumber3">
    <w:name w:val="List Number 3"/>
    <w:basedOn w:val="List3"/>
    <w:rsid w:val="006D3FD1"/>
    <w:pPr>
      <w:numPr>
        <w:numId w:val="5"/>
      </w:numPr>
    </w:pPr>
  </w:style>
  <w:style w:type="paragraph" w:styleId="ListNumber4">
    <w:name w:val="List Number 4"/>
    <w:basedOn w:val="List4"/>
    <w:rsid w:val="006D3FD1"/>
    <w:pPr>
      <w:numPr>
        <w:numId w:val="6"/>
      </w:numPr>
    </w:pPr>
  </w:style>
  <w:style w:type="paragraph" w:styleId="ListNumber5">
    <w:name w:val="List Number 5"/>
    <w:basedOn w:val="List5"/>
    <w:rsid w:val="006D3FD1"/>
    <w:pPr>
      <w:numPr>
        <w:numId w:val="7"/>
      </w:numPr>
    </w:pPr>
  </w:style>
  <w:style w:type="paragraph" w:styleId="BlockText">
    <w:name w:val="Block Text"/>
    <w:basedOn w:val="Normal"/>
    <w:rsid w:val="006D3FD1"/>
    <w:pPr>
      <w:spacing w:after="120"/>
      <w:ind w:left="1440" w:right="1440"/>
    </w:pPr>
  </w:style>
  <w:style w:type="character" w:customStyle="1" w:styleId="Subscript">
    <w:name w:val="Subscript"/>
    <w:basedOn w:val="DefaultParagraphFont"/>
    <w:rsid w:val="006D3FD1"/>
    <w:rPr>
      <w:sz w:val="16"/>
      <w:vertAlign w:val="subscript"/>
    </w:rPr>
  </w:style>
  <w:style w:type="character" w:customStyle="1" w:styleId="Superscript">
    <w:name w:val="Superscript"/>
    <w:basedOn w:val="DefaultParagraphFont"/>
    <w:rsid w:val="006D3FD1"/>
    <w:rPr>
      <w:sz w:val="16"/>
      <w:vertAlign w:val="superscript"/>
    </w:rPr>
  </w:style>
  <w:style w:type="character" w:customStyle="1" w:styleId="Symbols">
    <w:name w:val="Symbols"/>
    <w:basedOn w:val="DefaultParagraphFont"/>
    <w:rsid w:val="006D3FD1"/>
    <w:rPr>
      <w:rFonts w:ascii="Symbol" w:hAnsi="Symbol"/>
    </w:rPr>
  </w:style>
  <w:style w:type="character" w:customStyle="1" w:styleId="MenuOptions">
    <w:name w:val="Menu Options"/>
    <w:basedOn w:val="DefaultParagraphFont"/>
    <w:rsid w:val="006D3FD1"/>
    <w:rPr>
      <w:rFonts w:ascii="Arial Narrow" w:hAnsi="Arial Narrow"/>
      <w:smallCaps/>
    </w:rPr>
  </w:style>
  <w:style w:type="character" w:customStyle="1" w:styleId="Buttons">
    <w:name w:val="Buttons"/>
    <w:basedOn w:val="DefaultParagraphFont"/>
    <w:rsid w:val="006D3FD1"/>
    <w:rPr>
      <w:b/>
    </w:rPr>
  </w:style>
  <w:style w:type="character" w:customStyle="1" w:styleId="Underlined">
    <w:name w:val="Underlined"/>
    <w:basedOn w:val="DefaultParagraphFont"/>
    <w:rsid w:val="006D3FD1"/>
    <w:rPr>
      <w:u w:val="single"/>
    </w:rPr>
  </w:style>
  <w:style w:type="paragraph" w:customStyle="1" w:styleId="TableBodyTextRight">
    <w:name w:val="Table Body Text Right"/>
    <w:basedOn w:val="TableBodyText"/>
    <w:rsid w:val="006D3FD1"/>
    <w:pPr>
      <w:widowControl w:val="0"/>
      <w:autoSpaceDE w:val="0"/>
      <w:autoSpaceDN w:val="0"/>
      <w:adjustRightInd w:val="0"/>
      <w:jc w:val="right"/>
    </w:pPr>
    <w:rPr>
      <w:rFonts w:cs="Arial"/>
      <w:szCs w:val="18"/>
    </w:rPr>
  </w:style>
  <w:style w:type="paragraph" w:customStyle="1" w:styleId="CopyrightText">
    <w:name w:val="Copyright Text"/>
    <w:basedOn w:val="BodyText"/>
    <w:rsid w:val="006D3FD1"/>
    <w:rPr>
      <w:sz w:val="18"/>
    </w:rPr>
  </w:style>
  <w:style w:type="paragraph" w:customStyle="1" w:styleId="BodySmallRight">
    <w:name w:val="Body Small Right"/>
    <w:basedOn w:val="BodyTextRight"/>
    <w:rsid w:val="006D3FD1"/>
    <w:rPr>
      <w:sz w:val="18"/>
      <w:szCs w:val="18"/>
    </w:rPr>
  </w:style>
  <w:style w:type="paragraph" w:customStyle="1" w:styleId="MarginEdition">
    <w:name w:val="Margin Edition"/>
    <w:basedOn w:val="MarginNote"/>
    <w:rsid w:val="006D3FD1"/>
    <w:pPr>
      <w:spacing w:before="0" w:after="0"/>
    </w:pPr>
    <w:rPr>
      <w:rFonts w:ascii="Times New Roman" w:hAnsi="Times New Roman"/>
      <w:color w:val="999999"/>
    </w:rPr>
  </w:style>
  <w:style w:type="paragraph" w:customStyle="1" w:styleId="Spacer">
    <w:name w:val="Spacer"/>
    <w:basedOn w:val="Normal"/>
    <w:rsid w:val="006D3FD1"/>
    <w:rPr>
      <w:sz w:val="2"/>
      <w:szCs w:val="2"/>
    </w:rPr>
  </w:style>
  <w:style w:type="character" w:customStyle="1" w:styleId="Small">
    <w:name w:val="Small"/>
    <w:basedOn w:val="DefaultParagraphFont"/>
    <w:rsid w:val="006D3FD1"/>
    <w:rPr>
      <w:sz w:val="16"/>
    </w:rPr>
  </w:style>
  <w:style w:type="paragraph" w:customStyle="1" w:styleId="WideTable">
    <w:name w:val="Wide Table"/>
    <w:basedOn w:val="Normal"/>
    <w:rsid w:val="006D3FD1"/>
    <w:pPr>
      <w:ind w:left="-1418"/>
    </w:pPr>
    <w:rPr>
      <w:sz w:val="2"/>
      <w:szCs w:val="2"/>
    </w:rPr>
  </w:style>
  <w:style w:type="character" w:styleId="PageNumber">
    <w:name w:val="page number"/>
    <w:basedOn w:val="DefaultParagraphFont"/>
    <w:rsid w:val="006D3FD1"/>
  </w:style>
  <w:style w:type="paragraph" w:styleId="Quote">
    <w:name w:val="Quote"/>
    <w:basedOn w:val="Heading1"/>
    <w:link w:val="QuoteChar"/>
    <w:qFormat/>
    <w:rsid w:val="006D3FD1"/>
    <w:rPr>
      <w:b w:val="0"/>
      <w:sz w:val="72"/>
      <w:szCs w:val="72"/>
      <w:lang w:val="en-NZ"/>
    </w:rPr>
  </w:style>
  <w:style w:type="character" w:customStyle="1" w:styleId="QuoteChar">
    <w:name w:val="Quote Char"/>
    <w:basedOn w:val="DefaultParagraphFont"/>
    <w:link w:val="Quote"/>
    <w:rsid w:val="006D3F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3FD1"/>
    <w:pPr>
      <w:pageBreakBefore/>
    </w:pPr>
  </w:style>
  <w:style w:type="paragraph" w:customStyle="1" w:styleId="Border">
    <w:name w:val="Border"/>
    <w:basedOn w:val="Normal"/>
    <w:qFormat/>
    <w:rsid w:val="006D3F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3FD1"/>
    <w:rPr>
      <w:b/>
      <w:bCs/>
      <w:i/>
      <w:iCs/>
      <w:color w:val="auto"/>
    </w:rPr>
  </w:style>
  <w:style w:type="paragraph" w:styleId="IntenseQuote">
    <w:name w:val="Intense Quote"/>
    <w:basedOn w:val="Normal"/>
    <w:next w:val="Normal"/>
    <w:link w:val="IntenseQuoteChar"/>
    <w:uiPriority w:val="30"/>
    <w:qFormat/>
    <w:rsid w:val="006D3F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3F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3FD1"/>
    <w:rPr>
      <w:smallCaps/>
      <w:color w:val="auto"/>
      <w:u w:val="single"/>
    </w:rPr>
  </w:style>
  <w:style w:type="character" w:styleId="IntenseReference">
    <w:name w:val="Intense Reference"/>
    <w:basedOn w:val="DefaultParagraphFont"/>
    <w:uiPriority w:val="32"/>
    <w:qFormat/>
    <w:rsid w:val="006D3FD1"/>
    <w:rPr>
      <w:b/>
      <w:bCs/>
      <w:smallCaps/>
      <w:color w:val="auto"/>
      <w:spacing w:val="5"/>
      <w:u w:val="single"/>
    </w:rPr>
  </w:style>
  <w:style w:type="paragraph" w:customStyle="1" w:styleId="2ColumnHeading">
    <w:name w:val="2Column Heading"/>
    <w:basedOn w:val="BodyText"/>
    <w:qFormat/>
    <w:rsid w:val="006D3FD1"/>
    <w:pPr>
      <w:spacing w:after="60"/>
      <w:ind w:left="-2268"/>
    </w:pPr>
    <w:rPr>
      <w:b/>
    </w:rPr>
  </w:style>
  <w:style w:type="paragraph" w:customStyle="1" w:styleId="Heading1TOC">
    <w:name w:val="Heading1 TOC"/>
    <w:basedOn w:val="Normal"/>
    <w:qFormat/>
    <w:rsid w:val="006D3FD1"/>
    <w:pPr>
      <w:spacing w:before="240" w:after="120"/>
    </w:pPr>
    <w:rPr>
      <w:rFonts w:ascii="Times New Roman" w:hAnsi="Times New Roman"/>
      <w:b/>
      <w:sz w:val="32"/>
    </w:rPr>
  </w:style>
  <w:style w:type="paragraph" w:customStyle="1" w:styleId="Heading2TOC">
    <w:name w:val="Heading2 TOC"/>
    <w:basedOn w:val="Normal"/>
    <w:qFormat/>
    <w:rsid w:val="006D3FD1"/>
    <w:pPr>
      <w:spacing w:before="240" w:after="60"/>
    </w:pPr>
    <w:rPr>
      <w:rFonts w:ascii="Times New Roman" w:hAnsi="Times New Roman"/>
      <w:b/>
      <w:sz w:val="28"/>
    </w:rPr>
  </w:style>
  <w:style w:type="character" w:customStyle="1" w:styleId="Underline">
    <w:name w:val="Underline"/>
    <w:basedOn w:val="DefaultParagraphFont"/>
    <w:qFormat/>
    <w:rsid w:val="006D3FD1"/>
    <w:rPr>
      <w:u w:val="single"/>
    </w:rPr>
  </w:style>
  <w:style w:type="character" w:customStyle="1" w:styleId="BoldandItalics">
    <w:name w:val="Bold and Italics"/>
    <w:qFormat/>
    <w:rsid w:val="006D3FD1"/>
    <w:rPr>
      <w:b/>
      <w:i/>
      <w:u w:val="none"/>
    </w:rPr>
  </w:style>
  <w:style w:type="paragraph" w:styleId="BalloonText">
    <w:name w:val="Balloon Text"/>
    <w:basedOn w:val="Normal"/>
    <w:link w:val="BalloonTextChar"/>
    <w:rsid w:val="006D3FD1"/>
    <w:rPr>
      <w:rFonts w:ascii="Tahoma" w:hAnsi="Tahoma" w:cs="Tahoma"/>
      <w:sz w:val="16"/>
      <w:szCs w:val="16"/>
    </w:rPr>
  </w:style>
  <w:style w:type="character" w:customStyle="1" w:styleId="BalloonTextChar">
    <w:name w:val="Balloon Text Char"/>
    <w:basedOn w:val="DefaultParagraphFont"/>
    <w:link w:val="BalloonText"/>
    <w:rsid w:val="006D3F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3F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3F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3FD1"/>
    <w:rPr>
      <w:b/>
      <w:color w:val="660033"/>
      <w:spacing w:val="0"/>
    </w:rPr>
  </w:style>
  <w:style w:type="paragraph" w:customStyle="1" w:styleId="Nameditemlist">
    <w:name w:val="Named item list"/>
    <w:basedOn w:val="BodyText"/>
    <w:qFormat/>
    <w:rsid w:val="006D3FD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2451</Words>
  <Characters>15051</Characters>
  <Application>Microsoft Office Word</Application>
  <DocSecurity>0</DocSecurity>
  <Lines>663</Lines>
  <Paragraphs>264</Paragraphs>
  <ScaleCrop>false</ScaleCrop>
  <Company>Author-it Software Corporation Ltd.</Company>
  <LinksUpToDate>false</LinksUpToDate>
  <CharactersWithSpaces>17285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UEGNSG608B Perform minor maintenance on gas processing/storage facilities and equipment</dc:title>
  <dc:subject>Approved</dc:subject>
  <dc:creator>E-OZ Training Standards</dc:creator>
  <cp:keywords>Release: 1</cp:keywords>
  <dc:description>Review Date: 12 April 2008</dc:description>
  <cp:lastModifiedBy>HSD_TPCMSd.prod</cp:lastModifiedBy>
  <cp:revision>3</cp:revision>
  <dcterms:created xsi:type="dcterms:W3CDTF">2013-10-25T06:24:00Z</dcterms:created>
  <dcterms:modified xsi:type="dcterms:W3CDTF">2013-10-25T06:24:00Z</dcterms:modified>
</cp:coreProperties>
</file>