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A46" w:rsidP="00F40A46">
      <w:pPr>
        <w:pStyle w:val="Title"/>
      </w:pPr>
      <w:r>
        <w:fldChar w:fldCharType="begin"/>
      </w:r>
      <w:r>
        <w:instrText xml:space="preserve"> TITLE   \* MERGEFORMAT </w:instrText>
      </w:r>
      <w:r>
        <w:fldChar w:fldCharType="separate"/>
      </w:r>
      <w:r>
        <w:t>UEGNSG606B Monitor and control the transfer of LPG</w:t>
      </w:r>
      <w:r>
        <w:fldChar w:fldCharType="end"/>
      </w:r>
    </w:p>
    <w:p w:rsidR="00F40A46" w:rsidP="00F40A46">
      <w:pPr>
        <w:pStyle w:val="Version"/>
        <w:sectPr w:rsidSect="00CA0C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CD0" w:rsidP="00CA0CD0">
      <w:pPr>
        <w:pStyle w:val="SuperHeading"/>
      </w:pPr>
      <w:r w:rsidRPr="00CA0CD0">
        <w:t>UEGNSG606B Monitor and control the transfer of LPG</w:t>
      </w:r>
    </w:p>
    <w:p w:rsidR="00000000" w:rsidRPr="00CA0CD0" w:rsidP="00CA0CD0">
      <w:pPr>
        <w:pStyle w:val="Heading1"/>
      </w:pPr>
      <w:bookmarkStart w:id="1" w:name="O_403502"/>
      <w:bookmarkEnd w:id="1"/>
      <w:r w:rsidRPr="00CA0CD0">
        <w:t>Modification History</w:t>
      </w:r>
    </w:p>
    <w:p w:rsidR="00000000" w:rsidRPr="00CA0CD0" w:rsidP="00CA0CD0">
      <w:pPr>
        <w:pStyle w:val="BodyText"/>
      </w:pPr>
      <w:r w:rsidRPr="00CA0CD0">
        <w:t>Not applicable.</w:t>
      </w:r>
    </w:p>
    <w:p w:rsidR="00000000" w:rsidRPr="00CA0CD0" w:rsidP="00CA0CD0">
      <w:pPr>
        <w:pStyle w:val="AllowPageBreak"/>
      </w:pPr>
    </w:p>
    <w:p w:rsidR="00000000" w:rsidRPr="00CA0CD0" w:rsidP="00CA0CD0">
      <w:pPr>
        <w:pStyle w:val="Heading1"/>
      </w:pPr>
      <w:bookmarkStart w:id="2" w:name="O_403500"/>
      <w:bookmarkEnd w:id="2"/>
      <w:r w:rsidRPr="00CA0CD0">
        <w:t>Unit Descriptor</w:t>
      </w:r>
    </w:p>
    <w:tbl>
      <w:tblPr>
        <w:tblW w:w="0" w:type="auto"/>
        <w:tblLayout w:type="fixed"/>
        <w:tblCellMar>
          <w:left w:w="62" w:type="dxa"/>
          <w:right w:w="62" w:type="dxa"/>
        </w:tblCellMar>
        <w:tblLook w:val="0000"/>
      </w:tblPr>
      <w:tblGrid>
        <w:gridCol w:w="2700"/>
        <w:gridCol w:w="5760"/>
      </w:tblGrid>
      <w:tr w:rsidTr="00F40A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1) Scope:</w:t>
            </w:r>
          </w:p>
        </w:tc>
      </w:tr>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0CD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1.1) Descriptor</w:t>
            </w:r>
          </w:p>
        </w:tc>
      </w:tr>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This Competency Standard Unit covers the safe transfer of liquefied petroleum gas by pipelines and hoses between storage and transport facilities. The competency standard refers to the relevant equipment; transfer of LPG; relevant emergency response proced</w:t>
            </w:r>
            <w:r w:rsidRPr="00CA0CD0">
              <w:t>ures and relevant documentation to be developed.</w:t>
            </w:r>
          </w:p>
        </w:tc>
      </w:tr>
    </w:tbl>
    <w:p w:rsidR="00000000" w:rsidRPr="00CA0CD0" w:rsidP="00CA0CD0">
      <w:pPr>
        <w:pStyle w:val="BodyText"/>
      </w:pPr>
    </w:p>
    <w:p w:rsidR="00000000" w:rsidRPr="00CA0CD0" w:rsidP="00CA0CD0">
      <w:pPr>
        <w:pStyle w:val="AllowPageBreak"/>
      </w:pPr>
    </w:p>
    <w:p w:rsidR="00000000" w:rsidRPr="00CA0CD0" w:rsidP="00CA0CD0">
      <w:pPr>
        <w:pStyle w:val="Heading1"/>
      </w:pPr>
      <w:bookmarkStart w:id="3" w:name="O_403489"/>
      <w:bookmarkEnd w:id="3"/>
      <w:r w:rsidRPr="00CA0CD0">
        <w:t>Application of the Unit</w:t>
      </w:r>
    </w:p>
    <w:tbl>
      <w:tblPr>
        <w:tblW w:w="0" w:type="auto"/>
        <w:tblLayout w:type="fixed"/>
        <w:tblCellMar>
          <w:left w:w="62" w:type="dxa"/>
          <w:right w:w="62" w:type="dxa"/>
        </w:tblCellMar>
        <w:tblLook w:val="0000"/>
      </w:tblPr>
      <w:tblGrid>
        <w:gridCol w:w="2672"/>
        <w:gridCol w:w="5699"/>
      </w:tblGrid>
      <w:tr w:rsidTr="00F40A4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2)</w:t>
            </w:r>
          </w:p>
        </w:tc>
      </w:tr>
      <w:tr w:rsidTr="00F40A4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This competency standard shall apply to work sites where liquefied petroleum gas is transported.</w:t>
            </w:r>
          </w:p>
        </w:tc>
      </w:tr>
    </w:tbl>
    <w:p w:rsidR="00000000" w:rsidRPr="00CA0CD0" w:rsidP="00CA0CD0">
      <w:pPr>
        <w:pStyle w:val="BodyText"/>
      </w:pPr>
    </w:p>
    <w:p w:rsidR="00000000" w:rsidRPr="00CA0CD0" w:rsidP="00CA0CD0">
      <w:pPr>
        <w:pStyle w:val="AllowPageBreak"/>
      </w:pPr>
    </w:p>
    <w:p w:rsidR="00000000" w:rsidRPr="00CA0CD0" w:rsidP="00CA0CD0">
      <w:pPr>
        <w:pStyle w:val="Heading1"/>
      </w:pPr>
      <w:bookmarkStart w:id="4" w:name="O_403496"/>
      <w:bookmarkEnd w:id="4"/>
      <w:r w:rsidRPr="00CA0CD0">
        <w:t>Licensing/Regulatory Information</w:t>
      </w:r>
    </w:p>
    <w:tbl>
      <w:tblPr>
        <w:tblW w:w="0" w:type="auto"/>
        <w:tblLayout w:type="fixed"/>
        <w:tblCellMar>
          <w:left w:w="62" w:type="dxa"/>
          <w:right w:w="62" w:type="dxa"/>
        </w:tblCellMar>
        <w:tblLook w:val="0000"/>
      </w:tblPr>
      <w:tblGrid>
        <w:gridCol w:w="2700"/>
        <w:gridCol w:w="5760"/>
      </w:tblGrid>
      <w:tr w:rsidTr="00F40A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 xml:space="preserve">3) </w:t>
            </w:r>
          </w:p>
        </w:tc>
      </w:tr>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 xml:space="preserve">The skills and knowledge described in this unit are not subject to licence regulation other than those directly related to Occupational Health and Safety, gas/electricity/water industry safety and </w:t>
            </w:r>
            <w:r w:rsidRPr="00CA0CD0">
              <w:t>compliance, industrial relations, environmental protection, telecommunications, anti discrimination and training. Commonwealth, State/Territory or Local Government legislation and regulations may exist that limits the age of operating certain equipment.</w:t>
            </w:r>
          </w:p>
        </w:tc>
      </w:tr>
    </w:tbl>
    <w:p w:rsidR="00000000" w:rsidRPr="00CA0CD0" w:rsidP="00CA0CD0">
      <w:pPr>
        <w:pStyle w:val="BodyText"/>
      </w:pPr>
    </w:p>
    <w:p w:rsidR="00000000" w:rsidRPr="00CA0CD0" w:rsidP="00CA0CD0">
      <w:pPr>
        <w:pStyle w:val="AllowPageBreak"/>
      </w:pPr>
    </w:p>
    <w:p w:rsidR="00000000" w:rsidRPr="00CA0CD0" w:rsidP="00CA0CD0">
      <w:pPr>
        <w:pStyle w:val="Heading1"/>
      </w:pPr>
      <w:bookmarkStart w:id="5" w:name="O_403497"/>
      <w:bookmarkEnd w:id="5"/>
      <w:r w:rsidRPr="00CA0CD0">
        <w:t>Pre-Requisites</w:t>
      </w:r>
    </w:p>
    <w:tbl>
      <w:tblPr>
        <w:tblW w:w="0" w:type="auto"/>
        <w:tblLayout w:type="fixed"/>
        <w:tblCellMar>
          <w:left w:w="62" w:type="dxa"/>
          <w:right w:w="62" w:type="dxa"/>
        </w:tblCellMar>
        <w:tblLook w:val="0000"/>
      </w:tblPr>
      <w:tblGrid>
        <w:gridCol w:w="2700"/>
        <w:gridCol w:w="1800"/>
        <w:gridCol w:w="3960"/>
      </w:tblGrid>
      <w:tr w:rsidTr="00F40A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 xml:space="preserve">4) </w:t>
            </w:r>
          </w:p>
        </w:tc>
      </w:tr>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4.1)</w:t>
            </w:r>
          </w:p>
        </w:tc>
      </w:tr>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Granting of competency in this unit shall be made only after competency in the following unit(s) has/have been confirmed:</w:t>
            </w:r>
          </w:p>
        </w:tc>
      </w:tr>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Nil</w:t>
            </w:r>
          </w:p>
        </w:tc>
        <w:tc>
          <w:tcPr>
            <w:tcW w:w="3960" w:type="dxa"/>
            <w:tcBorders>
              <w:top w:val="nil"/>
              <w:left w:val="nil"/>
              <w:bottom w:val="nil"/>
              <w:right w:val="nil"/>
            </w:tcBorders>
            <w:tcMar>
              <w:top w:w="0" w:type="dxa"/>
              <w:left w:w="62" w:type="dxa"/>
              <w:bottom w:w="0" w:type="dxa"/>
              <w:right w:w="62" w:type="dxa"/>
            </w:tcMar>
          </w:tcPr>
          <w:p w:rsidR="00000000" w:rsidRPr="00CA0CD0" w:rsidP="00CA0CD0">
            <w:pPr>
              <w:pStyle w:val="BodyText"/>
            </w:pPr>
          </w:p>
        </w:tc>
      </w:tr>
    </w:tbl>
    <w:p w:rsidR="00000000" w:rsidRPr="00CA0CD0" w:rsidP="00CA0CD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 xml:space="preserve">4.2) </w:t>
            </w:r>
          </w:p>
          <w:p w:rsidR="00000000" w:rsidP="00CA0CD0">
            <w:pPr>
              <w:pStyle w:val="BodyText"/>
              <w:rPr>
                <w:lang w:val="en-NZ"/>
              </w:rPr>
            </w:pPr>
            <w:r w:rsidRPr="00CA0CD0">
              <w:t>Participants are best equipped to achieve this unit if they have reading, writing and numeracy skills indicated by the following scales. Description of each scale is given in Volume 2, Part 3 ‘Literacy and Numeracy’</w:t>
            </w:r>
          </w:p>
        </w:tc>
      </w:tr>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Reading</w:t>
            </w:r>
          </w:p>
        </w:tc>
        <w:tc>
          <w:tcPr>
            <w:tcW w:w="81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3</w:t>
            </w:r>
          </w:p>
        </w:tc>
        <w:tc>
          <w:tcPr>
            <w:tcW w:w="9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Writing</w:t>
            </w: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3</w:t>
            </w:r>
          </w:p>
        </w:tc>
        <w:tc>
          <w:tcPr>
            <w:tcW w:w="12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Numeracy</w:t>
            </w:r>
          </w:p>
        </w:tc>
        <w:tc>
          <w:tcPr>
            <w:tcW w:w="72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3</w:t>
            </w:r>
          </w:p>
        </w:tc>
      </w:tr>
    </w:tbl>
    <w:p w:rsidR="00000000" w:rsidRPr="00CA0CD0" w:rsidP="00CA0CD0">
      <w:pPr>
        <w:pStyle w:val="BodyText"/>
      </w:pPr>
    </w:p>
    <w:p w:rsidR="00000000" w:rsidRPr="00CA0CD0" w:rsidP="00CA0CD0">
      <w:pPr>
        <w:pStyle w:val="AllowPageBreak"/>
      </w:pPr>
    </w:p>
    <w:p w:rsidR="00000000" w:rsidRPr="00CA0CD0" w:rsidP="00CA0CD0">
      <w:pPr>
        <w:pStyle w:val="Heading1"/>
      </w:pPr>
      <w:bookmarkStart w:id="6" w:name="O_403493"/>
      <w:bookmarkEnd w:id="6"/>
      <w:r w:rsidRPr="00CA0CD0">
        <w:t>Employability Skills Information</w:t>
      </w:r>
    </w:p>
    <w:tbl>
      <w:tblPr>
        <w:tblW w:w="0" w:type="auto"/>
        <w:tblLayout w:type="fixed"/>
        <w:tblCellMar>
          <w:left w:w="62" w:type="dxa"/>
          <w:right w:w="62" w:type="dxa"/>
        </w:tblCellMar>
        <w:tblLook w:val="0000"/>
      </w:tblPr>
      <w:tblGrid>
        <w:gridCol w:w="2700"/>
        <w:gridCol w:w="5760"/>
      </w:tblGrid>
      <w:tr w:rsidTr="00F40A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 xml:space="preserve">5) </w:t>
            </w:r>
          </w:p>
        </w:tc>
      </w:tr>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This unit contains Employability Skills</w:t>
            </w:r>
          </w:p>
        </w:tc>
      </w:tr>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A0CD0">
              <w:t>requirements.</w:t>
            </w:r>
          </w:p>
        </w:tc>
      </w:tr>
    </w:tbl>
    <w:p w:rsidR="00000000" w:rsidRPr="00CA0CD0" w:rsidP="00CA0CD0">
      <w:pPr>
        <w:pStyle w:val="BodyText"/>
      </w:pPr>
    </w:p>
    <w:p w:rsidR="00000000" w:rsidRPr="00CA0CD0" w:rsidP="00CA0CD0">
      <w:pPr>
        <w:pStyle w:val="AllowPageBreak"/>
      </w:pPr>
    </w:p>
    <w:p w:rsidR="00000000" w:rsidRPr="00CA0CD0" w:rsidP="00CA0CD0">
      <w:pPr>
        <w:pStyle w:val="Heading1"/>
      </w:pPr>
      <w:bookmarkStart w:id="7" w:name="O_403492"/>
      <w:bookmarkEnd w:id="7"/>
      <w:r w:rsidRPr="00CA0CD0">
        <w:t>Elements and Performance Criteria Pre-Content</w:t>
      </w:r>
    </w:p>
    <w:tbl>
      <w:tblPr>
        <w:tblW w:w="0" w:type="auto"/>
        <w:tblLayout w:type="fixed"/>
        <w:tblCellMar>
          <w:left w:w="62" w:type="dxa"/>
          <w:right w:w="62" w:type="dxa"/>
        </w:tblCellMar>
        <w:tblLook w:val="0000"/>
      </w:tblPr>
      <w:tblGrid>
        <w:gridCol w:w="2700"/>
        <w:gridCol w:w="5760"/>
      </w:tblGrid>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6)</w:t>
            </w:r>
            <w:r w:rsidRPr="00CA0CD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Performance Criteria describe the required performance needed to demonstrate achievement of the element</w:t>
            </w:r>
            <w:r w:rsidRPr="00CA0CD0">
              <w:t>. Assessment of performance is to be consistent with the Evidence Guide.</w:t>
            </w:r>
          </w:p>
        </w:tc>
      </w:tr>
    </w:tbl>
    <w:p w:rsidR="00000000" w:rsidRPr="00CA0CD0" w:rsidP="00CA0CD0">
      <w:pPr>
        <w:pStyle w:val="BodyText"/>
      </w:pPr>
    </w:p>
    <w:p w:rsidR="00000000" w:rsidRPr="00CA0CD0" w:rsidP="00CA0CD0">
      <w:pPr>
        <w:pStyle w:val="AllowPageBreak"/>
      </w:pPr>
    </w:p>
    <w:p w:rsidR="00000000" w:rsidRPr="00CA0CD0" w:rsidP="00CA0CD0">
      <w:pPr>
        <w:pStyle w:val="Heading1"/>
      </w:pPr>
      <w:bookmarkStart w:id="8" w:name="O_403491"/>
      <w:bookmarkEnd w:id="8"/>
      <w:r w:rsidRPr="00CA0CD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40A4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PERFORMANCE CRITERIA</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w:t>
            </w:r>
          </w:p>
        </w:tc>
        <w:tc>
          <w:tcPr>
            <w:tcW w:w="2296"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Plan and prepare for transfer of LPG </w:t>
            </w: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1.1</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Availability of equipment is determ</w:t>
            </w:r>
            <w:r w:rsidRPr="00CA0CD0">
              <w:t>ined against work schedule(s) and established procedures and material lists are received, analysed and confirmed if necessary by site inspection</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1.2</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Relevant requirements and established procedures for the work are communicated to all persons and identified for all work sites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1.3</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OHS, environmental and sustainable energy policies and procedures related to requirements and established procedures for </w:t>
            </w:r>
            <w:r w:rsidRPr="00CA0CD0">
              <w:t xml:space="preserve">monitoring and controlling the transfer of LPG are obtained and confirmed for the purposes of the work performed and communicated </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1.4</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Work is prioritised and sequenced following consultation with others for completion within acceptable timeframes and i</w:t>
            </w:r>
            <w:r w:rsidRPr="00CA0CD0">
              <w:t>n accordance with established procedures</w:t>
            </w:r>
          </w:p>
        </w:tc>
      </w:tr>
      <w:tr w:rsidTr="00F40A46">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1.5</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Risk control measures for identified hazards are prioritised, implemented and monitored against the work schedule</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1.6</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Equipment is checked and relevant work permits are obtained to access, isolate/de-energise systems and perform work according to requirements and established procedures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1.7</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Pipelines and hoses are connected and personal protective equipment required for</w:t>
            </w:r>
            <w:r w:rsidRPr="00CA0CD0">
              <w:t xml:space="preserve"> the job are identified, scheduled and obtained and confirmed in working order</w:t>
            </w:r>
          </w:p>
        </w:tc>
      </w:tr>
      <w:tr w:rsidTr="00F40A46">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1.8</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Relevant persons at worksite are confirmed to be current in First Aid and other related work procedures according to requirements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1.9</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Liaison and communication issues with authorised persons, authorities, clients and land owners are resolved and activities coordinated to carry out work</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1.10</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Site is prepared and valves are operated according to the work schedule and to minimise risk an</w:t>
            </w:r>
            <w:r w:rsidRPr="00CA0CD0">
              <w:t>d damage to property, commerce and individuals in accordance with established procedures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1.11</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Persons participating in the work, including plant operators and contractors are fully briefed and respective responsibilities confirmed where applicable in ac</w:t>
            </w:r>
            <w:r w:rsidRPr="00CA0CD0">
              <w:t xml:space="preserve">cordance with established procedures </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2</w:t>
            </w:r>
          </w:p>
        </w:tc>
        <w:tc>
          <w:tcPr>
            <w:tcW w:w="2296"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Transfer of LPG</w:t>
            </w: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2.1</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OHS policies and procedures and safe work practices are followed to eliminate or minimise incidents and hazards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2.2</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Lifting, climb</w:t>
            </w:r>
            <w:r w:rsidRPr="00CA0CD0">
              <w:t>ing, working in confined spaces and/or aloft, and use of power tools, techniques and practices are safely followed and currency according to requirements confirmed</w:t>
            </w:r>
          </w:p>
        </w:tc>
      </w:tr>
      <w:tr w:rsidTr="00F40A46">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2.3</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Essential Knowledge and Associated Skills for the monitoring and control of the trans</w:t>
            </w:r>
            <w:r w:rsidRPr="00CA0CD0">
              <w:t>fer of LPG is applied to ensure completion in an agreed timeframe and to quality standards with a minimum of waste according to requirements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2.4</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The monitoring and transfer of LPG is carried out in accordance with the work schedule and to established procedures </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2.5</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Transfer equipment is operated and identified hazards, OHS risks and control measures are monitored and preventative action taken i</w:t>
            </w:r>
            <w:r w:rsidRPr="00CA0CD0">
              <w:t xml:space="preserve">n accordance with requirements and established procedures </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2.6</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Pressure limits and liquid levels are monitored and unplanned events in the monitoring and control transfer of LPG are undertaken with the scope of established procedures </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2.7</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Emergency response is selected and applied and known solutions to a variety of problems are applied using Essential Knowledge and Associated Skills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2.8</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Ongoing checks of quality of the work are undertaken in accordance with given instructions and establ</w:t>
            </w:r>
            <w:r w:rsidRPr="00CA0CD0">
              <w:t>ished procedures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3</w:t>
            </w:r>
          </w:p>
        </w:tc>
        <w:tc>
          <w:tcPr>
            <w:tcW w:w="2296"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Complete shutdown process</w:t>
            </w: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3.1</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Work undertaken is checked against works schedule for conformance with requirements and anomalies reported in accordance with established procedures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3.2</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Accidents and injuries are reported in accordance </w:t>
            </w:r>
            <w:r w:rsidRPr="00CA0CD0">
              <w:t>with requirements and established procedures where applicable</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3.3</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Work site is rehabilitated, cleaned up and made safe in accordance with given instructions and established procedures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3.4</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Tools, equipment and any surplus resources and materials are, where appropriate, cleaned, checked and returned to storage in accordance with established procedures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3.5</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Relevant work permit(s) are signed off and equipment is returned to service in accord</w:t>
            </w:r>
            <w:r w:rsidRPr="00CA0CD0">
              <w:t>ance with requirements</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3.6</w:t>
            </w:r>
          </w:p>
        </w:tc>
        <w:tc>
          <w:tcPr>
            <w:tcW w:w="48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Emergency shutdown procedures are applied in the event of serious equipment failure or operational parameters being exceeded in accordance with standard operating procedures </w:t>
            </w:r>
          </w:p>
        </w:tc>
      </w:tr>
      <w:tr w:rsidTr="00F40A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3.7</w:t>
            </w:r>
          </w:p>
        </w:tc>
        <w:tc>
          <w:tcPr>
            <w:tcW w:w="486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Work completion records, reports as installe</w:t>
            </w:r>
            <w:r w:rsidRPr="00CA0CD0">
              <w:t>d drawings and documentation and information are finalised and processed and appropriate persons notified</w:t>
            </w:r>
          </w:p>
        </w:tc>
      </w:tr>
    </w:tbl>
    <w:p w:rsidR="00000000" w:rsidRPr="00CA0CD0" w:rsidP="00CA0CD0">
      <w:pPr>
        <w:pStyle w:val="BodyText"/>
      </w:pPr>
    </w:p>
    <w:p w:rsidR="00000000" w:rsidRPr="00CA0CD0" w:rsidP="00CA0CD0">
      <w:pPr>
        <w:pStyle w:val="AllowPageBreak"/>
      </w:pPr>
    </w:p>
    <w:p w:rsidR="00000000" w:rsidRPr="00CA0CD0" w:rsidP="00CA0CD0">
      <w:pPr>
        <w:pStyle w:val="Heading1"/>
      </w:pPr>
      <w:bookmarkStart w:id="9" w:name="O_403499"/>
      <w:bookmarkEnd w:id="9"/>
      <w:r w:rsidRPr="00CA0CD0">
        <w:t>Required Skills and Knowledge</w:t>
      </w:r>
    </w:p>
    <w:tbl>
      <w:tblPr>
        <w:tblW w:w="0" w:type="auto"/>
        <w:tblLayout w:type="fixed"/>
        <w:tblCellMar>
          <w:left w:w="62" w:type="dxa"/>
          <w:right w:w="62" w:type="dxa"/>
        </w:tblCellMar>
        <w:tblLook w:val="0000"/>
      </w:tblPr>
      <w:tblGrid>
        <w:gridCol w:w="8460"/>
      </w:tblGrid>
      <w:tr w:rsidTr="00F40A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REQUIRED SKILLS AND KNOWLEDGE</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 xml:space="preserve">8) </w:t>
            </w:r>
            <w:r w:rsidRPr="00CA0CD0">
              <w:t>This describes th</w:t>
            </w:r>
            <w:r w:rsidRPr="00CA0CD0">
              <w:t>e essential skills and knowledge and their level, required for this unit.</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Evidence shall show that knowledge has been acquired of safe working practices for monitoring and controlling the transfer of LPG.</w:t>
            </w:r>
          </w:p>
        </w:tc>
      </w:tr>
      <w:tr w:rsidTr="00F40A46">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All knowledge and skills detailed in this unit should be contextualised to current industry practices and technologies.</w:t>
            </w:r>
          </w:p>
        </w:tc>
      </w:tr>
    </w:tbl>
    <w:p w:rsidR="00000000" w:rsidRPr="00CA0CD0" w:rsidP="00CA0CD0">
      <w:pPr>
        <w:pStyle w:val="BodyText"/>
      </w:pPr>
    </w:p>
    <w:tbl>
      <w:tblPr>
        <w:tblW w:w="0" w:type="auto"/>
        <w:tblLayout w:type="fixed"/>
        <w:tblCellMar>
          <w:left w:w="62" w:type="dxa"/>
          <w:right w:w="62" w:type="dxa"/>
        </w:tblCellMar>
        <w:tblLook w:val="0000"/>
      </w:tblPr>
      <w:tblGrid>
        <w:gridCol w:w="1440"/>
        <w:gridCol w:w="990"/>
        <w:gridCol w:w="6030"/>
      </w:tblGrid>
      <w:tr w:rsidTr="00F40A46">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KS01-G606B</w:t>
            </w:r>
          </w:p>
        </w:tc>
        <w:tc>
          <w:tcPr>
            <w:tcW w:w="7020" w:type="dxa"/>
            <w:gridSpan w:val="2"/>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Transfer LPG</w:t>
            </w:r>
          </w:p>
        </w:tc>
      </w:tr>
      <w:tr w:rsidTr="00F40A4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G 3.6.1</w:t>
            </w:r>
          </w:p>
        </w:tc>
        <w:tc>
          <w:tcPr>
            <w:tcW w:w="603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Working safely in an LPG environment</w:t>
            </w:r>
          </w:p>
          <w:p w:rsidR="00000000" w:rsidRPr="00CA0CD0" w:rsidP="00CA0CD0">
            <w:pPr>
              <w:pStyle w:val="BodyText"/>
            </w:pPr>
            <w:r w:rsidRPr="00CA0CD0">
              <w:t>Evidence shall show an understanding of the requirements to work safely in an LPG environment, indicated by the following:</w:t>
            </w:r>
          </w:p>
          <w:p w:rsidR="00000000" w:rsidRPr="00CA0CD0" w:rsidP="00CA0CD0">
            <w:pPr>
              <w:pStyle w:val="ListBullet"/>
            </w:pPr>
            <w:r w:rsidRPr="00CA0CD0">
              <w:t>working safely in accordance with procedures, OHS, emergency and environmental requirements</w:t>
            </w:r>
          </w:p>
          <w:p w:rsidR="00000000" w:rsidRPr="00CA0CD0" w:rsidP="00CA0CD0">
            <w:pPr>
              <w:pStyle w:val="ListBullet"/>
            </w:pPr>
            <w:r w:rsidRPr="00CA0CD0">
              <w:t>awareness of the properties of LPG</w:t>
            </w:r>
          </w:p>
          <w:p w:rsidR="00000000" w:rsidP="00CA0CD0">
            <w:pPr>
              <w:pStyle w:val="ListBullet"/>
              <w:rPr>
                <w:lang w:val="en-NZ"/>
              </w:rPr>
            </w:pPr>
            <w:r w:rsidRPr="00CA0CD0">
              <w:t>ident</w:t>
            </w:r>
            <w:r w:rsidRPr="00CA0CD0">
              <w:t>ifying variations and irregularities.</w:t>
            </w:r>
          </w:p>
        </w:tc>
      </w:tr>
      <w:tr w:rsidTr="00F40A4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G 3.6.2</w:t>
            </w:r>
          </w:p>
        </w:tc>
        <w:tc>
          <w:tcPr>
            <w:tcW w:w="603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Understanding the correct use of plant and equipment in an LPG environment</w:t>
            </w:r>
          </w:p>
          <w:p w:rsidR="00000000" w:rsidRPr="00CA0CD0" w:rsidP="00CA0CD0">
            <w:pPr>
              <w:pStyle w:val="BodyText"/>
            </w:pPr>
            <w:r w:rsidRPr="00CA0CD0">
              <w:t>Evidence shall show an understanding of the requirements to correctly use plant and equipment in an LPG environment, indicated by the</w:t>
            </w:r>
            <w:r w:rsidRPr="00CA0CD0">
              <w:t xml:space="preserve"> following:</w:t>
            </w:r>
          </w:p>
          <w:p w:rsidR="00000000" w:rsidRPr="00CA0CD0" w:rsidP="00CA0CD0">
            <w:pPr>
              <w:pStyle w:val="ListBullet"/>
            </w:pPr>
            <w:r w:rsidRPr="00CA0CD0">
              <w:t>operate transfer equipment including compressors or pumps</w:t>
            </w:r>
          </w:p>
          <w:p w:rsidR="00000000" w:rsidRPr="00CA0CD0" w:rsidP="00CA0CD0">
            <w:pPr>
              <w:pStyle w:val="ListBullet"/>
            </w:pPr>
            <w:r w:rsidRPr="00CA0CD0">
              <w:t>transfer methods for pipes and hoses</w:t>
            </w:r>
          </w:p>
          <w:p w:rsidR="00000000" w:rsidRPr="00CA0CD0" w:rsidP="00CA0CD0">
            <w:pPr>
              <w:pStyle w:val="ListBullet"/>
            </w:pPr>
            <w:r w:rsidRPr="00CA0CD0">
              <w:t>selection, testing and set up processes for transfer equipment</w:t>
            </w:r>
          </w:p>
          <w:p w:rsidR="00000000" w:rsidRPr="00CA0CD0" w:rsidP="00CA0CD0">
            <w:pPr>
              <w:pStyle w:val="ListBullet"/>
            </w:pPr>
            <w:r w:rsidRPr="00CA0CD0">
              <w:t>making analytical judgements for appropriate adjustments to plant and equipment</w:t>
            </w:r>
          </w:p>
          <w:p w:rsidR="00000000" w:rsidRPr="00CA0CD0" w:rsidP="00CA0CD0">
            <w:pPr>
              <w:pStyle w:val="ListBullet"/>
            </w:pPr>
            <w:r w:rsidRPr="00CA0CD0">
              <w:t>aware</w:t>
            </w:r>
            <w:r w:rsidRPr="00CA0CD0">
              <w:t>ness of test equipment and its uses</w:t>
            </w:r>
          </w:p>
          <w:p w:rsidR="00000000" w:rsidRPr="00CA0CD0" w:rsidP="00CA0CD0">
            <w:pPr>
              <w:pStyle w:val="ListBullet"/>
            </w:pPr>
            <w:r w:rsidRPr="00CA0CD0">
              <w:t>operation, testing and inspecting equipment that includes pressure vessels and associated fitting</w:t>
            </w:r>
          </w:p>
          <w:p w:rsidR="00000000" w:rsidRPr="00CA0CD0" w:rsidP="00CA0CD0">
            <w:pPr>
              <w:pStyle w:val="ListBullet"/>
            </w:pPr>
            <w:r w:rsidRPr="00CA0CD0">
              <w:t>understanding manufacturer's specifications to make adjustments to parts where appropriate</w:t>
            </w:r>
          </w:p>
          <w:p w:rsidR="00000000" w:rsidRPr="00CA0CD0" w:rsidP="00CA0CD0">
            <w:pPr>
              <w:pStyle w:val="ListBullet"/>
            </w:pPr>
            <w:r w:rsidRPr="00CA0CD0">
              <w:t>understanding of how to select appropriate equipment for tasks associated with LPG</w:t>
            </w:r>
          </w:p>
          <w:p w:rsidR="00000000" w:rsidRPr="00CA0CD0" w:rsidP="00CA0CD0">
            <w:pPr>
              <w:pStyle w:val="ListBullet"/>
            </w:pPr>
            <w:r w:rsidRPr="00CA0CD0">
              <w:t>operating correctly gas analysis equipment</w:t>
            </w:r>
          </w:p>
          <w:p w:rsidR="00000000" w:rsidP="00CA0CD0">
            <w:pPr>
              <w:pStyle w:val="ListBullet"/>
              <w:rPr>
                <w:lang w:val="en-NZ"/>
              </w:rPr>
            </w:pPr>
            <w:r w:rsidRPr="00CA0CD0">
              <w:t>operating correctly gas alarm and communication equipment.</w:t>
            </w:r>
          </w:p>
        </w:tc>
      </w:tr>
      <w:tr w:rsidTr="00F40A4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G 3.6.3</w:t>
            </w:r>
          </w:p>
        </w:tc>
        <w:tc>
          <w:tcPr>
            <w:tcW w:w="603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Static electricity</w:t>
            </w:r>
          </w:p>
          <w:p w:rsidR="00000000" w:rsidRPr="00CA0CD0" w:rsidP="00CA0CD0">
            <w:pPr>
              <w:pStyle w:val="BodyText"/>
            </w:pPr>
            <w:r w:rsidRPr="00CA0CD0">
              <w:t>Evidence shall show an understanding of th</w:t>
            </w:r>
            <w:r w:rsidRPr="00CA0CD0">
              <w:t>e requirements to deal with situations where static electricity is present in an LPG environment, indicated by the following:</w:t>
            </w:r>
          </w:p>
          <w:p w:rsidR="00000000" w:rsidP="00CA0CD0">
            <w:pPr>
              <w:pStyle w:val="ListBullet"/>
              <w:rPr>
                <w:lang w:val="en-NZ"/>
              </w:rPr>
            </w:pPr>
            <w:r w:rsidRPr="00CA0CD0">
              <w:t>understanding properties of static electricity and how to mange it in an LPG environment.</w:t>
            </w:r>
          </w:p>
        </w:tc>
      </w:tr>
      <w:tr w:rsidTr="00F40A4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G 3.6.4</w:t>
            </w:r>
          </w:p>
        </w:tc>
        <w:tc>
          <w:tcPr>
            <w:tcW w:w="603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LPG communication including the recording of LPG information</w:t>
            </w:r>
          </w:p>
          <w:p w:rsidR="00000000" w:rsidRPr="00CA0CD0" w:rsidP="00CA0CD0">
            <w:pPr>
              <w:pStyle w:val="BodyText"/>
            </w:pPr>
            <w:r w:rsidRPr="00CA0CD0">
              <w:t>Evidence shall show an understanding of the requirements to communicate and record information in an LPG environment, indicated by the following:</w:t>
            </w:r>
          </w:p>
          <w:p w:rsidR="00000000" w:rsidRPr="00CA0CD0" w:rsidP="00CA0CD0">
            <w:pPr>
              <w:pStyle w:val="ListBullet"/>
            </w:pPr>
            <w:r w:rsidRPr="00CA0CD0">
              <w:t>accurately recording LPG information</w:t>
            </w:r>
          </w:p>
          <w:p w:rsidR="00000000" w:rsidRPr="00CA0CD0" w:rsidP="00CA0CD0">
            <w:pPr>
              <w:pStyle w:val="ListBullet"/>
            </w:pPr>
            <w:r w:rsidRPr="00CA0CD0">
              <w:t>recording a</w:t>
            </w:r>
            <w:r w:rsidRPr="00CA0CD0">
              <w:t>nd reporting corrective actions in an LPG environment</w:t>
            </w:r>
          </w:p>
          <w:p w:rsidR="00000000" w:rsidRPr="00CA0CD0" w:rsidP="00CA0CD0">
            <w:pPr>
              <w:pStyle w:val="ListBullet"/>
            </w:pPr>
            <w:r w:rsidRPr="00CA0CD0">
              <w:t>identifying and reporting any problems associated with transfer processes and procedures</w:t>
            </w:r>
          </w:p>
          <w:p w:rsidR="00000000" w:rsidRPr="00CA0CD0" w:rsidP="00CA0CD0">
            <w:pPr>
              <w:pStyle w:val="ListBullet"/>
            </w:pPr>
            <w:r w:rsidRPr="00CA0CD0">
              <w:t>communicating in an LPG environment</w:t>
            </w:r>
          </w:p>
          <w:p w:rsidR="00000000" w:rsidRPr="00CA0CD0" w:rsidP="00CA0CD0">
            <w:pPr>
              <w:pStyle w:val="ListBullet"/>
            </w:pPr>
            <w:r w:rsidRPr="00CA0CD0">
              <w:t>understanding of permit to work systems for an LPG environment.</w:t>
            </w:r>
          </w:p>
        </w:tc>
      </w:tr>
    </w:tbl>
    <w:p w:rsidR="00F40A46" w:rsidP="00CA0CD0">
      <w:pPr>
        <w:pStyle w:val="BodyText"/>
      </w:pPr>
    </w:p>
    <w:p w:rsidR="00F40A46" w:rsidP="00CA0CD0">
      <w:pPr>
        <w:pStyle w:val="BodyText"/>
      </w:pPr>
    </w:p>
    <w:p w:rsidR="00000000" w:rsidRPr="00CA0CD0" w:rsidP="00CA0CD0">
      <w:pPr>
        <w:pStyle w:val="Heading1"/>
      </w:pPr>
      <w:bookmarkStart w:id="10" w:name="O_403494"/>
      <w:bookmarkEnd w:id="10"/>
      <w:r w:rsidRPr="00CA0CD0">
        <w:t>Evidence Guide</w:t>
      </w:r>
    </w:p>
    <w:tbl>
      <w:tblPr>
        <w:tblW w:w="0" w:type="auto"/>
        <w:tblLayout w:type="fixed"/>
        <w:tblCellMar>
          <w:left w:w="62" w:type="dxa"/>
          <w:right w:w="62" w:type="dxa"/>
        </w:tblCellMar>
        <w:tblLook w:val="0000"/>
      </w:tblPr>
      <w:tblGrid>
        <w:gridCol w:w="8460"/>
      </w:tblGrid>
      <w:tr w:rsidTr="00F40A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EVIDENCE GUIDE</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9)</w:t>
            </w:r>
            <w:r w:rsidRPr="00CA0CD0">
              <w:t xml:space="preserve"> The Evidence Guide forms an integral part of this Competency Standard Unit and shall be used in conjunction with all components parts of this unit and performed in accordanc</w:t>
            </w:r>
            <w:r w:rsidRPr="00CA0CD0">
              <w:t>e with the Assessment Guidelines of this Training Package.</w:t>
            </w:r>
          </w:p>
        </w:tc>
      </w:tr>
    </w:tbl>
    <w:p w:rsidR="00000000" w:rsidRPr="00CA0CD0" w:rsidP="00CA0CD0">
      <w:pPr>
        <w:pStyle w:val="BodyText"/>
      </w:pPr>
    </w:p>
    <w:tbl>
      <w:tblPr>
        <w:tblW w:w="0" w:type="auto"/>
        <w:tblLayout w:type="fixed"/>
        <w:tblCellMar>
          <w:left w:w="62" w:type="dxa"/>
          <w:right w:w="62" w:type="dxa"/>
        </w:tblCellMar>
        <w:tblLook w:val="0000"/>
      </w:tblPr>
      <w:tblGrid>
        <w:gridCol w:w="1890"/>
        <w:gridCol w:w="6570"/>
      </w:tblGrid>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9.1)</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Longitudinal competency development approaches to assessment, such as Profiling, require data to be reliably gathered in a form that can be consistently interpreted </w:t>
            </w:r>
            <w:r w:rsidRPr="00CA0CD0">
              <w:t>over time. This approach is best utilised in Apprenticeship programs and reduces assessment intervention. It is the Industry’s preferred model for apprenticeships. However, where summative (or final) assessment is used it is to include the application of t</w:t>
            </w:r>
            <w:r w:rsidRPr="00CA0CD0">
              <w:t>he competency in the normal work environment or, at a minimum, the application of the competency in a realistically simulated work environment. It is recognised that, in some circumstances, assessment in part or full can occur outside the workplace. Howeve</w:t>
            </w:r>
            <w:r w:rsidRPr="00CA0CD0">
              <w:t>r, it must be in accord with Industry and Regulatory policy in this regard.</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Methods chosen for a particular assessment will be influenced by various factors. These include the extent of the assessment, the most effective </w:t>
            </w:r>
            <w:r w:rsidRPr="00CA0CD0">
              <w:t>locations for the assessment activities to take place, access to physical resources, additional safety measures that may be required and the critical nature of the competencies being assessed.</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The critical safety nature of working with electricity, elect</w:t>
            </w:r>
            <w:r w:rsidRPr="00CA0CD0">
              <w:t>rical equipment, gas or any other hazardous substance/material carries risk in deeming a person competent. Hence, sources of evidence need to be ‘rich’ in nature so as to minimise error in judgment.</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Activities associated with normal every day work have a</w:t>
            </w:r>
            <w:r w:rsidRPr="00CA0CD0">
              <w:t xml:space="preserve"> bearing on the decision as to how much and how detailed the data gathered will contribute to its ‘richness’. Some skills are more critical to safety and operational requirements while the same skills may be more or less frequently practiced. These points </w:t>
            </w:r>
            <w:r w:rsidRPr="00CA0CD0">
              <w:t>are raised for the assessors to consider when choosing an assessment method and developing assessment instruments. Sample assessment instruments are included for Assessors in the Assessment Guidelines of this Training Package.</w:t>
            </w:r>
          </w:p>
        </w:tc>
      </w:tr>
    </w:tbl>
    <w:p w:rsidR="00000000" w:rsidRPr="00CA0CD0" w:rsidP="00CA0CD0">
      <w:pPr>
        <w:pStyle w:val="BodyText"/>
      </w:pPr>
    </w:p>
    <w:tbl>
      <w:tblPr>
        <w:tblW w:w="0" w:type="auto"/>
        <w:tblLayout w:type="fixed"/>
        <w:tblCellMar>
          <w:left w:w="62" w:type="dxa"/>
          <w:right w:w="62" w:type="dxa"/>
        </w:tblCellMar>
        <w:tblLook w:val="0000"/>
      </w:tblPr>
      <w:tblGrid>
        <w:gridCol w:w="1890"/>
        <w:gridCol w:w="6570"/>
      </w:tblGrid>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Critical aspects of evidenc</w:t>
            </w:r>
            <w:r w:rsidRPr="00CA0CD0">
              <w:rPr>
                <w:rStyle w:val="SpecialBold"/>
              </w:rPr>
              <w:t>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9.2)</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Before the critical aspects of evidence are considered all prerequisites shall be met.</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
              <w:rPr>
                <w:lang w:val="en-NZ"/>
              </w:rPr>
            </w:pPr>
            <w:r w:rsidRPr="00CA0CD0">
              <w:t>A representative body of work performance demonstrated within the timeframes typically expected of the discipline, work function and industrial environment. In particular this shall incorporate evidence that shows a candidate is able to:</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2"/>
              <w:rPr>
                <w:lang w:val="en-NZ"/>
              </w:rPr>
            </w:pPr>
            <w:r w:rsidRPr="00CA0CD0">
              <w:t>Implement Occupational Health and Safety workplace procedures and practices including the use of risk control measures as specified in the Performance Criteria and range</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2"/>
              <w:rPr>
                <w:lang w:val="en-NZ"/>
              </w:rPr>
            </w:pPr>
            <w:r w:rsidRPr="00CA0CD0">
              <w:t>Apply sustainable energy principles and practices as specified in the Performance C</w:t>
            </w:r>
            <w:r w:rsidRPr="00CA0CD0">
              <w:t>riteria and range</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2"/>
              <w:rPr>
                <w:lang w:val="en-NZ"/>
              </w:rPr>
            </w:pPr>
            <w:r w:rsidRPr="00CA0CD0">
              <w:t>Demonstrate an understanding of the essential knowledge and associated skills as described in this unit to such an extent that the learner’</w:t>
            </w:r>
            <w:r w:rsidRPr="00CA0CD0">
              <w:t>s performance outcome is reported in accordance with the preferred approach; namely a percentile graded result, where required by the regulated environment</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2"/>
              <w:rPr>
                <w:lang w:val="en-NZ"/>
              </w:rPr>
            </w:pPr>
            <w:r w:rsidRPr="00CA0CD0">
              <w:t>Demonstrate an appropriate level of employability skills</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2"/>
              <w:rPr>
                <w:lang w:val="en-NZ"/>
              </w:rPr>
            </w:pPr>
            <w:r w:rsidRPr="00CA0CD0">
              <w:t>Conduct work observing the relevant A</w:t>
            </w:r>
            <w:r w:rsidRPr="00CA0CD0">
              <w:t>nti discrimination legislation, regulations, polices and workplace procedures</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CA0CD0" w:rsidP="00CA0CD0">
            <w:pPr>
              <w:pStyle w:val="ListBullet"/>
            </w:pPr>
            <w:r w:rsidRPr="00CA0CD0">
              <w:t>Demonstrate performance across a representative range of contexts from the prescribed items below.</w:t>
            </w:r>
          </w:p>
        </w:tc>
      </w:tr>
    </w:tbl>
    <w:p w:rsidR="00000000" w:rsidRPr="00CA0CD0" w:rsidP="00CA0CD0">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F40A46">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A0CD0">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D0">
            <w:pPr>
              <w:pStyle w:val="BodyText"/>
              <w:rPr>
                <w:lang w:val="en-NZ"/>
              </w:rPr>
            </w:pPr>
            <w:r w:rsidRPr="00CA0CD0">
              <w:rPr>
                <w:rStyle w:val="SpecialBold"/>
              </w:rPr>
              <w:t>Range of tools/equipment/procedures/workplace</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A0CD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D0" w:rsidP="00CA0CD0">
            <w:pPr>
              <w:pStyle w:val="BodyText"/>
            </w:pPr>
            <w:r w:rsidRPr="00CA0CD0">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D0" w:rsidP="00CA0CD0">
            <w:pPr>
              <w:pStyle w:val="BodyText"/>
            </w:pPr>
            <w:r w:rsidRPr="00CA0CD0">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D0">
            <w:pPr>
              <w:pStyle w:val="BodyText"/>
              <w:rPr>
                <w:lang w:val="en-NZ"/>
              </w:rPr>
            </w:pPr>
            <w:r w:rsidRPr="00CA0CD0">
              <w:rPr>
                <w:rStyle w:val="SpecialBold"/>
              </w:rPr>
              <w:t>Item List</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D0">
            <w:pPr>
              <w:pStyle w:val="BodyText"/>
              <w:rPr>
                <w:lang w:val="en-NZ"/>
              </w:rPr>
            </w:pPr>
            <w:r w:rsidRPr="00CA0CD0">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D0">
            <w:pPr>
              <w:pStyle w:val="BodyText"/>
              <w:rPr>
                <w:lang w:val="en-NZ"/>
              </w:rPr>
            </w:pPr>
            <w:r w:rsidRPr="00CA0CD0">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D0" w:rsidP="00CA0CD0">
            <w:pPr>
              <w:pStyle w:val="BodyText"/>
            </w:pPr>
            <w:r w:rsidRPr="00CA0CD0">
              <w:t>Pumps and compressors</w:t>
            </w:r>
          </w:p>
          <w:p w:rsidR="00000000" w:rsidRPr="00CA0CD0" w:rsidP="00CA0CD0">
            <w:pPr>
              <w:pStyle w:val="BodyText"/>
            </w:pPr>
            <w:r w:rsidRPr="00CA0CD0">
              <w:t>Pipes</w:t>
            </w:r>
          </w:p>
          <w:p w:rsidR="00000000" w:rsidRPr="00CA0CD0" w:rsidP="00CA0CD0">
            <w:pPr>
              <w:pStyle w:val="BodyText"/>
            </w:pPr>
            <w:r w:rsidRPr="00CA0CD0">
              <w:t>Hoses</w:t>
            </w:r>
          </w:p>
          <w:p w:rsidR="00000000" w:rsidRPr="00CA0CD0" w:rsidP="00CA0CD0">
            <w:pPr>
              <w:pStyle w:val="BodyText"/>
            </w:pPr>
            <w:r w:rsidRPr="00CA0CD0">
              <w:t>Valves</w:t>
            </w:r>
          </w:p>
          <w:p w:rsidR="00000000" w:rsidRPr="00CA0CD0" w:rsidP="00CA0CD0">
            <w:pPr>
              <w:pStyle w:val="BodyText"/>
            </w:pPr>
            <w:r w:rsidRPr="00CA0CD0">
              <w:t>Gauges</w:t>
            </w:r>
          </w:p>
          <w:p w:rsidR="00000000" w:rsidRPr="00CA0CD0" w:rsidP="00CA0CD0">
            <w:pPr>
              <w:pStyle w:val="BodyText"/>
            </w:pPr>
            <w:r w:rsidRPr="00CA0CD0">
              <w:t>Tank connections and fittings</w:t>
            </w:r>
          </w:p>
          <w:p w:rsidR="00000000" w:rsidP="00CA0CD0">
            <w:pPr>
              <w:pStyle w:val="BodyText"/>
              <w:rPr>
                <w:lang w:val="en-NZ"/>
              </w:rPr>
            </w:pPr>
            <w:r w:rsidRPr="00CA0CD0">
              <w:t>Articulated arms earthing clamps and connections</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D0">
            <w:pPr>
              <w:pStyle w:val="BodyText"/>
              <w:rPr>
                <w:lang w:val="en-NZ"/>
              </w:rPr>
            </w:pPr>
            <w:r w:rsidRPr="00CA0CD0">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D0">
            <w:pPr>
              <w:pStyle w:val="BodyText"/>
              <w:rPr>
                <w:lang w:val="en-NZ"/>
              </w:rPr>
            </w:pPr>
            <w:r w:rsidRPr="00CA0CD0">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D0" w:rsidP="00CA0CD0">
            <w:pPr>
              <w:pStyle w:val="BodyText"/>
            </w:pPr>
            <w:r w:rsidRPr="00CA0CD0">
              <w:t>Transfer of LPG undertaken by:</w:t>
            </w:r>
          </w:p>
          <w:p w:rsidR="00000000" w:rsidRPr="00CA0CD0" w:rsidP="00CA0CD0">
            <w:pPr>
              <w:pStyle w:val="BodyText"/>
            </w:pPr>
            <w:r w:rsidRPr="00CA0CD0">
              <w:t>Tank to tanker</w:t>
            </w:r>
          </w:p>
          <w:p w:rsidR="00000000" w:rsidRPr="00CA0CD0" w:rsidP="00CA0CD0">
            <w:pPr>
              <w:pStyle w:val="BodyText"/>
            </w:pPr>
            <w:r w:rsidRPr="00CA0CD0">
              <w:t>Ship to storage terminal</w:t>
            </w:r>
          </w:p>
          <w:p w:rsidR="00000000" w:rsidRPr="00CA0CD0" w:rsidP="00CA0CD0">
            <w:pPr>
              <w:pStyle w:val="BodyText"/>
            </w:pPr>
            <w:r w:rsidRPr="00CA0CD0">
              <w:t>Tanker to tank</w:t>
            </w:r>
          </w:p>
          <w:p w:rsidR="00000000" w:rsidP="00CA0CD0">
            <w:pPr>
              <w:pStyle w:val="BodyText"/>
              <w:rPr>
                <w:lang w:val="en-NZ"/>
              </w:rPr>
            </w:pPr>
            <w:r w:rsidRPr="00CA0CD0">
              <w:t>Tank to tank</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D0">
            <w:pPr>
              <w:pStyle w:val="BodyText"/>
              <w:rPr>
                <w:lang w:val="en-NZ"/>
              </w:rPr>
            </w:pPr>
            <w:r w:rsidRPr="00CA0CD0">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D0">
            <w:pPr>
              <w:pStyle w:val="BodyText"/>
              <w:rPr>
                <w:lang w:val="en-NZ"/>
              </w:rPr>
            </w:pPr>
            <w:r w:rsidRPr="00CA0CD0">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D0" w:rsidP="00CA0CD0">
            <w:pPr>
              <w:pStyle w:val="BodyText"/>
            </w:pPr>
            <w:r w:rsidRPr="00CA0CD0">
              <w:t>Documentation:</w:t>
            </w:r>
          </w:p>
          <w:p w:rsidR="00000000" w:rsidRPr="00CA0CD0" w:rsidP="00CA0CD0">
            <w:pPr>
              <w:pStyle w:val="BodyText"/>
            </w:pPr>
            <w:r w:rsidRPr="00CA0CD0">
              <w:t>OHS, environmental and associated legislative requirements</w:t>
            </w:r>
          </w:p>
          <w:p w:rsidR="00000000" w:rsidRPr="00CA0CD0" w:rsidP="00CA0CD0">
            <w:pPr>
              <w:pStyle w:val="BodyText"/>
            </w:pPr>
            <w:r w:rsidRPr="00CA0CD0">
              <w:t>Australian Dangerous Goods Codes</w:t>
            </w:r>
          </w:p>
          <w:p w:rsidR="00000000" w:rsidRPr="00CA0CD0" w:rsidP="00CA0CD0">
            <w:pPr>
              <w:pStyle w:val="BodyText"/>
            </w:pPr>
            <w:r w:rsidRPr="00CA0CD0">
              <w:t>Manufacturer's specifications</w:t>
            </w:r>
          </w:p>
          <w:p w:rsidR="00000000" w:rsidRPr="00CA0CD0" w:rsidP="00CA0CD0">
            <w:pPr>
              <w:pStyle w:val="BodyText"/>
            </w:pPr>
            <w:r w:rsidRPr="00CA0CD0">
              <w:t>Australian Standards</w:t>
            </w:r>
          </w:p>
          <w:p w:rsidR="00000000" w:rsidP="00CA0CD0">
            <w:pPr>
              <w:pStyle w:val="BodyText"/>
              <w:rPr>
                <w:lang w:val="en-NZ"/>
              </w:rPr>
            </w:pPr>
            <w:r w:rsidRPr="00CA0CD0">
              <w:t>Trucks, rail or ships may be used to unload tankers</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D0">
            <w:pPr>
              <w:pStyle w:val="BodyText"/>
              <w:rPr>
                <w:lang w:val="en-NZ"/>
              </w:rPr>
            </w:pPr>
            <w:r w:rsidRPr="00CA0CD0">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D0">
            <w:pPr>
              <w:pStyle w:val="BodyText"/>
              <w:rPr>
                <w:lang w:val="en-NZ"/>
              </w:rPr>
            </w:pPr>
            <w:r w:rsidRPr="00CA0CD0">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D0" w:rsidP="00CA0CD0">
            <w:pPr>
              <w:pStyle w:val="BodyText"/>
            </w:pPr>
            <w:r w:rsidRPr="00CA0CD0">
              <w:t>Deal with an unplanned event by drawing on essential knowledge and associated skills to provide appropriate solutions incorporated in the holistic assessmen</w:t>
            </w:r>
            <w:r w:rsidRPr="00CA0CD0">
              <w:t xml:space="preserve">t with the above listed items </w:t>
            </w:r>
          </w:p>
        </w:tc>
      </w:tr>
    </w:tbl>
    <w:p w:rsidR="00000000" w:rsidRPr="00CA0CD0" w:rsidP="00CA0CD0">
      <w:pPr>
        <w:pStyle w:val="BodyText"/>
      </w:pPr>
    </w:p>
    <w:tbl>
      <w:tblPr>
        <w:tblW w:w="0" w:type="auto"/>
        <w:tblLayout w:type="fixed"/>
        <w:tblCellMar>
          <w:left w:w="62" w:type="dxa"/>
          <w:right w:w="62" w:type="dxa"/>
        </w:tblCellMar>
        <w:tblLook w:val="0000"/>
      </w:tblPr>
      <w:tblGrid>
        <w:gridCol w:w="1890"/>
        <w:gridCol w:w="6570"/>
      </w:tblGrid>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9.3)</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This unit should be assessed as it relates to normal work practice using procedures, information and resources typical of a workplace. This should include:</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
              <w:rPr>
                <w:lang w:val="en-NZ"/>
              </w:rPr>
            </w:pPr>
            <w:r w:rsidRPr="00CA0CD0">
              <w:t>OHS policy and work procedures and instructions.</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
              <w:rPr>
                <w:lang w:val="en-NZ"/>
              </w:rPr>
            </w:pPr>
            <w:r w:rsidRPr="00CA0CD0">
              <w:t>Suitable work environment, facilities, equipment and materials to undertake actual work as prescribed by this Competency Standard Unit.</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
              <w:rPr>
                <w:lang w:val="en-NZ"/>
              </w:rPr>
            </w:pPr>
            <w:r w:rsidRPr="00CA0CD0">
              <w:t>Appropriate environmental regulation and work practices.</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
              <w:rPr>
                <w:lang w:val="en-NZ"/>
              </w:rPr>
            </w:pPr>
            <w:r w:rsidRPr="00CA0CD0">
              <w:t>Appropriate organisational requirements.</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ListBullet"/>
              <w:rPr>
                <w:lang w:val="en-NZ"/>
              </w:rPr>
            </w:pPr>
            <w:r w:rsidRPr="00CA0CD0">
              <w:t>Appropriate work environment, equipment and tools.</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In addition to the resources listed above, in Context of and specific resources for assessment, evidence should show demonstrated competency in monitoring and </w:t>
            </w:r>
            <w:r w:rsidRPr="00CA0CD0">
              <w:t>controlling the transfer of LPG.</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Assessment of this competency must also be undertaken in either an actual workplace or under a simulated work environment. Assessment must also integrate the employability skills in section 6.7 of this competency standard</w:t>
            </w:r>
            <w:r w:rsidRPr="00CA0CD0">
              <w:t>.</w:t>
            </w:r>
          </w:p>
        </w:tc>
      </w:tr>
    </w:tbl>
    <w:p w:rsidR="00000000" w:rsidRPr="00CA0CD0" w:rsidP="00CA0CD0">
      <w:pPr>
        <w:pStyle w:val="BodyText"/>
      </w:pPr>
    </w:p>
    <w:tbl>
      <w:tblPr>
        <w:tblW w:w="0" w:type="auto"/>
        <w:tblLayout w:type="fixed"/>
        <w:tblCellMar>
          <w:left w:w="62" w:type="dxa"/>
          <w:right w:w="62" w:type="dxa"/>
        </w:tblCellMar>
        <w:tblLook w:val="0000"/>
      </w:tblPr>
      <w:tblGrid>
        <w:gridCol w:w="1890"/>
        <w:gridCol w:w="6570"/>
      </w:tblGrid>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9.4)</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This Competency Standard Unit shall be assessed by methods given in Volume 1, Part 3 ‘Assessment Guidelines’.</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Note: Competent performance with inherent safe working practices is expected in the Industry to which this Competency Standard Unit applies. This requires that the specified Essential Knowledge and Associated Skills are assessed in a structured environment</w:t>
            </w:r>
            <w:r w:rsidRPr="00CA0CD0">
              <w:t xml:space="preserve"> which is primarily intended for learning/assessment and incorporates all necessary equipment and facilities for learners to develop and demonstrate the essential knowledge and associated skills described in this unit.</w:t>
            </w:r>
          </w:p>
        </w:tc>
      </w:tr>
    </w:tbl>
    <w:p w:rsidR="00000000" w:rsidRPr="00CA0CD0" w:rsidP="00CA0CD0">
      <w:pPr>
        <w:pStyle w:val="BodyText"/>
      </w:pPr>
    </w:p>
    <w:tbl>
      <w:tblPr>
        <w:tblW w:w="0" w:type="auto"/>
        <w:tblLayout w:type="fixed"/>
        <w:tblCellMar>
          <w:left w:w="62" w:type="dxa"/>
          <w:right w:w="62" w:type="dxa"/>
        </w:tblCellMar>
        <w:tblLook w:val="0000"/>
      </w:tblPr>
      <w:tblGrid>
        <w:gridCol w:w="1890"/>
        <w:gridCol w:w="1620"/>
        <w:gridCol w:w="4950"/>
      </w:tblGrid>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Concurrent assessment and relations</w:t>
            </w:r>
            <w:r w:rsidRPr="00CA0CD0">
              <w:rPr>
                <w:rStyle w:val="SpecialBold"/>
              </w:rPr>
              <w:t>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9.5)</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There are no recommended concurrent assessments with this unit, however in some cases efficiencies may be gained in terms of learning and assessment effort being concurrently managed with allied Competency Standard Units where </w:t>
            </w:r>
            <w:r w:rsidRPr="00CA0CD0">
              <w:t>listed.</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UEGNSG102B</w:t>
            </w:r>
          </w:p>
        </w:tc>
        <w:tc>
          <w:tcPr>
            <w:tcW w:w="495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Carry out work activities in a utilities industry work environment</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UEENEEE101A</w:t>
            </w:r>
          </w:p>
        </w:tc>
        <w:tc>
          <w:tcPr>
            <w:tcW w:w="495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Apply Occupational Health Safety regulations, codes and practices in the workplace</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UEGNSG104B</w:t>
            </w:r>
          </w:p>
        </w:tc>
        <w:tc>
          <w:tcPr>
            <w:tcW w:w="495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Comply with environmental policies and procedures</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UEGNSG105B</w:t>
            </w:r>
          </w:p>
        </w:tc>
        <w:tc>
          <w:tcPr>
            <w:tcW w:w="495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Establish the work site</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BSBFLM312B</w:t>
            </w:r>
          </w:p>
        </w:tc>
        <w:tc>
          <w:tcPr>
            <w:tcW w:w="495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 xml:space="preserve">Contribute to team effectiveness </w:t>
            </w:r>
          </w:p>
        </w:tc>
      </w:tr>
      <w:tr w:rsidTr="00F40A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BSBFLM303C</w:t>
            </w:r>
          </w:p>
        </w:tc>
        <w:tc>
          <w:tcPr>
            <w:tcW w:w="495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Contribute to effective workplace relationships</w:t>
            </w:r>
          </w:p>
        </w:tc>
      </w:tr>
    </w:tbl>
    <w:p w:rsidR="00F40A46" w:rsidP="00CA0CD0">
      <w:pPr>
        <w:pStyle w:val="BodyText"/>
      </w:pPr>
    </w:p>
    <w:p w:rsidR="00F40A46" w:rsidP="00CA0CD0">
      <w:pPr>
        <w:pStyle w:val="BodyText"/>
      </w:pPr>
    </w:p>
    <w:p w:rsidR="00000000" w:rsidRPr="00CA0CD0" w:rsidP="00CA0CD0">
      <w:pPr>
        <w:pStyle w:val="Heading1"/>
      </w:pPr>
      <w:bookmarkStart w:id="11" w:name="O_403498"/>
      <w:bookmarkEnd w:id="11"/>
      <w:r w:rsidRPr="00CA0CD0">
        <w:t>Range Statement</w:t>
      </w:r>
    </w:p>
    <w:tbl>
      <w:tblPr>
        <w:tblW w:w="0" w:type="auto"/>
        <w:tblLayout w:type="fixed"/>
        <w:tblCellMar>
          <w:left w:w="62" w:type="dxa"/>
          <w:right w:w="62" w:type="dxa"/>
        </w:tblCellMar>
        <w:tblLook w:val="0000"/>
      </w:tblPr>
      <w:tblGrid>
        <w:gridCol w:w="8460"/>
      </w:tblGrid>
      <w:tr w:rsidTr="00F40A46">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RANGE STATEMENT</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10)</w:t>
            </w:r>
            <w:r w:rsidRPr="00CA0CD0">
              <w:t xml:space="preserve"> This relates to the competency standard unit as a whole providing the range of contexts and conditions to which the Performance Criteria apply. It allows for different work environments and situations that will affect performance.</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This Competency Standar</w:t>
            </w:r>
            <w:r w:rsidRPr="00CA0CD0">
              <w:t>d Unit shall be demonstrated in relation to the monitoring and control of the transfer of LPG.</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The following constants and variables included in the element/Performance Criteria in this unit are fully described in the Definitions Section of this volume an</w:t>
            </w:r>
            <w:r w:rsidRPr="00CA0CD0">
              <w:t>d form an integral part of the Range Statement of this unit:</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Equipment (3)</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Transfer of LPG</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Transfer equipment (3)</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t>Emergency response</w:t>
            </w:r>
          </w:p>
        </w:tc>
      </w:tr>
      <w:tr w:rsidTr="00F40A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Documentation (3)</w:t>
            </w:r>
          </w:p>
        </w:tc>
      </w:tr>
    </w:tbl>
    <w:p w:rsidR="00000000" w:rsidRPr="00CA0CD0" w:rsidP="00CA0CD0">
      <w:pPr>
        <w:pStyle w:val="BodyText"/>
      </w:pPr>
    </w:p>
    <w:p w:rsidR="00000000" w:rsidRPr="00CA0CD0" w:rsidP="00CA0CD0">
      <w:pPr>
        <w:pStyle w:val="AllowPageBreak"/>
      </w:pPr>
    </w:p>
    <w:p w:rsidR="00000000" w:rsidRPr="00CA0CD0" w:rsidP="00CA0CD0">
      <w:pPr>
        <w:pStyle w:val="Heading1"/>
      </w:pPr>
      <w:bookmarkStart w:id="12" w:name="O_403501"/>
      <w:bookmarkEnd w:id="12"/>
      <w:r w:rsidRPr="00CA0CD0">
        <w:t>Unit Sector(s)</w:t>
      </w:r>
    </w:p>
    <w:p w:rsidR="00000000" w:rsidRPr="00CA0CD0" w:rsidP="00CA0CD0">
      <w:pPr>
        <w:pStyle w:val="BodyText"/>
      </w:pPr>
      <w:r w:rsidRPr="00CA0CD0">
        <w:t>Not applicable.</w:t>
      </w:r>
    </w:p>
    <w:p w:rsidR="00000000" w:rsidRPr="00CA0CD0" w:rsidP="00CA0CD0">
      <w:pPr>
        <w:pStyle w:val="AllowPageBreak"/>
      </w:pPr>
    </w:p>
    <w:p w:rsidR="00000000" w:rsidRPr="00CA0CD0" w:rsidP="00CA0CD0">
      <w:pPr>
        <w:pStyle w:val="Heading1"/>
      </w:pPr>
      <w:bookmarkStart w:id="13" w:name="O_403490"/>
      <w:bookmarkEnd w:id="13"/>
      <w:r w:rsidRPr="00CA0CD0">
        <w:t>Competency Field</w:t>
      </w:r>
    </w:p>
    <w:tbl>
      <w:tblPr>
        <w:tblW w:w="0" w:type="auto"/>
        <w:tblLayout w:type="fixed"/>
        <w:tblCellMar>
          <w:left w:w="62" w:type="dxa"/>
          <w:right w:w="62" w:type="dxa"/>
        </w:tblCellMar>
        <w:tblLook w:val="0000"/>
      </w:tblPr>
      <w:tblGrid>
        <w:gridCol w:w="2700"/>
        <w:gridCol w:w="5760"/>
      </w:tblGrid>
      <w:tr w:rsidTr="00F40A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A0CD0">
            <w:pPr>
              <w:pStyle w:val="BodyText"/>
              <w:rPr>
                <w:lang w:val="en-NZ"/>
              </w:rPr>
            </w:pPr>
            <w:r w:rsidRPr="00CA0CD0">
              <w:rPr>
                <w:rStyle w:val="SpecialBold"/>
              </w:rPr>
              <w:t xml:space="preserve">11) </w:t>
            </w:r>
          </w:p>
        </w:tc>
      </w:tr>
      <w:tr w:rsidTr="00F40A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0CD0" w:rsidP="00CA0CD0">
            <w:pPr>
              <w:pStyle w:val="BodyText"/>
            </w:pPr>
            <w:r w:rsidRPr="00CA0CD0">
              <w:t>LPG.</w:t>
            </w:r>
          </w:p>
        </w:tc>
      </w:tr>
    </w:tbl>
    <w:p w:rsidR="00000000" w:rsidRPr="00CA0CD0" w:rsidP="00CA0CD0">
      <w:pPr>
        <w:pStyle w:val="BodyText"/>
      </w:pPr>
    </w:p>
    <w:p w:rsidR="00000000" w:rsidRPr="00CA0CD0" w:rsidP="00CA0CD0"/>
    <w:sectPr w:rsidSect="00CA0C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A46" w:rsidP="00F40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A46" w:rsidP="00CA0C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40A46" w:rsidP="00CA0C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40A46" w:rsidP="00CA0C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A46" w:rsidP="00F40A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A46" w:rsidP="00CA0CD0">
    <w:pPr>
      <w:pStyle w:val="Header"/>
      <w:framePr w:wrap="around"/>
    </w:pPr>
    <w:r>
      <w:fldChar w:fldCharType="begin"/>
    </w:r>
    <w:r>
      <w:instrText xml:space="preserve"> TITLE   \* MERGEFORMAT </w:instrText>
    </w:r>
    <w:r>
      <w:fldChar w:fldCharType="separate"/>
    </w:r>
    <w:r>
      <w:t>UEGNSG606B Monitor and control the transfer of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0A46" w:rsidP="00CA0C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F40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9CC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6EC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C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CD0"/>
    <w:pPr>
      <w:spacing w:before="360" w:after="60"/>
      <w:outlineLvl w:val="0"/>
    </w:pPr>
    <w:rPr>
      <w:sz w:val="32"/>
    </w:rPr>
  </w:style>
  <w:style w:type="paragraph" w:styleId="Heading2">
    <w:name w:val="heading 2"/>
    <w:basedOn w:val="HeadingBase"/>
    <w:next w:val="BodyText"/>
    <w:link w:val="Heading2Char"/>
    <w:qFormat/>
    <w:rsid w:val="00CA0CD0"/>
    <w:pPr>
      <w:keepLines/>
      <w:spacing w:before="240" w:after="120"/>
      <w:outlineLvl w:val="1"/>
    </w:pPr>
    <w:rPr>
      <w:sz w:val="28"/>
      <w:szCs w:val="40"/>
    </w:rPr>
  </w:style>
  <w:style w:type="paragraph" w:styleId="Heading3">
    <w:name w:val="heading 3"/>
    <w:basedOn w:val="HeadingBase"/>
    <w:next w:val="BodyText"/>
    <w:link w:val="Heading3Char"/>
    <w:qFormat/>
    <w:rsid w:val="00CA0CD0"/>
    <w:pPr>
      <w:spacing w:before="180" w:after="120"/>
      <w:outlineLvl w:val="2"/>
    </w:pPr>
    <w:rPr>
      <w:spacing w:val="-10"/>
      <w:kern w:val="32"/>
    </w:rPr>
  </w:style>
  <w:style w:type="paragraph" w:styleId="Heading4">
    <w:name w:val="heading 4"/>
    <w:basedOn w:val="HeadingBase"/>
    <w:next w:val="BodyText"/>
    <w:link w:val="Heading4Char"/>
    <w:qFormat/>
    <w:rsid w:val="00CA0CD0"/>
    <w:pPr>
      <w:spacing w:before="160" w:after="120"/>
      <w:outlineLvl w:val="3"/>
    </w:pPr>
    <w:rPr>
      <w:sz w:val="22"/>
    </w:rPr>
  </w:style>
  <w:style w:type="paragraph" w:styleId="Heading5">
    <w:name w:val="heading 5"/>
    <w:basedOn w:val="HeadingBase"/>
    <w:next w:val="Normal"/>
    <w:link w:val="Heading5Char"/>
    <w:qFormat/>
    <w:rsid w:val="00CA0CD0"/>
    <w:pPr>
      <w:spacing w:before="80"/>
      <w:outlineLvl w:val="4"/>
    </w:pPr>
    <w:rPr>
      <w:color w:val="918585"/>
      <w:sz w:val="20"/>
    </w:rPr>
  </w:style>
  <w:style w:type="paragraph" w:styleId="Heading6">
    <w:name w:val="heading 6"/>
    <w:basedOn w:val="HeadingBase"/>
    <w:next w:val="Normal"/>
    <w:link w:val="Heading6Char"/>
    <w:qFormat/>
    <w:rsid w:val="00CA0CD0"/>
    <w:pPr>
      <w:spacing w:before="60"/>
      <w:outlineLvl w:val="5"/>
    </w:pPr>
    <w:rPr>
      <w:color w:val="918585"/>
      <w:sz w:val="20"/>
    </w:rPr>
  </w:style>
  <w:style w:type="paragraph" w:styleId="Heading7">
    <w:name w:val="heading 7"/>
    <w:basedOn w:val="Normal"/>
    <w:next w:val="Normal"/>
    <w:link w:val="Heading7Char"/>
    <w:qFormat/>
    <w:rsid w:val="00CA0CD0"/>
    <w:pPr>
      <w:ind w:left="720"/>
      <w:outlineLvl w:val="6"/>
    </w:pPr>
    <w:rPr>
      <w:i/>
    </w:rPr>
  </w:style>
  <w:style w:type="paragraph" w:styleId="Heading8">
    <w:name w:val="heading 8"/>
    <w:basedOn w:val="Normal"/>
    <w:next w:val="Normal"/>
    <w:link w:val="Heading8Char"/>
    <w:qFormat/>
    <w:rsid w:val="00CA0CD0"/>
    <w:pPr>
      <w:ind w:left="720"/>
      <w:outlineLvl w:val="7"/>
    </w:pPr>
    <w:rPr>
      <w:i/>
    </w:rPr>
  </w:style>
  <w:style w:type="paragraph" w:styleId="Heading9">
    <w:name w:val="heading 9"/>
    <w:basedOn w:val="Normal"/>
    <w:next w:val="Normal"/>
    <w:link w:val="Heading9Char"/>
    <w:qFormat/>
    <w:rsid w:val="00CA0CD0"/>
    <w:pPr>
      <w:ind w:left="720"/>
      <w:outlineLvl w:val="8"/>
    </w:pPr>
    <w:rPr>
      <w:i/>
    </w:rPr>
  </w:style>
  <w:style w:type="character" w:default="1" w:styleId="DefaultParagraphFont">
    <w:name w:val="Default Paragraph Font"/>
    <w:uiPriority w:val="1"/>
    <w:unhideWhenUsed/>
    <w:rsid w:val="00CA0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CD0"/>
  </w:style>
  <w:style w:type="character" w:customStyle="1" w:styleId="Heading1Char">
    <w:name w:val="Heading 1 Char"/>
    <w:basedOn w:val="DefaultParagraphFont"/>
    <w:link w:val="Heading1"/>
    <w:rsid w:val="00CA0CD0"/>
    <w:rPr>
      <w:rFonts w:ascii="Times New Roman" w:eastAsia="Times New Roman" w:hAnsi="Times New Roman" w:cs="Times New Roman"/>
      <w:b/>
      <w:sz w:val="32"/>
      <w:szCs w:val="20"/>
      <w:lang w:eastAsia="en-US"/>
    </w:rPr>
  </w:style>
  <w:style w:type="paragraph" w:styleId="BodyText">
    <w:name w:val="Body Text"/>
    <w:basedOn w:val="Normal"/>
    <w:link w:val="BodyTextChar"/>
    <w:rsid w:val="00CA0C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CD0"/>
    <w:rPr>
      <w:rFonts w:ascii="Times New Roman" w:eastAsia="Times New Roman" w:hAnsi="Times New Roman" w:cs="Times New Roman"/>
      <w:sz w:val="24"/>
      <w:lang w:val="en-US" w:eastAsia="en-US"/>
    </w:rPr>
  </w:style>
  <w:style w:type="paragraph" w:styleId="Footer">
    <w:name w:val="footer"/>
    <w:basedOn w:val="Normal"/>
    <w:link w:val="FooterChar"/>
    <w:rsid w:val="00CA0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CD0"/>
    <w:rPr>
      <w:rFonts w:ascii="Times New Roman" w:eastAsia="Times New Roman" w:hAnsi="Times New Roman" w:cs="Times New Roman"/>
      <w:sz w:val="16"/>
      <w:lang w:val="en-US" w:eastAsia="en-US"/>
    </w:rPr>
  </w:style>
  <w:style w:type="paragraph" w:styleId="ListBullet">
    <w:name w:val="List Bullet"/>
    <w:basedOn w:val="List"/>
    <w:rsid w:val="00CA0CD0"/>
    <w:pPr>
      <w:numPr>
        <w:numId w:val="13"/>
      </w:numPr>
      <w:tabs>
        <w:tab w:val="clear" w:pos="340"/>
      </w:tabs>
      <w:spacing w:before="40" w:after="40"/>
    </w:pPr>
  </w:style>
  <w:style w:type="character" w:customStyle="1" w:styleId="SpecialBold">
    <w:name w:val="Special Bold"/>
    <w:basedOn w:val="DefaultParagraphFont"/>
    <w:rsid w:val="00CA0CD0"/>
    <w:rPr>
      <w:b/>
      <w:spacing w:val="0"/>
    </w:rPr>
  </w:style>
  <w:style w:type="paragraph" w:styleId="ListBullet2">
    <w:name w:val="List Bullet 2"/>
    <w:basedOn w:val="List2"/>
    <w:rsid w:val="00CA0CD0"/>
    <w:pPr>
      <w:numPr>
        <w:numId w:val="14"/>
      </w:numPr>
      <w:tabs>
        <w:tab w:val="clear" w:pos="680"/>
      </w:tabs>
    </w:pPr>
  </w:style>
  <w:style w:type="paragraph" w:styleId="Header">
    <w:name w:val="header"/>
    <w:basedOn w:val="Normal"/>
    <w:link w:val="HeaderChar"/>
    <w:rsid w:val="00CA0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C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0CD0"/>
    <w:pPr>
      <w:spacing w:before="240" w:after="120"/>
      <w:outlineLvl w:val="0"/>
    </w:pPr>
    <w:rPr>
      <w:rFonts w:ascii="Times New Roman" w:hAnsi="Times New Roman"/>
      <w:b/>
      <w:sz w:val="28"/>
    </w:rPr>
  </w:style>
  <w:style w:type="paragraph" w:customStyle="1" w:styleId="AllowPageBreak">
    <w:name w:val="AllowPageBreak"/>
    <w:rsid w:val="00CA0C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C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C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CD0"/>
    <w:rPr>
      <w:rFonts w:ascii="Courier New" w:eastAsia="Times New Roman" w:hAnsi="Courier New" w:cs="Times New Roman"/>
      <w:i/>
      <w:szCs w:val="20"/>
      <w:lang w:val="en-US" w:eastAsia="en-US"/>
    </w:rPr>
  </w:style>
  <w:style w:type="paragraph" w:customStyle="1" w:styleId="HeadingBase">
    <w:name w:val="Heading Base"/>
    <w:rsid w:val="00CA0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CD0"/>
    <w:pPr>
      <w:tabs>
        <w:tab w:val="right" w:leader="dot" w:pos="9072"/>
      </w:tabs>
      <w:ind w:left="567"/>
    </w:pPr>
    <w:rPr>
      <w:szCs w:val="22"/>
    </w:rPr>
  </w:style>
  <w:style w:type="paragraph" w:customStyle="1" w:styleId="TOCBase">
    <w:name w:val="TOC Base"/>
    <w:rsid w:val="00CA0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CD0"/>
    <w:pPr>
      <w:tabs>
        <w:tab w:val="right" w:leader="dot" w:pos="9072"/>
      </w:tabs>
      <w:spacing w:before="40" w:after="40"/>
      <w:ind w:left="284"/>
    </w:pPr>
    <w:rPr>
      <w:rFonts w:ascii="Times New Roman" w:hAnsi="Times New Roman"/>
    </w:rPr>
  </w:style>
  <w:style w:type="paragraph" w:styleId="TOC1">
    <w:name w:val="toc 1"/>
    <w:basedOn w:val="TOCBase"/>
    <w:next w:val="Normal"/>
    <w:rsid w:val="00CA0C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CD0"/>
    <w:pPr>
      <w:spacing w:before="5040"/>
      <w:jc w:val="center"/>
    </w:pPr>
    <w:rPr>
      <w:sz w:val="48"/>
      <w:szCs w:val="72"/>
      <w:lang w:val="en-US"/>
    </w:rPr>
  </w:style>
  <w:style w:type="character" w:customStyle="1" w:styleId="TitleChar">
    <w:name w:val="Title Char"/>
    <w:basedOn w:val="DefaultParagraphFont"/>
    <w:link w:val="Title"/>
    <w:rsid w:val="00CA0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CD0"/>
    <w:pPr>
      <w:tabs>
        <w:tab w:val="left" w:pos="3600"/>
        <w:tab w:val="left" w:pos="3958"/>
      </w:tabs>
    </w:pPr>
  </w:style>
  <w:style w:type="paragraph" w:styleId="List">
    <w:name w:val="List"/>
    <w:basedOn w:val="BodyText"/>
    <w:next w:val="BodyText"/>
    <w:rsid w:val="00CA0CD0"/>
    <w:pPr>
      <w:tabs>
        <w:tab w:val="left" w:pos="340"/>
      </w:tabs>
      <w:spacing w:before="60" w:after="60"/>
      <w:ind w:left="340" w:hanging="340"/>
    </w:pPr>
  </w:style>
  <w:style w:type="paragraph" w:customStyle="1" w:styleId="Note">
    <w:name w:val="Note"/>
    <w:basedOn w:val="BodyText"/>
    <w:rsid w:val="00CA0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CD0"/>
    <w:pPr>
      <w:framePr w:wrap="auto" w:hAnchor="text" w:y="6049"/>
    </w:pPr>
    <w:rPr>
      <w:color w:val="000000"/>
      <w:sz w:val="40"/>
    </w:rPr>
  </w:style>
  <w:style w:type="paragraph" w:customStyle="1" w:styleId="TOCTitle">
    <w:name w:val="TOCTitle"/>
    <w:basedOn w:val="Heading1"/>
    <w:rsid w:val="00CA0CD0"/>
    <w:pPr>
      <w:spacing w:after="240"/>
      <w:jc w:val="center"/>
      <w:outlineLvl w:val="9"/>
    </w:pPr>
    <w:rPr>
      <w:caps/>
    </w:rPr>
  </w:style>
  <w:style w:type="paragraph" w:customStyle="1" w:styleId="Version">
    <w:name w:val="Version"/>
    <w:rsid w:val="00CA0C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CD0"/>
    <w:pPr>
      <w:keepNext w:val="0"/>
      <w:tabs>
        <w:tab w:val="right" w:pos="4176"/>
      </w:tabs>
      <w:ind w:left="198" w:hanging="198"/>
    </w:pPr>
    <w:rPr>
      <w:rFonts w:ascii="Garamond" w:hAnsi="Garamond"/>
    </w:rPr>
  </w:style>
  <w:style w:type="paragraph" w:styleId="IndexHeading">
    <w:name w:val="index heading"/>
    <w:basedOn w:val="Normal"/>
    <w:next w:val="Index1"/>
    <w:semiHidden/>
    <w:rsid w:val="00CA0CD0"/>
    <w:pPr>
      <w:spacing w:before="120" w:after="120"/>
    </w:pPr>
    <w:rPr>
      <w:rFonts w:ascii="Arial" w:hAnsi="Arial"/>
      <w:b/>
      <w:color w:val="918585"/>
      <w:sz w:val="24"/>
    </w:rPr>
  </w:style>
  <w:style w:type="paragraph" w:customStyle="1" w:styleId="Chapter">
    <w:name w:val="Chapter"/>
    <w:basedOn w:val="Normal"/>
    <w:rsid w:val="00CA0CD0"/>
    <w:pPr>
      <w:spacing w:before="240"/>
    </w:pPr>
    <w:rPr>
      <w:rFonts w:ascii="Times New Roman" w:hAnsi="Times New Roman"/>
      <w:smallCaps/>
      <w:spacing w:val="80"/>
      <w:sz w:val="28"/>
    </w:rPr>
  </w:style>
  <w:style w:type="paragraph" w:customStyle="1" w:styleId="InChapter">
    <w:name w:val="InChapter"/>
    <w:basedOn w:val="Heading3"/>
    <w:rsid w:val="00CA0CD0"/>
    <w:pPr>
      <w:spacing w:after="240"/>
      <w:outlineLvl w:val="9"/>
    </w:pPr>
    <w:rPr>
      <w:noProof/>
    </w:rPr>
  </w:style>
  <w:style w:type="paragraph" w:styleId="Index2">
    <w:name w:val="index 2"/>
    <w:basedOn w:val="Normal"/>
    <w:next w:val="Normal"/>
    <w:semiHidden/>
    <w:rsid w:val="00CA0CD0"/>
    <w:pPr>
      <w:tabs>
        <w:tab w:val="right" w:pos="4176"/>
      </w:tabs>
      <w:ind w:left="568" w:hanging="284"/>
    </w:pPr>
    <w:rPr>
      <w:rFonts w:ascii="Garamond" w:hAnsi="Garamond"/>
    </w:rPr>
  </w:style>
  <w:style w:type="paragraph" w:customStyle="1" w:styleId="Byline">
    <w:name w:val="Byline"/>
    <w:rsid w:val="00CA0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CD0"/>
    <w:pPr>
      <w:tabs>
        <w:tab w:val="clear" w:pos="3600"/>
        <w:tab w:val="clear" w:pos="3958"/>
      </w:tabs>
      <w:jc w:val="right"/>
    </w:pPr>
  </w:style>
  <w:style w:type="character" w:styleId="Emphasis">
    <w:name w:val="Emphasis"/>
    <w:basedOn w:val="DefaultParagraphFont"/>
    <w:qFormat/>
    <w:rsid w:val="00CA0CD0"/>
    <w:rPr>
      <w:i/>
    </w:rPr>
  </w:style>
  <w:style w:type="paragraph" w:styleId="Caption">
    <w:name w:val="caption"/>
    <w:basedOn w:val="BodyText"/>
    <w:next w:val="Normal"/>
    <w:qFormat/>
    <w:rsid w:val="00CA0CD0"/>
    <w:pPr>
      <w:framePr w:w="2268" w:hSpace="181" w:vSpace="181" w:wrap="around" w:vAnchor="text" w:hAnchor="page" w:x="1135" w:y="285" w:anchorLock="1"/>
    </w:pPr>
    <w:rPr>
      <w:i/>
    </w:rPr>
  </w:style>
  <w:style w:type="paragraph" w:customStyle="1" w:styleId="MiniTOCTitle">
    <w:name w:val="MiniTOCTitle"/>
    <w:basedOn w:val="Heading4"/>
    <w:rsid w:val="00CA0CD0"/>
    <w:pPr>
      <w:spacing w:before="240"/>
      <w:outlineLvl w:val="9"/>
    </w:pPr>
    <w:rPr>
      <w:noProof/>
      <w:sz w:val="24"/>
    </w:rPr>
  </w:style>
  <w:style w:type="paragraph" w:customStyle="1" w:styleId="MiniTOCItem">
    <w:name w:val="MiniTOCItem"/>
    <w:basedOn w:val="ListBullet"/>
    <w:rsid w:val="00CA0CD0"/>
    <w:pPr>
      <w:numPr>
        <w:numId w:val="0"/>
      </w:numPr>
      <w:tabs>
        <w:tab w:val="right" w:leader="dot" w:pos="6521"/>
      </w:tabs>
      <w:spacing w:before="0" w:after="0"/>
    </w:pPr>
  </w:style>
  <w:style w:type="paragraph" w:customStyle="1" w:styleId="TOFTitle">
    <w:name w:val="TOFTitle"/>
    <w:basedOn w:val="TOCTitle"/>
    <w:rsid w:val="00CA0CD0"/>
  </w:style>
  <w:style w:type="paragraph" w:styleId="TableofFigures">
    <w:name w:val="table of figures"/>
    <w:basedOn w:val="Normal"/>
    <w:next w:val="Normal"/>
    <w:semiHidden/>
    <w:rsid w:val="00CA0CD0"/>
    <w:pPr>
      <w:tabs>
        <w:tab w:val="right" w:leader="dot" w:pos="9072"/>
      </w:tabs>
      <w:ind w:left="970" w:hanging="403"/>
    </w:pPr>
    <w:rPr>
      <w:rFonts w:ascii="Times New Roman" w:hAnsi="Times New Roman"/>
      <w:b/>
    </w:rPr>
  </w:style>
  <w:style w:type="paragraph" w:styleId="ListNumber">
    <w:name w:val="List Number"/>
    <w:basedOn w:val="List"/>
    <w:rsid w:val="00CA0CD0"/>
    <w:pPr>
      <w:numPr>
        <w:numId w:val="11"/>
      </w:numPr>
    </w:pPr>
  </w:style>
  <w:style w:type="character" w:customStyle="1" w:styleId="WingdingSymbols">
    <w:name w:val="Wingding Symbols"/>
    <w:rsid w:val="00CA0CD0"/>
    <w:rPr>
      <w:rFonts w:ascii="Wingdings" w:hAnsi="Wingdings"/>
    </w:rPr>
  </w:style>
  <w:style w:type="paragraph" w:customStyle="1" w:styleId="TableHeading">
    <w:name w:val="Table Heading"/>
    <w:basedOn w:val="HeadingBase"/>
    <w:rsid w:val="00CA0CD0"/>
    <w:pPr>
      <w:keepLines/>
      <w:pBdr>
        <w:bottom w:val="single" w:sz="6" w:space="1" w:color="918585"/>
      </w:pBdr>
      <w:spacing w:before="240"/>
    </w:pPr>
  </w:style>
  <w:style w:type="character" w:customStyle="1" w:styleId="HotSpot">
    <w:name w:val="HotSpot"/>
    <w:rsid w:val="00CA0CD0"/>
    <w:rPr>
      <w:color w:val="0033CC"/>
      <w:u w:val="none"/>
    </w:rPr>
  </w:style>
  <w:style w:type="paragraph" w:customStyle="1" w:styleId="BodyTextRight">
    <w:name w:val="Body Text Right"/>
    <w:basedOn w:val="BodyText"/>
    <w:rsid w:val="00CA0CD0"/>
    <w:pPr>
      <w:spacing w:before="0" w:after="0"/>
      <w:jc w:val="right"/>
    </w:pPr>
  </w:style>
  <w:style w:type="paragraph" w:styleId="Index3">
    <w:name w:val="index 3"/>
    <w:basedOn w:val="ListNumber2"/>
    <w:next w:val="Normal"/>
    <w:semiHidden/>
    <w:rsid w:val="00CA0CD0"/>
    <w:pPr>
      <w:numPr>
        <w:numId w:val="0"/>
      </w:numPr>
      <w:tabs>
        <w:tab w:val="right" w:leader="dot" w:pos="4176"/>
      </w:tabs>
    </w:pPr>
  </w:style>
  <w:style w:type="paragraph" w:styleId="ListNumber2">
    <w:name w:val="List Number 2"/>
    <w:basedOn w:val="List2"/>
    <w:rsid w:val="00CA0CD0"/>
    <w:pPr>
      <w:numPr>
        <w:numId w:val="10"/>
      </w:numPr>
      <w:tabs>
        <w:tab w:val="clear" w:pos="1060"/>
      </w:tabs>
    </w:pPr>
  </w:style>
  <w:style w:type="paragraph" w:customStyle="1" w:styleId="MarginNote">
    <w:name w:val="Margin Note"/>
    <w:basedOn w:val="BodyText"/>
    <w:rsid w:val="00CA0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C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CD0"/>
    <w:rPr>
      <w:sz w:val="32"/>
    </w:rPr>
  </w:style>
  <w:style w:type="paragraph" w:customStyle="1" w:styleId="HeadingProcedure">
    <w:name w:val="Heading Procedure"/>
    <w:basedOn w:val="HeadingBase"/>
    <w:next w:val="Normal"/>
    <w:rsid w:val="00CA0CD0"/>
    <w:pPr>
      <w:tabs>
        <w:tab w:val="left" w:pos="0"/>
      </w:tabs>
      <w:spacing w:before="120" w:after="60"/>
    </w:pPr>
    <w:rPr>
      <w:i/>
      <w:color w:val="918585"/>
      <w:sz w:val="22"/>
    </w:rPr>
  </w:style>
  <w:style w:type="paragraph" w:customStyle="1" w:styleId="TableBodyText">
    <w:name w:val="Table Body Text"/>
    <w:basedOn w:val="BodyText"/>
    <w:rsid w:val="00CA0CD0"/>
    <w:pPr>
      <w:spacing w:before="60" w:after="60"/>
    </w:pPr>
  </w:style>
  <w:style w:type="paragraph" w:styleId="ListContinue">
    <w:name w:val="List Continue"/>
    <w:basedOn w:val="List"/>
    <w:rsid w:val="00CA0CD0"/>
    <w:pPr>
      <w:ind w:firstLine="0"/>
    </w:pPr>
  </w:style>
  <w:style w:type="paragraph" w:customStyle="1" w:styleId="ListNote">
    <w:name w:val="List Note"/>
    <w:basedOn w:val="List"/>
    <w:rsid w:val="00CA0CD0"/>
    <w:pPr>
      <w:pBdr>
        <w:top w:val="single" w:sz="6" w:space="2" w:color="918585"/>
        <w:bottom w:val="single" w:sz="6" w:space="2" w:color="918585"/>
      </w:pBdr>
      <w:tabs>
        <w:tab w:val="left" w:pos="1021"/>
      </w:tabs>
      <w:ind w:firstLine="0"/>
    </w:pPr>
  </w:style>
  <w:style w:type="paragraph" w:customStyle="1" w:styleId="Warning">
    <w:name w:val="Warning"/>
    <w:basedOn w:val="BodyText"/>
    <w:rsid w:val="00CA0CD0"/>
    <w:pPr>
      <w:shd w:val="clear" w:color="auto" w:fill="D9D9D9"/>
      <w:tabs>
        <w:tab w:val="left" w:pos="992"/>
      </w:tabs>
      <w:ind w:left="119" w:right="119"/>
    </w:pPr>
    <w:rPr>
      <w:sz w:val="20"/>
    </w:rPr>
  </w:style>
  <w:style w:type="paragraph" w:customStyle="1" w:styleId="MarginIcons">
    <w:name w:val="Margin Icons"/>
    <w:basedOn w:val="BodyText"/>
    <w:rsid w:val="00CA0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CD0"/>
    <w:rPr>
      <w:rFonts w:ascii="Courier New" w:hAnsi="Courier New"/>
    </w:rPr>
  </w:style>
  <w:style w:type="paragraph" w:customStyle="1" w:styleId="NoteBullet">
    <w:name w:val="Note Bullet"/>
    <w:basedOn w:val="Note"/>
    <w:rsid w:val="00CA0CD0"/>
    <w:pPr>
      <w:tabs>
        <w:tab w:val="clear" w:pos="680"/>
      </w:tabs>
      <w:spacing w:before="60" w:after="60"/>
    </w:pPr>
  </w:style>
  <w:style w:type="paragraph" w:customStyle="1" w:styleId="SubHeading2">
    <w:name w:val="SubHeading2"/>
    <w:basedOn w:val="HeadingBase"/>
    <w:rsid w:val="00CA0CD0"/>
    <w:pPr>
      <w:spacing w:before="240" w:after="60"/>
    </w:pPr>
    <w:rPr>
      <w:sz w:val="20"/>
    </w:rPr>
  </w:style>
  <w:style w:type="paragraph" w:customStyle="1" w:styleId="SubHeading1">
    <w:name w:val="SubHeading1"/>
    <w:basedOn w:val="HeadingBase"/>
    <w:rsid w:val="00CA0CD0"/>
    <w:pPr>
      <w:spacing w:before="240" w:after="60"/>
    </w:pPr>
    <w:rPr>
      <w:color w:val="918585"/>
      <w:sz w:val="22"/>
    </w:rPr>
  </w:style>
  <w:style w:type="paragraph" w:customStyle="1" w:styleId="SideHeading">
    <w:name w:val="Side Heading"/>
    <w:basedOn w:val="HeadingBase"/>
    <w:rsid w:val="00CA0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CD0"/>
    <w:pPr>
      <w:numPr>
        <w:numId w:val="12"/>
      </w:numPr>
    </w:pPr>
  </w:style>
  <w:style w:type="paragraph" w:styleId="PlainText">
    <w:name w:val="Plain Text"/>
    <w:basedOn w:val="Normal"/>
    <w:link w:val="PlainTextChar"/>
    <w:rsid w:val="00CA0CD0"/>
    <w:rPr>
      <w:sz w:val="20"/>
    </w:rPr>
  </w:style>
  <w:style w:type="character" w:customStyle="1" w:styleId="PlainTextChar">
    <w:name w:val="Plain Text Char"/>
    <w:basedOn w:val="DefaultParagraphFont"/>
    <w:link w:val="PlainText"/>
    <w:rsid w:val="00CA0C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0CD0"/>
    <w:rPr>
      <w:b/>
      <w:smallCaps/>
    </w:rPr>
  </w:style>
  <w:style w:type="paragraph" w:customStyle="1" w:styleId="TableListNumber">
    <w:name w:val="Table List Number"/>
    <w:basedOn w:val="ListNumber"/>
    <w:rsid w:val="00CA0CD0"/>
    <w:pPr>
      <w:numPr>
        <w:numId w:val="0"/>
      </w:numPr>
    </w:pPr>
  </w:style>
  <w:style w:type="paragraph" w:styleId="TOC4">
    <w:name w:val="toc 4"/>
    <w:basedOn w:val="TOCBase"/>
    <w:next w:val="Normal"/>
    <w:semiHidden/>
    <w:rsid w:val="00CA0CD0"/>
    <w:pPr>
      <w:tabs>
        <w:tab w:val="right" w:leader="dot" w:pos="9071"/>
      </w:tabs>
      <w:ind w:left="1701"/>
    </w:pPr>
  </w:style>
  <w:style w:type="paragraph" w:customStyle="1" w:styleId="ListAlpha">
    <w:name w:val="List Alpha"/>
    <w:basedOn w:val="List"/>
    <w:rsid w:val="00CA0CD0"/>
    <w:pPr>
      <w:numPr>
        <w:numId w:val="9"/>
      </w:numPr>
    </w:pPr>
  </w:style>
  <w:style w:type="paragraph" w:customStyle="1" w:styleId="ListAlpha2">
    <w:name w:val="List Alpha 2"/>
    <w:basedOn w:val="List2"/>
    <w:rsid w:val="00CA0CD0"/>
    <w:pPr>
      <w:numPr>
        <w:numId w:val="8"/>
      </w:numPr>
    </w:pPr>
  </w:style>
  <w:style w:type="paragraph" w:styleId="List2">
    <w:name w:val="List 2"/>
    <w:basedOn w:val="BodyText"/>
    <w:rsid w:val="00CA0CD0"/>
    <w:pPr>
      <w:tabs>
        <w:tab w:val="left" w:pos="680"/>
      </w:tabs>
      <w:spacing w:before="60" w:after="60"/>
      <w:ind w:left="680" w:hanging="340"/>
    </w:pPr>
  </w:style>
  <w:style w:type="paragraph" w:styleId="List3">
    <w:name w:val="List 3"/>
    <w:basedOn w:val="BodyText"/>
    <w:rsid w:val="00CA0CD0"/>
    <w:pPr>
      <w:tabs>
        <w:tab w:val="left" w:pos="1021"/>
      </w:tabs>
      <w:spacing w:before="60" w:after="60"/>
      <w:ind w:left="1020" w:hanging="340"/>
    </w:pPr>
  </w:style>
  <w:style w:type="paragraph" w:styleId="List4">
    <w:name w:val="List 4"/>
    <w:basedOn w:val="BodyText"/>
    <w:rsid w:val="00CA0CD0"/>
    <w:pPr>
      <w:tabs>
        <w:tab w:val="left" w:pos="1361"/>
      </w:tabs>
      <w:spacing w:before="60" w:after="60"/>
      <w:ind w:left="1361" w:hanging="340"/>
    </w:pPr>
  </w:style>
  <w:style w:type="paragraph" w:styleId="List5">
    <w:name w:val="List 5"/>
    <w:basedOn w:val="BodyText"/>
    <w:rsid w:val="00CA0CD0"/>
    <w:pPr>
      <w:tabs>
        <w:tab w:val="left" w:pos="1701"/>
      </w:tabs>
      <w:spacing w:before="60" w:after="60"/>
      <w:ind w:left="1701" w:hanging="340"/>
    </w:pPr>
  </w:style>
  <w:style w:type="paragraph" w:styleId="ListBullet3">
    <w:name w:val="List Bullet 3"/>
    <w:basedOn w:val="List3"/>
    <w:rsid w:val="00CA0CD0"/>
    <w:pPr>
      <w:numPr>
        <w:numId w:val="15"/>
      </w:numPr>
      <w:tabs>
        <w:tab w:val="clear" w:pos="1021"/>
      </w:tabs>
      <w:ind w:left="1037" w:hanging="357"/>
    </w:pPr>
  </w:style>
  <w:style w:type="paragraph" w:styleId="ListBullet4">
    <w:name w:val="List Bullet 4"/>
    <w:basedOn w:val="List4"/>
    <w:rsid w:val="00CA0CD0"/>
    <w:pPr>
      <w:numPr>
        <w:numId w:val="3"/>
      </w:numPr>
    </w:pPr>
  </w:style>
  <w:style w:type="paragraph" w:styleId="ListBullet5">
    <w:name w:val="List Bullet 5"/>
    <w:basedOn w:val="List5"/>
    <w:rsid w:val="00CA0CD0"/>
    <w:pPr>
      <w:numPr>
        <w:numId w:val="4"/>
      </w:numPr>
    </w:pPr>
  </w:style>
  <w:style w:type="paragraph" w:styleId="ListContinue2">
    <w:name w:val="List Continue 2"/>
    <w:basedOn w:val="List2"/>
    <w:rsid w:val="00CA0CD0"/>
    <w:pPr>
      <w:ind w:firstLine="0"/>
    </w:pPr>
  </w:style>
  <w:style w:type="paragraph" w:styleId="ListContinue3">
    <w:name w:val="List Continue 3"/>
    <w:basedOn w:val="List3"/>
    <w:rsid w:val="00CA0CD0"/>
    <w:pPr>
      <w:ind w:left="1021" w:firstLine="0"/>
    </w:pPr>
  </w:style>
  <w:style w:type="paragraph" w:styleId="ListContinue4">
    <w:name w:val="List Continue 4"/>
    <w:basedOn w:val="List4"/>
    <w:rsid w:val="00CA0CD0"/>
    <w:pPr>
      <w:ind w:firstLine="0"/>
    </w:pPr>
  </w:style>
  <w:style w:type="paragraph" w:styleId="ListContinue5">
    <w:name w:val="List Continue 5"/>
    <w:basedOn w:val="List5"/>
    <w:rsid w:val="00CA0CD0"/>
    <w:pPr>
      <w:ind w:firstLine="0"/>
    </w:pPr>
  </w:style>
  <w:style w:type="paragraph" w:styleId="ListNumber3">
    <w:name w:val="List Number 3"/>
    <w:basedOn w:val="List3"/>
    <w:rsid w:val="00CA0CD0"/>
    <w:pPr>
      <w:numPr>
        <w:numId w:val="5"/>
      </w:numPr>
    </w:pPr>
  </w:style>
  <w:style w:type="paragraph" w:styleId="ListNumber4">
    <w:name w:val="List Number 4"/>
    <w:basedOn w:val="List4"/>
    <w:rsid w:val="00CA0CD0"/>
    <w:pPr>
      <w:numPr>
        <w:numId w:val="6"/>
      </w:numPr>
    </w:pPr>
  </w:style>
  <w:style w:type="paragraph" w:styleId="ListNumber5">
    <w:name w:val="List Number 5"/>
    <w:basedOn w:val="List5"/>
    <w:rsid w:val="00CA0CD0"/>
    <w:pPr>
      <w:numPr>
        <w:numId w:val="7"/>
      </w:numPr>
    </w:pPr>
  </w:style>
  <w:style w:type="paragraph" w:styleId="BlockText">
    <w:name w:val="Block Text"/>
    <w:basedOn w:val="Normal"/>
    <w:rsid w:val="00CA0CD0"/>
    <w:pPr>
      <w:spacing w:after="120"/>
      <w:ind w:left="1440" w:right="1440"/>
    </w:pPr>
  </w:style>
  <w:style w:type="character" w:customStyle="1" w:styleId="Subscript">
    <w:name w:val="Subscript"/>
    <w:basedOn w:val="DefaultParagraphFont"/>
    <w:rsid w:val="00CA0CD0"/>
    <w:rPr>
      <w:sz w:val="16"/>
      <w:vertAlign w:val="subscript"/>
    </w:rPr>
  </w:style>
  <w:style w:type="character" w:customStyle="1" w:styleId="Superscript">
    <w:name w:val="Superscript"/>
    <w:basedOn w:val="DefaultParagraphFont"/>
    <w:rsid w:val="00CA0CD0"/>
    <w:rPr>
      <w:sz w:val="16"/>
      <w:vertAlign w:val="superscript"/>
    </w:rPr>
  </w:style>
  <w:style w:type="character" w:customStyle="1" w:styleId="Symbols">
    <w:name w:val="Symbols"/>
    <w:basedOn w:val="DefaultParagraphFont"/>
    <w:rsid w:val="00CA0CD0"/>
    <w:rPr>
      <w:rFonts w:ascii="Symbol" w:hAnsi="Symbol"/>
    </w:rPr>
  </w:style>
  <w:style w:type="character" w:customStyle="1" w:styleId="MenuOptions">
    <w:name w:val="Menu Options"/>
    <w:basedOn w:val="DefaultParagraphFont"/>
    <w:rsid w:val="00CA0CD0"/>
    <w:rPr>
      <w:rFonts w:ascii="Arial Narrow" w:hAnsi="Arial Narrow"/>
      <w:smallCaps/>
    </w:rPr>
  </w:style>
  <w:style w:type="character" w:customStyle="1" w:styleId="Buttons">
    <w:name w:val="Buttons"/>
    <w:basedOn w:val="DefaultParagraphFont"/>
    <w:rsid w:val="00CA0CD0"/>
    <w:rPr>
      <w:b/>
    </w:rPr>
  </w:style>
  <w:style w:type="character" w:customStyle="1" w:styleId="Underlined">
    <w:name w:val="Underlined"/>
    <w:basedOn w:val="DefaultParagraphFont"/>
    <w:rsid w:val="00CA0CD0"/>
    <w:rPr>
      <w:u w:val="single"/>
    </w:rPr>
  </w:style>
  <w:style w:type="paragraph" w:customStyle="1" w:styleId="TableBodyTextRight">
    <w:name w:val="Table Body Text Right"/>
    <w:basedOn w:val="TableBodyText"/>
    <w:rsid w:val="00CA0CD0"/>
    <w:pPr>
      <w:widowControl w:val="0"/>
      <w:autoSpaceDE w:val="0"/>
      <w:autoSpaceDN w:val="0"/>
      <w:adjustRightInd w:val="0"/>
      <w:jc w:val="right"/>
    </w:pPr>
    <w:rPr>
      <w:rFonts w:cs="Arial"/>
      <w:szCs w:val="18"/>
    </w:rPr>
  </w:style>
  <w:style w:type="paragraph" w:customStyle="1" w:styleId="CopyrightText">
    <w:name w:val="Copyright Text"/>
    <w:basedOn w:val="BodyText"/>
    <w:rsid w:val="00CA0CD0"/>
    <w:rPr>
      <w:sz w:val="18"/>
    </w:rPr>
  </w:style>
  <w:style w:type="paragraph" w:customStyle="1" w:styleId="BodySmallRight">
    <w:name w:val="Body Small Right"/>
    <w:basedOn w:val="BodyTextRight"/>
    <w:rsid w:val="00CA0CD0"/>
    <w:rPr>
      <w:sz w:val="18"/>
      <w:szCs w:val="18"/>
    </w:rPr>
  </w:style>
  <w:style w:type="paragraph" w:customStyle="1" w:styleId="MarginEdition">
    <w:name w:val="Margin Edition"/>
    <w:basedOn w:val="MarginNote"/>
    <w:rsid w:val="00CA0CD0"/>
    <w:pPr>
      <w:spacing w:before="0" w:after="0"/>
    </w:pPr>
    <w:rPr>
      <w:rFonts w:ascii="Times New Roman" w:hAnsi="Times New Roman"/>
      <w:color w:val="999999"/>
    </w:rPr>
  </w:style>
  <w:style w:type="paragraph" w:customStyle="1" w:styleId="Spacer">
    <w:name w:val="Spacer"/>
    <w:basedOn w:val="Normal"/>
    <w:rsid w:val="00CA0CD0"/>
    <w:rPr>
      <w:sz w:val="2"/>
      <w:szCs w:val="2"/>
    </w:rPr>
  </w:style>
  <w:style w:type="character" w:customStyle="1" w:styleId="Small">
    <w:name w:val="Small"/>
    <w:basedOn w:val="DefaultParagraphFont"/>
    <w:rsid w:val="00CA0CD0"/>
    <w:rPr>
      <w:sz w:val="16"/>
    </w:rPr>
  </w:style>
  <w:style w:type="paragraph" w:customStyle="1" w:styleId="WideTable">
    <w:name w:val="Wide Table"/>
    <w:basedOn w:val="Normal"/>
    <w:rsid w:val="00CA0CD0"/>
    <w:pPr>
      <w:ind w:left="-1418"/>
    </w:pPr>
    <w:rPr>
      <w:sz w:val="2"/>
      <w:szCs w:val="2"/>
    </w:rPr>
  </w:style>
  <w:style w:type="character" w:styleId="PageNumber">
    <w:name w:val="page number"/>
    <w:basedOn w:val="DefaultParagraphFont"/>
    <w:rsid w:val="00CA0CD0"/>
  </w:style>
  <w:style w:type="paragraph" w:styleId="Quote">
    <w:name w:val="Quote"/>
    <w:basedOn w:val="Heading1"/>
    <w:link w:val="QuoteChar"/>
    <w:qFormat/>
    <w:rsid w:val="00CA0CD0"/>
    <w:rPr>
      <w:b w:val="0"/>
      <w:sz w:val="72"/>
      <w:szCs w:val="72"/>
      <w:lang w:val="en-NZ"/>
    </w:rPr>
  </w:style>
  <w:style w:type="character" w:customStyle="1" w:styleId="QuoteChar">
    <w:name w:val="Quote Char"/>
    <w:basedOn w:val="DefaultParagraphFont"/>
    <w:link w:val="Quote"/>
    <w:rsid w:val="00CA0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CD0"/>
    <w:pPr>
      <w:pageBreakBefore/>
    </w:pPr>
  </w:style>
  <w:style w:type="paragraph" w:customStyle="1" w:styleId="Border">
    <w:name w:val="Border"/>
    <w:basedOn w:val="Normal"/>
    <w:qFormat/>
    <w:rsid w:val="00CA0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CD0"/>
    <w:rPr>
      <w:b/>
      <w:bCs/>
      <w:i/>
      <w:iCs/>
      <w:color w:val="auto"/>
    </w:rPr>
  </w:style>
  <w:style w:type="paragraph" w:styleId="IntenseQuote">
    <w:name w:val="Intense Quote"/>
    <w:basedOn w:val="Normal"/>
    <w:next w:val="Normal"/>
    <w:link w:val="IntenseQuoteChar"/>
    <w:uiPriority w:val="30"/>
    <w:qFormat/>
    <w:rsid w:val="00CA0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C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0CD0"/>
    <w:rPr>
      <w:smallCaps/>
      <w:color w:val="auto"/>
      <w:u w:val="single"/>
    </w:rPr>
  </w:style>
  <w:style w:type="character" w:styleId="IntenseReference">
    <w:name w:val="Intense Reference"/>
    <w:basedOn w:val="DefaultParagraphFont"/>
    <w:uiPriority w:val="32"/>
    <w:qFormat/>
    <w:rsid w:val="00CA0CD0"/>
    <w:rPr>
      <w:b/>
      <w:bCs/>
      <w:smallCaps/>
      <w:color w:val="auto"/>
      <w:spacing w:val="5"/>
      <w:u w:val="single"/>
    </w:rPr>
  </w:style>
  <w:style w:type="paragraph" w:customStyle="1" w:styleId="2ColumnHeading">
    <w:name w:val="2Column Heading"/>
    <w:basedOn w:val="BodyText"/>
    <w:qFormat/>
    <w:rsid w:val="00CA0CD0"/>
    <w:pPr>
      <w:spacing w:after="60"/>
      <w:ind w:left="-2268"/>
    </w:pPr>
    <w:rPr>
      <w:b/>
    </w:rPr>
  </w:style>
  <w:style w:type="paragraph" w:customStyle="1" w:styleId="Heading1TOC">
    <w:name w:val="Heading1 TOC"/>
    <w:basedOn w:val="Normal"/>
    <w:qFormat/>
    <w:rsid w:val="00CA0CD0"/>
    <w:pPr>
      <w:spacing w:before="240" w:after="120"/>
    </w:pPr>
    <w:rPr>
      <w:rFonts w:ascii="Times New Roman" w:hAnsi="Times New Roman"/>
      <w:b/>
      <w:sz w:val="32"/>
    </w:rPr>
  </w:style>
  <w:style w:type="paragraph" w:customStyle="1" w:styleId="Heading2TOC">
    <w:name w:val="Heading2 TOC"/>
    <w:basedOn w:val="Normal"/>
    <w:qFormat/>
    <w:rsid w:val="00CA0CD0"/>
    <w:pPr>
      <w:spacing w:before="240" w:after="60"/>
    </w:pPr>
    <w:rPr>
      <w:rFonts w:ascii="Times New Roman" w:hAnsi="Times New Roman"/>
      <w:b/>
      <w:sz w:val="28"/>
    </w:rPr>
  </w:style>
  <w:style w:type="character" w:customStyle="1" w:styleId="Underline">
    <w:name w:val="Underline"/>
    <w:basedOn w:val="DefaultParagraphFont"/>
    <w:qFormat/>
    <w:rsid w:val="00CA0CD0"/>
    <w:rPr>
      <w:u w:val="single"/>
    </w:rPr>
  </w:style>
  <w:style w:type="character" w:customStyle="1" w:styleId="BoldandItalics">
    <w:name w:val="Bold and Italics"/>
    <w:qFormat/>
    <w:rsid w:val="00CA0CD0"/>
    <w:rPr>
      <w:b/>
      <w:i/>
      <w:u w:val="none"/>
    </w:rPr>
  </w:style>
  <w:style w:type="paragraph" w:styleId="BalloonText">
    <w:name w:val="Balloon Text"/>
    <w:basedOn w:val="Normal"/>
    <w:link w:val="BalloonTextChar"/>
    <w:rsid w:val="00CA0CD0"/>
    <w:rPr>
      <w:rFonts w:ascii="Tahoma" w:hAnsi="Tahoma" w:cs="Tahoma"/>
      <w:sz w:val="16"/>
      <w:szCs w:val="16"/>
    </w:rPr>
  </w:style>
  <w:style w:type="character" w:customStyle="1" w:styleId="BalloonTextChar">
    <w:name w:val="Balloon Text Char"/>
    <w:basedOn w:val="DefaultParagraphFont"/>
    <w:link w:val="BalloonText"/>
    <w:rsid w:val="00CA0C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C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C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2363</Words>
  <Characters>14215</Characters>
  <Application>Microsoft Office Word</Application>
  <DocSecurity>0</DocSecurity>
  <Lines>613</Lines>
  <Paragraphs>237</Paragraphs>
  <ScaleCrop>false</ScaleCrop>
  <Company>Author-it Software Corporation Ltd.</Company>
  <LinksUpToDate>false</LinksUpToDate>
  <CharactersWithSpaces>16386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UEGNSG606B Monitor and control the transfer of LPG</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2012-05-26T22:10:00Z</dcterms:created>
  <dcterms:modified xsi:type="dcterms:W3CDTF">2012-05-26T22:10:00Z</dcterms:modified>
</cp:coreProperties>
</file>